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414D4" w14:textId="694B9AEA" w:rsidR="00C72528" w:rsidRPr="00B17C11" w:rsidRDefault="00C72528" w:rsidP="00C72528">
      <w:pPr>
        <w:spacing w:line="360" w:lineRule="auto"/>
        <w:jc w:val="both"/>
        <w:rPr>
          <w:rFonts w:ascii="Arial" w:hAnsi="Arial" w:cs="Arial"/>
          <w:b/>
          <w:sz w:val="24"/>
          <w:szCs w:val="24"/>
        </w:rPr>
      </w:pPr>
    </w:p>
    <w:p w14:paraId="560FE6AD" w14:textId="1482FB7F" w:rsidR="00C72528" w:rsidRPr="00B17C11" w:rsidRDefault="00C971A7" w:rsidP="007E5C92">
      <w:pPr>
        <w:spacing w:line="360" w:lineRule="auto"/>
        <w:jc w:val="center"/>
        <w:rPr>
          <w:rFonts w:ascii="Arial" w:hAnsi="Arial" w:cs="Arial"/>
          <w:b/>
          <w:sz w:val="24"/>
          <w:szCs w:val="24"/>
          <w:lang w:val="en-GB"/>
        </w:rPr>
      </w:pPr>
      <w:r w:rsidRPr="00B17C11">
        <w:rPr>
          <w:rFonts w:ascii="Arial" w:hAnsi="Arial" w:cs="Arial"/>
          <w:b/>
          <w:sz w:val="24"/>
          <w:szCs w:val="24"/>
          <w:lang w:val="en-GB"/>
        </w:rPr>
        <w:t xml:space="preserve">THE DEVELOPMENT OF THE APPLICATION OF THE SPOLIATION REMEDY WITH SPECIFIC REFERENCE TO THE PROTECTION OF </w:t>
      </w:r>
      <w:r w:rsidRPr="00B17C11">
        <w:rPr>
          <w:rFonts w:ascii="Arial" w:hAnsi="Arial" w:cs="Arial"/>
          <w:b/>
          <w:i/>
          <w:iCs/>
          <w:sz w:val="24"/>
          <w:szCs w:val="24"/>
          <w:lang w:val="en-GB"/>
        </w:rPr>
        <w:t>QUASI</w:t>
      </w:r>
      <w:r w:rsidRPr="00B17C11">
        <w:rPr>
          <w:rFonts w:ascii="Arial" w:hAnsi="Arial" w:cs="Arial"/>
          <w:b/>
          <w:sz w:val="24"/>
          <w:szCs w:val="24"/>
          <w:lang w:val="en-GB"/>
        </w:rPr>
        <w:t>-POSSESSION OF WATER AND ELECTRICITY SUPPLY</w:t>
      </w:r>
    </w:p>
    <w:p w14:paraId="3B1156A3" w14:textId="77777777" w:rsidR="00C72528" w:rsidRPr="00B17C11" w:rsidRDefault="00C72528" w:rsidP="00C72528">
      <w:pPr>
        <w:spacing w:line="360" w:lineRule="auto"/>
        <w:jc w:val="both"/>
        <w:rPr>
          <w:rFonts w:ascii="Arial" w:hAnsi="Arial" w:cs="Arial"/>
          <w:b/>
          <w:sz w:val="24"/>
          <w:szCs w:val="24"/>
        </w:rPr>
      </w:pPr>
    </w:p>
    <w:p w14:paraId="5AC49EDC" w14:textId="6F96EABD" w:rsidR="00C971A7" w:rsidRPr="00B17C11" w:rsidRDefault="00F33E5D" w:rsidP="001747E6">
      <w:pPr>
        <w:spacing w:line="360" w:lineRule="auto"/>
        <w:jc w:val="center"/>
        <w:rPr>
          <w:rFonts w:ascii="Arial" w:hAnsi="Arial" w:cs="Arial"/>
          <w:iCs/>
          <w:sz w:val="24"/>
          <w:szCs w:val="24"/>
        </w:rPr>
      </w:pPr>
      <w:r w:rsidRPr="00B17C11">
        <w:rPr>
          <w:rFonts w:ascii="Arial" w:hAnsi="Arial" w:cs="Arial"/>
          <w:iCs/>
          <w:sz w:val="24"/>
          <w:szCs w:val="24"/>
        </w:rPr>
        <w:t>Mini-</w:t>
      </w:r>
      <w:r w:rsidR="001747E6" w:rsidRPr="00B17C11">
        <w:rPr>
          <w:rFonts w:ascii="Arial" w:hAnsi="Arial" w:cs="Arial"/>
          <w:iCs/>
          <w:sz w:val="24"/>
          <w:szCs w:val="24"/>
        </w:rPr>
        <w:t>Dissertation submitted in partial fulfilment of the requirements for the degree Master of Laws (by coursework) at the University of the Free State.</w:t>
      </w:r>
    </w:p>
    <w:p w14:paraId="42AF54EB" w14:textId="77777777" w:rsidR="00A025BF" w:rsidRPr="00B17C11" w:rsidRDefault="00A025BF" w:rsidP="001747E6">
      <w:pPr>
        <w:spacing w:line="360" w:lineRule="auto"/>
        <w:jc w:val="center"/>
        <w:rPr>
          <w:rFonts w:ascii="Arial" w:hAnsi="Arial" w:cs="Arial"/>
          <w:iCs/>
          <w:sz w:val="24"/>
          <w:szCs w:val="24"/>
        </w:rPr>
      </w:pPr>
    </w:p>
    <w:p w14:paraId="17CC3E23" w14:textId="77777777" w:rsidR="00A025BF" w:rsidRPr="00B17C11" w:rsidRDefault="00A025BF" w:rsidP="001747E6">
      <w:pPr>
        <w:spacing w:line="360" w:lineRule="auto"/>
        <w:jc w:val="center"/>
        <w:rPr>
          <w:rFonts w:ascii="Arial" w:hAnsi="Arial" w:cs="Arial"/>
          <w:iCs/>
          <w:sz w:val="24"/>
          <w:szCs w:val="24"/>
        </w:rPr>
      </w:pPr>
    </w:p>
    <w:p w14:paraId="5506C8B7" w14:textId="77777777" w:rsidR="00A025BF" w:rsidRPr="00B17C11" w:rsidRDefault="00A025BF" w:rsidP="001747E6">
      <w:pPr>
        <w:spacing w:line="360" w:lineRule="auto"/>
        <w:jc w:val="center"/>
        <w:rPr>
          <w:rFonts w:ascii="Arial" w:hAnsi="Arial" w:cs="Arial"/>
          <w:iCs/>
          <w:sz w:val="24"/>
          <w:szCs w:val="24"/>
        </w:rPr>
      </w:pPr>
    </w:p>
    <w:p w14:paraId="6F1F5133" w14:textId="77777777" w:rsidR="00A025BF" w:rsidRPr="00B17C11" w:rsidRDefault="00A025BF" w:rsidP="001747E6">
      <w:pPr>
        <w:spacing w:line="360" w:lineRule="auto"/>
        <w:jc w:val="center"/>
        <w:rPr>
          <w:rFonts w:ascii="Arial" w:hAnsi="Arial" w:cs="Arial"/>
          <w:iCs/>
          <w:sz w:val="24"/>
          <w:szCs w:val="24"/>
        </w:rPr>
      </w:pPr>
    </w:p>
    <w:p w14:paraId="4E16A211" w14:textId="77777777" w:rsidR="00A025BF" w:rsidRPr="00B17C11" w:rsidRDefault="00A025BF" w:rsidP="001747E6">
      <w:pPr>
        <w:spacing w:line="360" w:lineRule="auto"/>
        <w:jc w:val="center"/>
        <w:rPr>
          <w:rFonts w:ascii="Arial" w:hAnsi="Arial" w:cs="Arial"/>
          <w:iCs/>
          <w:sz w:val="24"/>
          <w:szCs w:val="24"/>
        </w:rPr>
      </w:pPr>
    </w:p>
    <w:p w14:paraId="1F1129A2" w14:textId="77777777" w:rsidR="00A025BF" w:rsidRPr="00B17C11" w:rsidRDefault="00A025BF" w:rsidP="001747E6">
      <w:pPr>
        <w:spacing w:line="360" w:lineRule="auto"/>
        <w:jc w:val="center"/>
        <w:rPr>
          <w:rFonts w:ascii="Arial" w:hAnsi="Arial" w:cs="Arial"/>
          <w:b/>
          <w:sz w:val="24"/>
          <w:szCs w:val="24"/>
        </w:rPr>
      </w:pPr>
    </w:p>
    <w:p w14:paraId="546CBC38" w14:textId="114CB0E7" w:rsidR="00C72528" w:rsidRPr="00B17C11" w:rsidRDefault="00C72528" w:rsidP="00A025BF">
      <w:pPr>
        <w:spacing w:line="360" w:lineRule="auto"/>
        <w:jc w:val="center"/>
        <w:rPr>
          <w:rFonts w:ascii="Arial" w:hAnsi="Arial" w:cs="Arial"/>
          <w:bCs/>
          <w:sz w:val="24"/>
          <w:szCs w:val="24"/>
        </w:rPr>
      </w:pPr>
      <w:r w:rsidRPr="00B17C11">
        <w:rPr>
          <w:rFonts w:ascii="Arial" w:hAnsi="Arial" w:cs="Arial"/>
          <w:bCs/>
          <w:sz w:val="24"/>
          <w:szCs w:val="24"/>
        </w:rPr>
        <w:t>By</w:t>
      </w:r>
    </w:p>
    <w:p w14:paraId="461ACA7F" w14:textId="77777777" w:rsidR="00A025BF" w:rsidRPr="00B17C11" w:rsidRDefault="00C72528" w:rsidP="00C971A7">
      <w:pPr>
        <w:spacing w:line="360" w:lineRule="auto"/>
        <w:jc w:val="center"/>
        <w:rPr>
          <w:rFonts w:ascii="Arial" w:hAnsi="Arial" w:cs="Arial"/>
          <w:b/>
          <w:sz w:val="24"/>
          <w:szCs w:val="24"/>
        </w:rPr>
      </w:pPr>
      <w:r w:rsidRPr="00B17C11">
        <w:rPr>
          <w:rFonts w:ascii="Arial" w:hAnsi="Arial" w:cs="Arial"/>
          <w:b/>
          <w:sz w:val="24"/>
          <w:szCs w:val="24"/>
        </w:rPr>
        <w:t>MOEKETSI J NDLOVU</w:t>
      </w:r>
    </w:p>
    <w:p w14:paraId="6A7D884F" w14:textId="20C85A16" w:rsidR="00C72528" w:rsidRPr="00B17C11" w:rsidRDefault="00C72528" w:rsidP="00C971A7">
      <w:pPr>
        <w:spacing w:line="360" w:lineRule="auto"/>
        <w:jc w:val="center"/>
        <w:rPr>
          <w:rFonts w:ascii="Arial" w:hAnsi="Arial" w:cs="Arial"/>
          <w:b/>
          <w:sz w:val="24"/>
          <w:szCs w:val="24"/>
        </w:rPr>
      </w:pPr>
      <w:r w:rsidRPr="00B17C11">
        <w:rPr>
          <w:rFonts w:ascii="Arial" w:hAnsi="Arial" w:cs="Arial"/>
          <w:b/>
          <w:sz w:val="24"/>
          <w:szCs w:val="24"/>
        </w:rPr>
        <w:t>2016211241</w:t>
      </w:r>
    </w:p>
    <w:p w14:paraId="6CE321FA" w14:textId="77777777" w:rsidR="00C72528" w:rsidRPr="00B17C11" w:rsidRDefault="00C72528" w:rsidP="00C72528">
      <w:pPr>
        <w:spacing w:line="360" w:lineRule="auto"/>
        <w:jc w:val="both"/>
        <w:rPr>
          <w:rFonts w:ascii="Arial" w:hAnsi="Arial" w:cs="Arial"/>
          <w:b/>
          <w:sz w:val="24"/>
          <w:szCs w:val="24"/>
        </w:rPr>
      </w:pPr>
    </w:p>
    <w:p w14:paraId="3315FFD8" w14:textId="77777777" w:rsidR="00C72528" w:rsidRPr="00B17C11" w:rsidRDefault="00C72528" w:rsidP="00C72528">
      <w:pPr>
        <w:spacing w:line="360" w:lineRule="auto"/>
        <w:jc w:val="both"/>
        <w:rPr>
          <w:rFonts w:ascii="Arial" w:hAnsi="Arial" w:cs="Arial"/>
          <w:b/>
          <w:sz w:val="24"/>
          <w:szCs w:val="24"/>
        </w:rPr>
      </w:pPr>
    </w:p>
    <w:p w14:paraId="6E04DDDA" w14:textId="31ADF186" w:rsidR="00C72528" w:rsidRPr="00B17C11" w:rsidRDefault="00C72528" w:rsidP="00C971A7">
      <w:pPr>
        <w:spacing w:line="360" w:lineRule="auto"/>
        <w:jc w:val="center"/>
        <w:rPr>
          <w:rFonts w:ascii="Arial" w:hAnsi="Arial" w:cs="Arial"/>
          <w:bCs/>
          <w:sz w:val="24"/>
          <w:szCs w:val="24"/>
        </w:rPr>
      </w:pPr>
      <w:r w:rsidRPr="00B17C11">
        <w:rPr>
          <w:rFonts w:ascii="Arial" w:hAnsi="Arial" w:cs="Arial"/>
          <w:bCs/>
          <w:sz w:val="24"/>
          <w:szCs w:val="24"/>
        </w:rPr>
        <w:t>Module: LPVT7900</w:t>
      </w:r>
    </w:p>
    <w:p w14:paraId="7E2802B9" w14:textId="032D2784" w:rsidR="00A025BF" w:rsidRPr="00B17C11" w:rsidRDefault="00A025BF" w:rsidP="00A025BF">
      <w:pPr>
        <w:spacing w:line="360" w:lineRule="auto"/>
        <w:jc w:val="center"/>
        <w:rPr>
          <w:rFonts w:ascii="Arial" w:hAnsi="Arial" w:cs="Arial"/>
          <w:bCs/>
          <w:sz w:val="24"/>
          <w:szCs w:val="24"/>
        </w:rPr>
      </w:pPr>
      <w:r w:rsidRPr="00B17C11">
        <w:rPr>
          <w:rFonts w:ascii="Arial" w:hAnsi="Arial" w:cs="Arial"/>
          <w:bCs/>
          <w:sz w:val="24"/>
          <w:szCs w:val="24"/>
        </w:rPr>
        <w:t>Study supervisor: Dr Marda Horn</w:t>
      </w:r>
    </w:p>
    <w:p w14:paraId="4BBFF2F9" w14:textId="77777777" w:rsidR="00C72528" w:rsidRPr="00B17C11" w:rsidRDefault="00C72528" w:rsidP="00C72528">
      <w:pPr>
        <w:spacing w:line="360" w:lineRule="auto"/>
        <w:jc w:val="both"/>
        <w:rPr>
          <w:rFonts w:ascii="Arial" w:hAnsi="Arial" w:cs="Arial"/>
          <w:b/>
          <w:sz w:val="24"/>
          <w:szCs w:val="24"/>
        </w:rPr>
      </w:pPr>
    </w:p>
    <w:p w14:paraId="19492837" w14:textId="4E87E778" w:rsidR="00C72528" w:rsidRPr="00B17C11" w:rsidRDefault="00A025BF" w:rsidP="00A025BF">
      <w:pPr>
        <w:spacing w:line="360" w:lineRule="auto"/>
        <w:jc w:val="center"/>
        <w:rPr>
          <w:rFonts w:ascii="Arial" w:hAnsi="Arial" w:cs="Arial"/>
          <w:bCs/>
          <w:sz w:val="24"/>
          <w:szCs w:val="24"/>
          <w:lang w:val="en-GB"/>
        </w:rPr>
      </w:pPr>
      <w:r w:rsidRPr="00B17C11">
        <w:rPr>
          <w:rFonts w:ascii="Arial" w:hAnsi="Arial" w:cs="Arial"/>
          <w:bCs/>
          <w:sz w:val="24"/>
          <w:szCs w:val="24"/>
          <w:lang w:val="en-GB"/>
        </w:rPr>
        <w:t>2024</w:t>
      </w:r>
    </w:p>
    <w:p w14:paraId="7AA25E25" w14:textId="77777777" w:rsidR="009658EC" w:rsidRPr="00B17C11" w:rsidRDefault="00A025BF">
      <w:pPr>
        <w:rPr>
          <w:rFonts w:ascii="Arial" w:hAnsi="Arial" w:cs="Arial"/>
          <w:b/>
          <w:sz w:val="24"/>
          <w:szCs w:val="24"/>
          <w:lang w:val="en-GB"/>
        </w:rPr>
      </w:pPr>
      <w:r w:rsidRPr="00B17C11">
        <w:rPr>
          <w:rFonts w:ascii="Arial" w:hAnsi="Arial" w:cs="Arial"/>
          <w:b/>
          <w:sz w:val="24"/>
          <w:szCs w:val="24"/>
          <w:lang w:val="en-GB"/>
        </w:rPr>
        <w:br w:type="page"/>
      </w:r>
    </w:p>
    <w:p w14:paraId="068AD3BF" w14:textId="77777777" w:rsidR="00436E73" w:rsidRPr="00B17C11" w:rsidRDefault="00436E73" w:rsidP="00436E73">
      <w:pPr>
        <w:rPr>
          <w:rFonts w:ascii="Arial" w:hAnsi="Arial" w:cs="Arial"/>
          <w:sz w:val="24"/>
          <w:szCs w:val="24"/>
        </w:rPr>
      </w:pPr>
      <w:bookmarkStart w:id="0" w:name="_Hlk190344207"/>
      <w:r w:rsidRPr="00B17C11">
        <w:rPr>
          <w:rFonts w:ascii="Arial" w:hAnsi="Arial" w:cs="Arial"/>
          <w:sz w:val="24"/>
          <w:szCs w:val="24"/>
        </w:rPr>
        <w:lastRenderedPageBreak/>
        <w:t>DECLARATION</w:t>
      </w:r>
    </w:p>
    <w:p w14:paraId="16E9F213" w14:textId="77777777" w:rsidR="00436E73" w:rsidRPr="00B17C11" w:rsidRDefault="00436E73" w:rsidP="00436E73">
      <w:pPr>
        <w:widowControl w:val="0"/>
        <w:spacing w:line="360" w:lineRule="auto"/>
        <w:jc w:val="both"/>
        <w:rPr>
          <w:rFonts w:ascii="Arial" w:hAnsi="Arial" w:cs="Arial"/>
          <w:b/>
          <w:sz w:val="24"/>
          <w:szCs w:val="24"/>
        </w:rPr>
      </w:pPr>
    </w:p>
    <w:p w14:paraId="27F87269" w14:textId="4B313072" w:rsidR="00436E73" w:rsidRPr="00B17C11" w:rsidRDefault="006279B3" w:rsidP="00436E73">
      <w:pPr>
        <w:spacing w:line="360" w:lineRule="auto"/>
        <w:jc w:val="both"/>
        <w:rPr>
          <w:rFonts w:ascii="Arial" w:hAnsi="Arial" w:cs="Arial"/>
          <w:sz w:val="24"/>
          <w:szCs w:val="24"/>
        </w:rPr>
      </w:pPr>
      <w:r w:rsidRPr="00B17C11">
        <w:rPr>
          <w:rFonts w:ascii="Arial" w:hAnsi="Arial" w:cs="Arial"/>
          <w:noProof/>
          <w:sz w:val="24"/>
          <w:szCs w:val="24"/>
        </w:rPr>
        <mc:AlternateContent>
          <mc:Choice Requires="aink">
            <w:drawing>
              <wp:anchor distT="0" distB="0" distL="114300" distR="114300" simplePos="0" relativeHeight="251654656" behindDoc="0" locked="0" layoutInCell="1" allowOverlap="1" wp14:anchorId="40BDDC84" wp14:editId="22DF2015">
                <wp:simplePos x="0" y="0"/>
                <wp:positionH relativeFrom="column">
                  <wp:posOffset>4286370</wp:posOffset>
                </wp:positionH>
                <wp:positionV relativeFrom="paragraph">
                  <wp:posOffset>897000</wp:posOffset>
                </wp:positionV>
                <wp:extent cx="360" cy="360"/>
                <wp:effectExtent l="0" t="0" r="0" b="0"/>
                <wp:wrapNone/>
                <wp:docPr id="157902621" name="Ink 3"/>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drawing>
              <wp:anchor distT="0" distB="0" distL="114300" distR="114300" simplePos="0" relativeHeight="251654656" behindDoc="0" locked="0" layoutInCell="1" allowOverlap="1" wp14:anchorId="40BDDC84" wp14:editId="22DF2015">
                <wp:simplePos x="0" y="0"/>
                <wp:positionH relativeFrom="column">
                  <wp:posOffset>4286370</wp:posOffset>
                </wp:positionH>
                <wp:positionV relativeFrom="paragraph">
                  <wp:posOffset>897000</wp:posOffset>
                </wp:positionV>
                <wp:extent cx="360" cy="360"/>
                <wp:effectExtent l="0" t="0" r="0" b="0"/>
                <wp:wrapNone/>
                <wp:docPr id="157902621" name="Ink 3"/>
                <wp:cNvGraphicFramePr/>
                <a:graphic xmlns:a="http://schemas.openxmlformats.org/drawingml/2006/main">
                  <a:graphicData uri="http://schemas.openxmlformats.org/drawingml/2006/picture">
                    <pic:pic xmlns:pic="http://schemas.openxmlformats.org/drawingml/2006/picture">
                      <pic:nvPicPr>
                        <pic:cNvPr id="157902621" name="Ink 3"/>
                        <pic:cNvPicPr/>
                      </pic:nvPicPr>
                      <pic:blipFill>
                        <a:blip r:embed="rId9"/>
                        <a:stretch>
                          <a:fillRect/>
                        </a:stretch>
                      </pic:blipFill>
                      <pic:spPr>
                        <a:xfrm>
                          <a:off x="0" y="0"/>
                          <a:ext cx="18000" cy="108000"/>
                        </a:xfrm>
                        <a:prstGeom prst="rect">
                          <a:avLst/>
                        </a:prstGeom>
                      </pic:spPr>
                    </pic:pic>
                  </a:graphicData>
                </a:graphic>
              </wp:anchor>
            </w:drawing>
          </mc:Fallback>
        </mc:AlternateContent>
      </w:r>
      <w:r w:rsidR="00436E73" w:rsidRPr="00B17C11">
        <w:rPr>
          <w:rFonts w:ascii="Arial" w:hAnsi="Arial" w:cs="Arial"/>
          <w:sz w:val="24"/>
          <w:szCs w:val="24"/>
        </w:rPr>
        <w:t>I, Moeketsi</w:t>
      </w:r>
      <w:r w:rsidR="00CA0687" w:rsidRPr="00B17C11">
        <w:rPr>
          <w:rFonts w:ascii="Arial" w:hAnsi="Arial" w:cs="Arial"/>
          <w:sz w:val="24"/>
          <w:szCs w:val="24"/>
        </w:rPr>
        <w:t xml:space="preserve"> James</w:t>
      </w:r>
      <w:r w:rsidR="00436E73" w:rsidRPr="00B17C11">
        <w:rPr>
          <w:rFonts w:ascii="Arial" w:hAnsi="Arial" w:cs="Arial"/>
          <w:sz w:val="24"/>
          <w:szCs w:val="24"/>
        </w:rPr>
        <w:t xml:space="preserve"> Ndlovu</w:t>
      </w:r>
      <w:r w:rsidR="003E18E4" w:rsidRPr="00B17C11">
        <w:rPr>
          <w:rFonts w:ascii="Arial" w:hAnsi="Arial" w:cs="Arial"/>
          <w:sz w:val="24"/>
          <w:szCs w:val="24"/>
        </w:rPr>
        <w:t>,</w:t>
      </w:r>
      <w:r w:rsidR="00436E73" w:rsidRPr="00B17C11">
        <w:rPr>
          <w:rFonts w:ascii="Arial" w:hAnsi="Arial" w:cs="Arial"/>
          <w:sz w:val="24"/>
          <w:szCs w:val="24"/>
        </w:rPr>
        <w:t xml:space="preserve"> declare that the Master’s research mini-dissertation that I herewith submit at the University of the Free State, is my independent work and that I have not previously submitted it for qualification at another institution of higher education.</w:t>
      </w:r>
    </w:p>
    <w:p w14:paraId="0149DFC5" w14:textId="65BB674C" w:rsidR="00436E73" w:rsidRPr="00B17C11" w:rsidRDefault="007D6354" w:rsidP="00436E73">
      <w:pPr>
        <w:spacing w:line="360" w:lineRule="auto"/>
        <w:jc w:val="both"/>
        <w:rPr>
          <w:rFonts w:ascii="Arial" w:hAnsi="Arial" w:cs="Arial"/>
          <w:sz w:val="24"/>
          <w:szCs w:val="24"/>
        </w:rPr>
      </w:pPr>
      <w:r w:rsidRPr="00B17C11">
        <w:rPr>
          <w:rFonts w:ascii="Arial" w:hAnsi="Arial" w:cs="Arial"/>
          <w:noProof/>
          <w:sz w:val="24"/>
          <w:szCs w:val="24"/>
        </w:rPr>
        <mc:AlternateContent>
          <mc:Choice Requires="aink">
            <w:drawing>
              <wp:anchor distT="0" distB="0" distL="114300" distR="114300" simplePos="0" relativeHeight="251661824" behindDoc="0" locked="0" layoutInCell="1" allowOverlap="1" wp14:anchorId="6176B8EE" wp14:editId="01764A76">
                <wp:simplePos x="0" y="0"/>
                <wp:positionH relativeFrom="column">
                  <wp:posOffset>3381420</wp:posOffset>
                </wp:positionH>
                <wp:positionV relativeFrom="paragraph">
                  <wp:posOffset>201145</wp:posOffset>
                </wp:positionV>
                <wp:extent cx="360" cy="360"/>
                <wp:effectExtent l="0" t="0" r="0" b="0"/>
                <wp:wrapNone/>
                <wp:docPr id="1083266559" name="Ink 8"/>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drawing>
              <wp:anchor distT="0" distB="0" distL="114300" distR="114300" simplePos="0" relativeHeight="251661824" behindDoc="0" locked="0" layoutInCell="1" allowOverlap="1" wp14:anchorId="6176B8EE" wp14:editId="01764A76">
                <wp:simplePos x="0" y="0"/>
                <wp:positionH relativeFrom="column">
                  <wp:posOffset>3381420</wp:posOffset>
                </wp:positionH>
                <wp:positionV relativeFrom="paragraph">
                  <wp:posOffset>201145</wp:posOffset>
                </wp:positionV>
                <wp:extent cx="360" cy="360"/>
                <wp:effectExtent l="0" t="0" r="0" b="0"/>
                <wp:wrapNone/>
                <wp:docPr id="1083266559" name="Ink 8"/>
                <wp:cNvGraphicFramePr/>
                <a:graphic xmlns:a="http://schemas.openxmlformats.org/drawingml/2006/main">
                  <a:graphicData uri="http://schemas.openxmlformats.org/drawingml/2006/picture">
                    <pic:pic xmlns:pic="http://schemas.openxmlformats.org/drawingml/2006/picture">
                      <pic:nvPicPr>
                        <pic:cNvPr id="1083266559" name="Ink 8"/>
                        <pic:cNvPicPr/>
                      </pic:nvPicPr>
                      <pic:blipFill>
                        <a:blip r:embed="rId9"/>
                        <a:stretch>
                          <a:fillRect/>
                        </a:stretch>
                      </pic:blipFill>
                      <pic:spPr>
                        <a:xfrm>
                          <a:off x="0" y="0"/>
                          <a:ext cx="18000" cy="108000"/>
                        </a:xfrm>
                        <a:prstGeom prst="rect">
                          <a:avLst/>
                        </a:prstGeom>
                      </pic:spPr>
                    </pic:pic>
                  </a:graphicData>
                </a:graphic>
              </wp:anchor>
            </w:drawing>
          </mc:Fallback>
        </mc:AlternateContent>
      </w:r>
    </w:p>
    <w:p w14:paraId="0A1A2FD5" w14:textId="4ACE0DDA" w:rsidR="00436E73" w:rsidRPr="00B17C11" w:rsidRDefault="007D6354" w:rsidP="00436E73">
      <w:pPr>
        <w:spacing w:line="360" w:lineRule="auto"/>
        <w:jc w:val="both"/>
        <w:rPr>
          <w:rFonts w:ascii="Arial" w:hAnsi="Arial" w:cs="Arial"/>
          <w:sz w:val="24"/>
          <w:szCs w:val="24"/>
        </w:rPr>
      </w:pPr>
      <w:r w:rsidRPr="00B17C11">
        <w:rPr>
          <w:rFonts w:ascii="Arial" w:hAnsi="Arial" w:cs="Arial"/>
          <w:noProof/>
          <w:sz w:val="24"/>
          <w:szCs w:val="24"/>
        </w:rPr>
        <mc:AlternateContent>
          <mc:Choice Requires="wpi">
            <w:drawing>
              <wp:anchor distT="0" distB="0" distL="114300" distR="114300" simplePos="0" relativeHeight="251658752" behindDoc="0" locked="0" layoutInCell="1" allowOverlap="1" wp14:anchorId="6BD1D4FC" wp14:editId="4FB11C17">
                <wp:simplePos x="0" y="0"/>
                <wp:positionH relativeFrom="column">
                  <wp:posOffset>-38735</wp:posOffset>
                </wp:positionH>
                <wp:positionV relativeFrom="paragraph">
                  <wp:posOffset>-134620</wp:posOffset>
                </wp:positionV>
                <wp:extent cx="1715135" cy="641985"/>
                <wp:effectExtent l="38100" t="38100" r="18415" b="43815"/>
                <wp:wrapNone/>
                <wp:docPr id="1857988539" name="Ink 5"/>
                <wp:cNvGraphicFramePr/>
                <a:graphic xmlns:a="http://schemas.openxmlformats.org/drawingml/2006/main">
                  <a:graphicData uri="http://schemas.microsoft.com/office/word/2010/wordprocessingInk">
                    <w14:contentPart bwMode="auto" r:id="rId11">
                      <w14:nvContentPartPr>
                        <w14:cNvContentPartPr/>
                      </w14:nvContentPartPr>
                      <w14:xfrm>
                        <a:off x="0" y="0"/>
                        <a:ext cx="1715135" cy="641985"/>
                      </w14:xfrm>
                    </w14:contentPart>
                  </a:graphicData>
                </a:graphic>
                <wp14:sizeRelH relativeFrom="margin">
                  <wp14:pctWidth>0</wp14:pctWidth>
                </wp14:sizeRelH>
                <wp14:sizeRelV relativeFrom="margin">
                  <wp14:pctHeight>0</wp14:pctHeight>
                </wp14:sizeRelV>
              </wp:anchor>
            </w:drawing>
          </mc:Choice>
          <mc:Fallback>
            <w:pict>
              <v:shapetype w14:anchorId="334A24C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3.4pt;margin-top:-10.95pt;width:135.75pt;height:51.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">
                <v:imagedata r:id="rId12" o:title=""/>
              </v:shape>
            </w:pict>
          </mc:Fallback>
        </mc:AlternateContent>
      </w:r>
    </w:p>
    <w:p w14:paraId="29A9B8C0" w14:textId="24250598" w:rsidR="00436E73" w:rsidRPr="00B17C11" w:rsidRDefault="007D3EE6" w:rsidP="00436E73">
      <w:pPr>
        <w:spacing w:line="240" w:lineRule="auto"/>
        <w:jc w:val="both"/>
        <w:rPr>
          <w:rFonts w:ascii="Arial" w:hAnsi="Arial" w:cs="Arial"/>
          <w:b/>
          <w:sz w:val="24"/>
          <w:szCs w:val="24"/>
        </w:rPr>
      </w:pPr>
      <w:r w:rsidRPr="00B17C11">
        <w:rPr>
          <w:rFonts w:ascii="Arial" w:hAnsi="Arial" w:cs="Arial"/>
          <w:b/>
          <w:noProof/>
          <w:sz w:val="24"/>
          <w:szCs w:val="24"/>
        </w:rPr>
        <mc:AlternateContent>
          <mc:Choice Requires="aink">
            <w:drawing>
              <wp:anchor distT="0" distB="0" distL="114300" distR="114300" simplePos="0" relativeHeight="251651584" behindDoc="0" locked="0" layoutInCell="1" allowOverlap="1" wp14:anchorId="3FA9CBC2" wp14:editId="780D3693">
                <wp:simplePos x="0" y="0"/>
                <wp:positionH relativeFrom="column">
                  <wp:posOffset>3071495</wp:posOffset>
                </wp:positionH>
                <wp:positionV relativeFrom="paragraph">
                  <wp:posOffset>40640</wp:posOffset>
                </wp:positionV>
                <wp:extent cx="30480" cy="10520"/>
                <wp:effectExtent l="0" t="0" r="0" b="0"/>
                <wp:wrapNone/>
                <wp:docPr id="1517670221" name="Ink 6"/>
                <wp:cNvGraphicFramePr/>
                <a:graphic xmlns:a="http://schemas.openxmlformats.org/drawingml/2006/main">
                  <a:graphicData uri="http://schemas.microsoft.com/office/word/2010/wordprocessingInk">
                    <w14:contentPart bwMode="auto" r:id="rId13">
                      <w14:nvContentPartPr>
                        <w14:cNvContentPartPr/>
                      </w14:nvContentPartPr>
                      <w14:xfrm>
                        <a:off x="0" y="0"/>
                        <a:ext cx="30480" cy="10520"/>
                      </w14:xfrm>
                    </w14:contentPart>
                  </a:graphicData>
                </a:graphic>
              </wp:anchor>
            </w:drawing>
          </mc:Choice>
          <mc:Fallback>
            <w:drawing>
              <wp:anchor distT="0" distB="0" distL="114300" distR="114300" simplePos="0" relativeHeight="251651584" behindDoc="0" locked="0" layoutInCell="1" allowOverlap="1" wp14:anchorId="3FA9CBC2" wp14:editId="780D3693">
                <wp:simplePos x="0" y="0"/>
                <wp:positionH relativeFrom="column">
                  <wp:posOffset>3071495</wp:posOffset>
                </wp:positionH>
                <wp:positionV relativeFrom="paragraph">
                  <wp:posOffset>40640</wp:posOffset>
                </wp:positionV>
                <wp:extent cx="30480" cy="10520"/>
                <wp:effectExtent l="0" t="0" r="0" b="0"/>
                <wp:wrapNone/>
                <wp:docPr id="1517670221" name="Ink 6"/>
                <wp:cNvGraphicFramePr/>
                <a:graphic xmlns:a="http://schemas.openxmlformats.org/drawingml/2006/main">
                  <a:graphicData uri="http://schemas.openxmlformats.org/drawingml/2006/picture">
                    <pic:pic xmlns:pic="http://schemas.openxmlformats.org/drawingml/2006/picture">
                      <pic:nvPicPr>
                        <pic:cNvPr id="1517670221" name="Ink 6"/>
                        <pic:cNvPicPr/>
                      </pic:nvPicPr>
                      <pic:blipFill>
                        <a:blip r:embed="rId14"/>
                        <a:stretch>
                          <a:fillRect/>
                        </a:stretch>
                      </pic:blipFill>
                      <pic:spPr>
                        <a:xfrm>
                          <a:off x="0" y="0"/>
                          <a:ext cx="48051" cy="118985"/>
                        </a:xfrm>
                        <a:prstGeom prst="rect">
                          <a:avLst/>
                        </a:prstGeom>
                      </pic:spPr>
                    </pic:pic>
                  </a:graphicData>
                </a:graphic>
              </wp:anchor>
            </w:drawing>
          </mc:Fallback>
        </mc:AlternateContent>
      </w:r>
      <w:r w:rsidR="00436E73" w:rsidRPr="00B17C11">
        <w:rPr>
          <w:rFonts w:ascii="Arial" w:hAnsi="Arial" w:cs="Arial"/>
          <w:b/>
          <w:sz w:val="24"/>
          <w:szCs w:val="24"/>
        </w:rPr>
        <w:t>_____________________</w:t>
      </w:r>
      <w:r w:rsidR="00436E73" w:rsidRPr="00B17C11">
        <w:rPr>
          <w:rFonts w:ascii="Arial" w:hAnsi="Arial" w:cs="Arial"/>
          <w:b/>
          <w:sz w:val="24"/>
          <w:szCs w:val="24"/>
        </w:rPr>
        <w:tab/>
      </w:r>
      <w:r w:rsidR="00436E73" w:rsidRPr="00B17C11">
        <w:rPr>
          <w:rFonts w:ascii="Arial" w:hAnsi="Arial" w:cs="Arial"/>
          <w:b/>
          <w:sz w:val="24"/>
          <w:szCs w:val="24"/>
        </w:rPr>
        <w:tab/>
      </w:r>
      <w:r w:rsidR="00436E73" w:rsidRPr="00B17C11">
        <w:rPr>
          <w:rFonts w:ascii="Arial" w:hAnsi="Arial" w:cs="Arial"/>
          <w:b/>
          <w:sz w:val="24"/>
          <w:szCs w:val="24"/>
        </w:rPr>
        <w:tab/>
      </w:r>
      <w:r w:rsidR="00371B07" w:rsidRPr="00B17C11">
        <w:rPr>
          <w:rFonts w:ascii="Arial" w:hAnsi="Arial" w:cs="Arial"/>
          <w:b/>
          <w:sz w:val="24"/>
          <w:szCs w:val="24"/>
        </w:rPr>
        <w:t>2</w:t>
      </w:r>
      <w:r w:rsidR="005F41F3" w:rsidRPr="00B17C11">
        <w:rPr>
          <w:rFonts w:ascii="Arial" w:hAnsi="Arial" w:cs="Arial"/>
          <w:b/>
          <w:sz w:val="24"/>
          <w:szCs w:val="24"/>
        </w:rPr>
        <w:t>9</w:t>
      </w:r>
      <w:r w:rsidR="00436E73" w:rsidRPr="00B17C11">
        <w:rPr>
          <w:rFonts w:ascii="Arial" w:hAnsi="Arial" w:cs="Arial"/>
          <w:b/>
          <w:sz w:val="24"/>
          <w:szCs w:val="24"/>
        </w:rPr>
        <w:t xml:space="preserve"> November 2024</w:t>
      </w:r>
    </w:p>
    <w:p w14:paraId="6F216FD5" w14:textId="6752693B" w:rsidR="00436E73" w:rsidRPr="00B17C11" w:rsidRDefault="00436E73" w:rsidP="00436E73">
      <w:pPr>
        <w:spacing w:line="360" w:lineRule="auto"/>
        <w:jc w:val="both"/>
        <w:rPr>
          <w:rFonts w:ascii="Arial" w:hAnsi="Arial" w:cs="Arial"/>
          <w:b/>
          <w:sz w:val="24"/>
          <w:szCs w:val="24"/>
        </w:rPr>
      </w:pPr>
      <w:r w:rsidRPr="00B17C11">
        <w:rPr>
          <w:rFonts w:ascii="Arial" w:hAnsi="Arial" w:cs="Arial"/>
          <w:b/>
          <w:sz w:val="24"/>
          <w:szCs w:val="24"/>
        </w:rPr>
        <w:t>Moeketsi J Ndlovu</w:t>
      </w:r>
      <w:r w:rsidRPr="00B17C11">
        <w:rPr>
          <w:rFonts w:ascii="Arial" w:hAnsi="Arial" w:cs="Arial"/>
          <w:b/>
          <w:sz w:val="24"/>
          <w:szCs w:val="24"/>
        </w:rPr>
        <w:tab/>
      </w:r>
      <w:r w:rsidRPr="00B17C11">
        <w:rPr>
          <w:rFonts w:ascii="Arial" w:hAnsi="Arial" w:cs="Arial"/>
          <w:b/>
          <w:sz w:val="24"/>
          <w:szCs w:val="24"/>
        </w:rPr>
        <w:tab/>
      </w:r>
      <w:r w:rsidRPr="00B17C11">
        <w:rPr>
          <w:rFonts w:ascii="Arial" w:hAnsi="Arial" w:cs="Arial"/>
          <w:b/>
          <w:sz w:val="24"/>
          <w:szCs w:val="24"/>
        </w:rPr>
        <w:tab/>
      </w:r>
      <w:r w:rsidRPr="00B17C11">
        <w:rPr>
          <w:rFonts w:ascii="Arial" w:hAnsi="Arial" w:cs="Arial"/>
          <w:b/>
          <w:sz w:val="24"/>
          <w:szCs w:val="24"/>
        </w:rPr>
        <w:tab/>
        <w:t>Date</w:t>
      </w:r>
    </w:p>
    <w:bookmarkEnd w:id="0"/>
    <w:p w14:paraId="70CC2AE9" w14:textId="77777777" w:rsidR="00436E73" w:rsidRPr="00B17C11" w:rsidRDefault="00436E73" w:rsidP="00436E73"/>
    <w:p w14:paraId="63971DDC" w14:textId="77777777" w:rsidR="00436E73" w:rsidRPr="00B17C11" w:rsidRDefault="00436E73" w:rsidP="00436E73"/>
    <w:p w14:paraId="37616C72" w14:textId="0BB96776" w:rsidR="000D41AC" w:rsidRPr="00B17C11" w:rsidRDefault="000D41AC">
      <w:r w:rsidRPr="00B17C11">
        <w:br w:type="page"/>
      </w:r>
    </w:p>
    <w:p w14:paraId="2D71AC40" w14:textId="0A8BAD0A" w:rsidR="005343E1" w:rsidRPr="00B17C11" w:rsidRDefault="005343E1" w:rsidP="009E6526">
      <w:pPr>
        <w:spacing w:line="360" w:lineRule="auto"/>
        <w:jc w:val="both"/>
        <w:rPr>
          <w:rFonts w:ascii="Arial" w:hAnsi="Arial" w:cs="Arial"/>
          <w:b/>
          <w:bCs/>
          <w:sz w:val="24"/>
          <w:szCs w:val="24"/>
        </w:rPr>
      </w:pPr>
      <w:r w:rsidRPr="00B17C11">
        <w:rPr>
          <w:rFonts w:ascii="Arial" w:hAnsi="Arial" w:cs="Arial"/>
          <w:b/>
          <w:bCs/>
          <w:sz w:val="24"/>
          <w:szCs w:val="24"/>
        </w:rPr>
        <w:lastRenderedPageBreak/>
        <w:t>THANK YOU NOTE</w:t>
      </w:r>
    </w:p>
    <w:p w14:paraId="264F70E6" w14:textId="55CD1BCD" w:rsidR="00CC44F1" w:rsidRPr="00B17C11" w:rsidRDefault="005343E1" w:rsidP="00253B03">
      <w:pPr>
        <w:spacing w:line="360" w:lineRule="auto"/>
        <w:jc w:val="both"/>
        <w:rPr>
          <w:rFonts w:ascii="Arial" w:hAnsi="Arial" w:cs="Arial"/>
          <w:i/>
          <w:iCs/>
          <w:sz w:val="24"/>
          <w:szCs w:val="24"/>
        </w:rPr>
      </w:pPr>
      <w:r w:rsidRPr="00B17C11">
        <w:rPr>
          <w:rFonts w:ascii="Arial" w:hAnsi="Arial" w:cs="Arial"/>
          <w:i/>
          <w:iCs/>
          <w:sz w:val="24"/>
          <w:szCs w:val="24"/>
        </w:rPr>
        <w:t>All praise is due to God</w:t>
      </w:r>
      <w:r w:rsidR="00CC44F1" w:rsidRPr="00B17C11">
        <w:rPr>
          <w:rFonts w:ascii="Arial" w:hAnsi="Arial" w:cs="Arial"/>
          <w:i/>
          <w:iCs/>
          <w:sz w:val="24"/>
          <w:szCs w:val="24"/>
        </w:rPr>
        <w:t xml:space="preserve">, </w:t>
      </w:r>
      <w:r w:rsidRPr="00B17C11">
        <w:rPr>
          <w:rFonts w:ascii="Arial" w:hAnsi="Arial" w:cs="Arial"/>
          <w:i/>
          <w:iCs/>
          <w:sz w:val="24"/>
          <w:szCs w:val="24"/>
        </w:rPr>
        <w:t>the sustainer of the universe.</w:t>
      </w:r>
    </w:p>
    <w:p w14:paraId="205BB86D" w14:textId="45A93660" w:rsidR="00337691" w:rsidRPr="00B17C11" w:rsidRDefault="00E037F6" w:rsidP="00253B03">
      <w:pPr>
        <w:spacing w:line="360" w:lineRule="auto"/>
        <w:jc w:val="both"/>
        <w:rPr>
          <w:rFonts w:ascii="Arial" w:hAnsi="Arial" w:cs="Arial"/>
          <w:i/>
          <w:iCs/>
          <w:sz w:val="24"/>
          <w:szCs w:val="24"/>
        </w:rPr>
      </w:pPr>
      <w:r w:rsidRPr="00B17C11">
        <w:rPr>
          <w:rFonts w:ascii="Arial" w:hAnsi="Arial" w:cs="Arial"/>
          <w:sz w:val="24"/>
          <w:szCs w:val="24"/>
        </w:rPr>
        <w:t xml:space="preserve">I </w:t>
      </w:r>
      <w:r w:rsidR="00CC44F1" w:rsidRPr="00B17C11">
        <w:rPr>
          <w:rFonts w:ascii="Arial" w:hAnsi="Arial" w:cs="Arial"/>
          <w:sz w:val="24"/>
          <w:szCs w:val="24"/>
        </w:rPr>
        <w:t xml:space="preserve">would like to </w:t>
      </w:r>
      <w:r w:rsidRPr="00B17C11">
        <w:rPr>
          <w:rFonts w:ascii="Arial" w:hAnsi="Arial" w:cs="Arial"/>
          <w:sz w:val="24"/>
          <w:szCs w:val="24"/>
        </w:rPr>
        <w:t>extend my gratitude to</w:t>
      </w:r>
      <w:r w:rsidR="00186BFE" w:rsidRPr="00B17C11">
        <w:rPr>
          <w:rFonts w:ascii="Arial" w:hAnsi="Arial" w:cs="Arial"/>
          <w:sz w:val="24"/>
          <w:szCs w:val="24"/>
        </w:rPr>
        <w:t xml:space="preserve"> my</w:t>
      </w:r>
      <w:r w:rsidRPr="00B17C11">
        <w:rPr>
          <w:rFonts w:ascii="Arial" w:hAnsi="Arial" w:cs="Arial"/>
          <w:sz w:val="24"/>
          <w:szCs w:val="24"/>
        </w:rPr>
        <w:t xml:space="preserve"> supervisor </w:t>
      </w:r>
      <w:r w:rsidR="00337691" w:rsidRPr="00B17C11">
        <w:rPr>
          <w:rFonts w:ascii="Arial" w:hAnsi="Arial" w:cs="Arial"/>
          <w:sz w:val="24"/>
          <w:szCs w:val="24"/>
        </w:rPr>
        <w:t xml:space="preserve">Dr Horn </w:t>
      </w:r>
      <w:r w:rsidRPr="00B17C11">
        <w:rPr>
          <w:rFonts w:ascii="Arial" w:hAnsi="Arial" w:cs="Arial"/>
          <w:sz w:val="24"/>
          <w:szCs w:val="24"/>
        </w:rPr>
        <w:t>for her support and</w:t>
      </w:r>
      <w:r w:rsidR="00337691" w:rsidRPr="00B17C11">
        <w:rPr>
          <w:rFonts w:ascii="Arial" w:hAnsi="Arial" w:cs="Arial"/>
          <w:sz w:val="24"/>
          <w:szCs w:val="24"/>
        </w:rPr>
        <w:t xml:space="preserve"> </w:t>
      </w:r>
      <w:r w:rsidR="003A61E2" w:rsidRPr="00B17C11">
        <w:rPr>
          <w:rFonts w:ascii="Arial" w:hAnsi="Arial" w:cs="Arial"/>
          <w:sz w:val="24"/>
          <w:szCs w:val="24"/>
        </w:rPr>
        <w:t>guidance</w:t>
      </w:r>
      <w:r w:rsidR="009E1BFC" w:rsidRPr="00B17C11">
        <w:rPr>
          <w:rFonts w:ascii="Arial" w:hAnsi="Arial" w:cs="Arial"/>
          <w:sz w:val="24"/>
          <w:szCs w:val="24"/>
        </w:rPr>
        <w:t>, m</w:t>
      </w:r>
      <w:r w:rsidRPr="00B17C11">
        <w:rPr>
          <w:rFonts w:ascii="Arial" w:hAnsi="Arial" w:cs="Arial"/>
          <w:sz w:val="24"/>
          <w:szCs w:val="24"/>
        </w:rPr>
        <w:t>ostly for giving me a chance and</w:t>
      </w:r>
      <w:r w:rsidR="00337691" w:rsidRPr="00B17C11">
        <w:rPr>
          <w:rFonts w:ascii="Arial" w:hAnsi="Arial" w:cs="Arial"/>
          <w:sz w:val="24"/>
          <w:szCs w:val="24"/>
        </w:rPr>
        <w:t xml:space="preserve"> </w:t>
      </w:r>
      <w:r w:rsidR="00ED7E6A" w:rsidRPr="00B17C11">
        <w:rPr>
          <w:rFonts w:ascii="Arial" w:hAnsi="Arial" w:cs="Arial"/>
          <w:sz w:val="24"/>
          <w:szCs w:val="24"/>
        </w:rPr>
        <w:t xml:space="preserve">for </w:t>
      </w:r>
      <w:r w:rsidRPr="00B17C11">
        <w:rPr>
          <w:rFonts w:ascii="Arial" w:hAnsi="Arial" w:cs="Arial"/>
          <w:sz w:val="24"/>
          <w:szCs w:val="24"/>
        </w:rPr>
        <w:t>making available all the resources I needed to complete this task.</w:t>
      </w:r>
    </w:p>
    <w:p w14:paraId="0B59B8ED" w14:textId="47CF7501" w:rsidR="00337691" w:rsidRPr="00B17C11" w:rsidRDefault="00E037F6" w:rsidP="00253B03">
      <w:pPr>
        <w:spacing w:line="360" w:lineRule="auto"/>
        <w:jc w:val="both"/>
        <w:rPr>
          <w:rFonts w:ascii="Arial" w:hAnsi="Arial" w:cs="Arial"/>
          <w:sz w:val="24"/>
          <w:szCs w:val="24"/>
        </w:rPr>
      </w:pPr>
      <w:r w:rsidRPr="00B17C11">
        <w:rPr>
          <w:rFonts w:ascii="Arial" w:hAnsi="Arial" w:cs="Arial"/>
          <w:sz w:val="24"/>
          <w:szCs w:val="24"/>
        </w:rPr>
        <w:t xml:space="preserve">I would also like to express my gratitude to </w:t>
      </w:r>
      <w:r w:rsidR="00337691" w:rsidRPr="00B17C11">
        <w:rPr>
          <w:rFonts w:ascii="Arial" w:hAnsi="Arial" w:cs="Arial"/>
          <w:sz w:val="24"/>
          <w:szCs w:val="24"/>
        </w:rPr>
        <w:t>the</w:t>
      </w:r>
      <w:r w:rsidRPr="00B17C11">
        <w:rPr>
          <w:rFonts w:ascii="Arial" w:hAnsi="Arial" w:cs="Arial"/>
          <w:sz w:val="24"/>
          <w:szCs w:val="24"/>
        </w:rPr>
        <w:t xml:space="preserve"> former Head of the Department Dr Claassen and the entire private law staff.</w:t>
      </w:r>
    </w:p>
    <w:p w14:paraId="513EAF67" w14:textId="6D5D6FC3" w:rsidR="00337691" w:rsidRPr="00B17C11" w:rsidRDefault="00E037F6" w:rsidP="00253B03">
      <w:pPr>
        <w:spacing w:line="360" w:lineRule="auto"/>
        <w:jc w:val="both"/>
        <w:rPr>
          <w:rFonts w:ascii="Arial" w:hAnsi="Arial" w:cs="Arial"/>
          <w:sz w:val="24"/>
          <w:szCs w:val="24"/>
        </w:rPr>
      </w:pPr>
      <w:r w:rsidRPr="00B17C11">
        <w:rPr>
          <w:rFonts w:ascii="Arial" w:hAnsi="Arial" w:cs="Arial"/>
          <w:sz w:val="24"/>
          <w:szCs w:val="24"/>
        </w:rPr>
        <w:t>My appreciation also goes to Mr Motshabi for his mentorship.</w:t>
      </w:r>
    </w:p>
    <w:p w14:paraId="5A3D3249" w14:textId="62C96E99" w:rsidR="005343E1" w:rsidRPr="00B17C11" w:rsidRDefault="00E037F6" w:rsidP="00253B03">
      <w:pPr>
        <w:spacing w:line="360" w:lineRule="auto"/>
        <w:jc w:val="both"/>
        <w:rPr>
          <w:rFonts w:ascii="Arial" w:hAnsi="Arial" w:cs="Arial"/>
          <w:sz w:val="24"/>
          <w:szCs w:val="24"/>
        </w:rPr>
      </w:pPr>
      <w:r w:rsidRPr="00B17C11">
        <w:rPr>
          <w:rFonts w:ascii="Arial" w:hAnsi="Arial" w:cs="Arial"/>
          <w:sz w:val="24"/>
          <w:szCs w:val="24"/>
        </w:rPr>
        <w:t>Words of thanks are also extended to Dr Lerato Ngwenyama for going over my draft</w:t>
      </w:r>
      <w:r w:rsidR="00253B03" w:rsidRPr="00B17C11">
        <w:rPr>
          <w:rFonts w:ascii="Arial" w:hAnsi="Arial" w:cs="Arial"/>
          <w:sz w:val="24"/>
          <w:szCs w:val="24"/>
        </w:rPr>
        <w:t xml:space="preserve"> and making comments.</w:t>
      </w:r>
    </w:p>
    <w:p w14:paraId="4719E29D" w14:textId="5B01EE67" w:rsidR="00337691" w:rsidRPr="00B17C11" w:rsidRDefault="00E013FA" w:rsidP="009E6526">
      <w:pPr>
        <w:spacing w:line="360" w:lineRule="auto"/>
        <w:jc w:val="both"/>
        <w:rPr>
          <w:rFonts w:ascii="Arial" w:hAnsi="Arial" w:cs="Arial"/>
          <w:sz w:val="24"/>
          <w:szCs w:val="24"/>
        </w:rPr>
      </w:pPr>
      <w:r w:rsidRPr="00B17C11">
        <w:rPr>
          <w:rFonts w:ascii="Arial" w:hAnsi="Arial" w:cs="Arial"/>
          <w:sz w:val="24"/>
          <w:szCs w:val="24"/>
        </w:rPr>
        <w:t>A</w:t>
      </w:r>
      <w:r w:rsidR="00186BFE" w:rsidRPr="00B17C11">
        <w:rPr>
          <w:rFonts w:ascii="Arial" w:hAnsi="Arial" w:cs="Arial"/>
          <w:sz w:val="24"/>
          <w:szCs w:val="24"/>
        </w:rPr>
        <w:t>nd a</w:t>
      </w:r>
      <w:r w:rsidRPr="00B17C11">
        <w:rPr>
          <w:rFonts w:ascii="Arial" w:hAnsi="Arial" w:cs="Arial"/>
          <w:sz w:val="24"/>
          <w:szCs w:val="24"/>
        </w:rPr>
        <w:t xml:space="preserve"> Big thanks to my family and friends for their support and prayers.</w:t>
      </w:r>
    </w:p>
    <w:p w14:paraId="5E9B77AA" w14:textId="77777777" w:rsidR="005343E1" w:rsidRPr="00B17C11" w:rsidRDefault="005343E1" w:rsidP="009E6526">
      <w:pPr>
        <w:spacing w:line="360" w:lineRule="auto"/>
        <w:jc w:val="both"/>
        <w:rPr>
          <w:rFonts w:ascii="Arial" w:hAnsi="Arial" w:cs="Arial"/>
          <w:sz w:val="24"/>
          <w:szCs w:val="24"/>
        </w:rPr>
      </w:pPr>
    </w:p>
    <w:p w14:paraId="2EF2FC2E" w14:textId="77777777" w:rsidR="005343E1" w:rsidRPr="00B17C11" w:rsidRDefault="005343E1"/>
    <w:p w14:paraId="528B9FBB" w14:textId="77777777" w:rsidR="005343E1" w:rsidRPr="00B17C11" w:rsidRDefault="005343E1"/>
    <w:p w14:paraId="4F722332" w14:textId="77777777" w:rsidR="005343E1" w:rsidRPr="00B17C11" w:rsidRDefault="005343E1"/>
    <w:p w14:paraId="593A1D6D" w14:textId="77777777" w:rsidR="005343E1" w:rsidRPr="00B17C11" w:rsidRDefault="005343E1"/>
    <w:p w14:paraId="7334F6A6" w14:textId="77777777" w:rsidR="005343E1" w:rsidRPr="00B17C11" w:rsidRDefault="005343E1"/>
    <w:p w14:paraId="36F59BD3" w14:textId="77777777" w:rsidR="005343E1" w:rsidRPr="00B17C11" w:rsidRDefault="005343E1"/>
    <w:p w14:paraId="35DAB5D7" w14:textId="77777777" w:rsidR="005343E1" w:rsidRPr="00B17C11" w:rsidRDefault="005343E1"/>
    <w:p w14:paraId="45E30AD6" w14:textId="77777777" w:rsidR="00E013FA" w:rsidRPr="00B17C11" w:rsidRDefault="00E013FA"/>
    <w:p w14:paraId="58B90887" w14:textId="77777777" w:rsidR="005343E1" w:rsidRPr="00B17C11" w:rsidRDefault="005343E1"/>
    <w:p w14:paraId="0ADCA81E" w14:textId="77777777" w:rsidR="005343E1" w:rsidRPr="00B17C11" w:rsidRDefault="005343E1"/>
    <w:p w14:paraId="26C49807" w14:textId="77777777" w:rsidR="00C3311E" w:rsidRPr="00B17C11" w:rsidRDefault="00C3311E"/>
    <w:p w14:paraId="7952E4A1" w14:textId="77777777" w:rsidR="00C3311E" w:rsidRPr="00B17C11" w:rsidRDefault="00C3311E"/>
    <w:p w14:paraId="073245A4" w14:textId="77777777" w:rsidR="00C3311E" w:rsidRPr="00B17C11" w:rsidRDefault="00C3311E"/>
    <w:p w14:paraId="3D9B6D9F" w14:textId="77777777" w:rsidR="00C3311E" w:rsidRPr="00B17C11" w:rsidRDefault="00C3311E"/>
    <w:p w14:paraId="3315C6F5" w14:textId="77777777" w:rsidR="00F21E2B" w:rsidRPr="00B17C11" w:rsidRDefault="00F21E2B"/>
    <w:p w14:paraId="44AD851B" w14:textId="77777777" w:rsidR="00C3311E" w:rsidRPr="00B17C11" w:rsidRDefault="00C3311E"/>
    <w:sdt>
      <w:sdtPr>
        <w:rPr>
          <w:rFonts w:ascii="Arial" w:eastAsiaTheme="minorHAnsi" w:hAnsi="Arial" w:cs="Arial"/>
          <w:color w:val="auto"/>
          <w:sz w:val="24"/>
          <w:szCs w:val="24"/>
          <w:lang w:val="en-ZA"/>
        </w:rPr>
        <w:id w:val="-149296399"/>
        <w:docPartObj>
          <w:docPartGallery w:val="Table of Contents"/>
          <w:docPartUnique/>
        </w:docPartObj>
      </w:sdtPr>
      <w:sdtEndPr>
        <w:rPr>
          <w:b/>
          <w:bCs/>
          <w:noProof/>
        </w:rPr>
      </w:sdtEndPr>
      <w:sdtContent>
        <w:p w14:paraId="23C5914D" w14:textId="1028E2FF" w:rsidR="009658EC" w:rsidRPr="00B17C11" w:rsidRDefault="00E336C2" w:rsidP="009658EC">
          <w:pPr>
            <w:pStyle w:val="TOCHeading"/>
            <w:jc w:val="center"/>
            <w:rPr>
              <w:rFonts w:ascii="Arial" w:hAnsi="Arial" w:cs="Arial"/>
              <w:b/>
              <w:bCs/>
              <w:color w:val="auto"/>
              <w:sz w:val="24"/>
              <w:szCs w:val="24"/>
            </w:rPr>
          </w:pPr>
          <w:r w:rsidRPr="00B17C11">
            <w:rPr>
              <w:rFonts w:ascii="Arial" w:hAnsi="Arial" w:cs="Arial"/>
              <w:b/>
              <w:bCs/>
              <w:color w:val="auto"/>
              <w:sz w:val="24"/>
              <w:szCs w:val="24"/>
            </w:rPr>
            <w:t>TABLE OF CONTENTS</w:t>
          </w:r>
        </w:p>
        <w:p w14:paraId="5DA6C47D" w14:textId="77777777" w:rsidR="00E336C2" w:rsidRPr="00B17C11" w:rsidRDefault="00E336C2" w:rsidP="00E336C2">
          <w:pPr>
            <w:rPr>
              <w:rFonts w:ascii="Arial" w:hAnsi="Arial" w:cs="Arial"/>
              <w:sz w:val="24"/>
              <w:szCs w:val="24"/>
              <w:lang w:val="en-US"/>
            </w:rPr>
          </w:pPr>
        </w:p>
        <w:p w14:paraId="467EC741" w14:textId="0B860BD5" w:rsidR="00E336C2" w:rsidRPr="00B17C11" w:rsidRDefault="009658EC">
          <w:pPr>
            <w:pStyle w:val="TOC1"/>
            <w:rPr>
              <w:rFonts w:eastAsiaTheme="minorEastAsia"/>
              <w:b w:val="0"/>
              <w:bCs w:val="0"/>
              <w:kern w:val="2"/>
              <w:lang w:eastAsia="en-ZA"/>
              <w14:ligatures w14:val="standardContextual"/>
            </w:rPr>
          </w:pPr>
          <w:r w:rsidRPr="00B17C11">
            <w:fldChar w:fldCharType="begin"/>
          </w:r>
          <w:r w:rsidRPr="00B17C11">
            <w:instrText xml:space="preserve"> TOC \o "1-3" \h \z \u </w:instrText>
          </w:r>
          <w:r w:rsidRPr="00B17C11">
            <w:fldChar w:fldCharType="separate"/>
          </w:r>
          <w:hyperlink w:anchor="_Toc181339528" w:history="1">
            <w:r w:rsidR="00E336C2" w:rsidRPr="00B17C11">
              <w:rPr>
                <w:rStyle w:val="Hyperlink"/>
                <w:color w:val="auto"/>
              </w:rPr>
              <w:t>CHAPTER 1 : INTRODUCTION</w:t>
            </w:r>
            <w:r w:rsidR="00E336C2" w:rsidRPr="00B17C11">
              <w:rPr>
                <w:webHidden/>
              </w:rPr>
              <w:tab/>
            </w:r>
            <w:r w:rsidR="00E336C2" w:rsidRPr="00B17C11">
              <w:rPr>
                <w:webHidden/>
              </w:rPr>
              <w:fldChar w:fldCharType="begin"/>
            </w:r>
            <w:r w:rsidR="00E336C2" w:rsidRPr="00B17C11">
              <w:rPr>
                <w:webHidden/>
              </w:rPr>
              <w:instrText xml:space="preserve"> PAGEREF _Toc181339528 \h </w:instrText>
            </w:r>
            <w:r w:rsidR="00E336C2" w:rsidRPr="00B17C11">
              <w:rPr>
                <w:webHidden/>
              </w:rPr>
            </w:r>
            <w:r w:rsidR="00E336C2" w:rsidRPr="00B17C11">
              <w:rPr>
                <w:webHidden/>
              </w:rPr>
              <w:fldChar w:fldCharType="separate"/>
            </w:r>
            <w:r w:rsidR="0026258A">
              <w:rPr>
                <w:webHidden/>
              </w:rPr>
              <w:t>1</w:t>
            </w:r>
            <w:r w:rsidR="00E336C2" w:rsidRPr="00B17C11">
              <w:rPr>
                <w:webHidden/>
              </w:rPr>
              <w:fldChar w:fldCharType="end"/>
            </w:r>
          </w:hyperlink>
        </w:p>
        <w:p w14:paraId="08AEDD70" w14:textId="6FAFF1C1"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29" w:history="1">
            <w:r w:rsidRPr="00B17C11">
              <w:rPr>
                <w:rStyle w:val="Hyperlink"/>
                <w:rFonts w:ascii="Arial" w:hAnsi="Arial" w:cs="Arial"/>
                <w:noProof/>
                <w:color w:val="auto"/>
                <w:sz w:val="24"/>
                <w:szCs w:val="24"/>
              </w:rPr>
              <w:t xml:space="preserve">1.1 </w:t>
            </w:r>
            <w:r w:rsidRPr="00B17C11">
              <w:rPr>
                <w:rStyle w:val="Hyperlink"/>
                <w:rFonts w:ascii="Arial" w:hAnsi="Arial" w:cs="Arial"/>
                <w:noProof/>
                <w:color w:val="auto"/>
                <w:sz w:val="24"/>
                <w:szCs w:val="24"/>
              </w:rPr>
              <w:tab/>
              <w:t>Historical Background</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_Toc181339529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w:t>
            </w:r>
            <w:r w:rsidRPr="00B17C11">
              <w:rPr>
                <w:rFonts w:ascii="Arial" w:hAnsi="Arial" w:cs="Arial"/>
                <w:noProof/>
                <w:webHidden/>
                <w:sz w:val="24"/>
                <w:szCs w:val="24"/>
              </w:rPr>
              <w:fldChar w:fldCharType="end"/>
            </w:r>
          </w:hyperlink>
        </w:p>
        <w:p w14:paraId="3771B67A" w14:textId="1672D55A"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0" w:history="1">
            <w:r w:rsidRPr="00B17C11">
              <w:rPr>
                <w:rStyle w:val="Hyperlink"/>
                <w:rFonts w:ascii="Arial" w:hAnsi="Arial" w:cs="Arial"/>
                <w:noProof/>
                <w:color w:val="auto"/>
                <w:sz w:val="24"/>
                <w:szCs w:val="24"/>
                <w:shd w:val="clear" w:color="auto" w:fill="FFFFFF"/>
              </w:rPr>
              <w:t xml:space="preserve">1.2 </w:t>
            </w:r>
            <w:r w:rsidRPr="00B17C11">
              <w:rPr>
                <w:rStyle w:val="Hyperlink"/>
                <w:rFonts w:ascii="Arial" w:hAnsi="Arial" w:cs="Arial"/>
                <w:noProof/>
                <w:color w:val="auto"/>
                <w:sz w:val="24"/>
                <w:szCs w:val="24"/>
                <w:shd w:val="clear" w:color="auto" w:fill="FFFFFF"/>
              </w:rPr>
              <w:tab/>
              <w:t>Research Problem</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_Toc181339530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5</w:t>
            </w:r>
            <w:r w:rsidRPr="00B17C11">
              <w:rPr>
                <w:rFonts w:ascii="Arial" w:hAnsi="Arial" w:cs="Arial"/>
                <w:noProof/>
                <w:webHidden/>
                <w:sz w:val="24"/>
                <w:szCs w:val="24"/>
              </w:rPr>
              <w:fldChar w:fldCharType="end"/>
            </w:r>
          </w:hyperlink>
        </w:p>
        <w:p w14:paraId="20724748" w14:textId="2B0CA08B"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1" w:history="1">
            <w:r w:rsidRPr="00B17C11">
              <w:rPr>
                <w:rStyle w:val="Hyperlink"/>
                <w:rFonts w:ascii="Arial" w:hAnsi="Arial" w:cs="Arial"/>
                <w:noProof/>
                <w:color w:val="auto"/>
                <w:sz w:val="24"/>
                <w:szCs w:val="24"/>
                <w:shd w:val="clear" w:color="auto" w:fill="FFFFFF"/>
              </w:rPr>
              <w:t xml:space="preserve">1.3 </w:t>
            </w:r>
            <w:r w:rsidRPr="00B17C11">
              <w:rPr>
                <w:rStyle w:val="Hyperlink"/>
                <w:rFonts w:ascii="Arial" w:hAnsi="Arial" w:cs="Arial"/>
                <w:noProof/>
                <w:color w:val="auto"/>
                <w:sz w:val="24"/>
                <w:szCs w:val="24"/>
                <w:shd w:val="clear" w:color="auto" w:fill="FFFFFF"/>
              </w:rPr>
              <w:tab/>
              <w:t>Main Research Question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_Toc181339531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7</w:t>
            </w:r>
            <w:r w:rsidRPr="00B17C11">
              <w:rPr>
                <w:rFonts w:ascii="Arial" w:hAnsi="Arial" w:cs="Arial"/>
                <w:noProof/>
                <w:webHidden/>
                <w:sz w:val="24"/>
                <w:szCs w:val="24"/>
              </w:rPr>
              <w:fldChar w:fldCharType="end"/>
            </w:r>
          </w:hyperlink>
        </w:p>
        <w:p w14:paraId="5B254A47" w14:textId="73030421"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2" w:history="1">
            <w:r w:rsidRPr="00B17C11">
              <w:rPr>
                <w:rStyle w:val="Hyperlink"/>
                <w:rFonts w:ascii="Arial" w:hAnsi="Arial" w:cs="Arial"/>
                <w:noProof/>
                <w:color w:val="auto"/>
                <w:sz w:val="24"/>
                <w:szCs w:val="24"/>
                <w:shd w:val="clear" w:color="auto" w:fill="FFFFFF"/>
              </w:rPr>
              <w:t xml:space="preserve">1.4 </w:t>
            </w:r>
            <w:r w:rsidRPr="00B17C11">
              <w:rPr>
                <w:rStyle w:val="Hyperlink"/>
                <w:rFonts w:ascii="Arial" w:hAnsi="Arial" w:cs="Arial"/>
                <w:noProof/>
                <w:color w:val="auto"/>
                <w:sz w:val="24"/>
                <w:szCs w:val="24"/>
                <w:shd w:val="clear" w:color="auto" w:fill="FFFFFF"/>
              </w:rPr>
              <w:tab/>
              <w:t>Research Methodology</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_Toc181339532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8</w:t>
            </w:r>
            <w:r w:rsidRPr="00B17C11">
              <w:rPr>
                <w:rFonts w:ascii="Arial" w:hAnsi="Arial" w:cs="Arial"/>
                <w:noProof/>
                <w:webHidden/>
                <w:sz w:val="24"/>
                <w:szCs w:val="24"/>
              </w:rPr>
              <w:fldChar w:fldCharType="end"/>
            </w:r>
          </w:hyperlink>
        </w:p>
        <w:p w14:paraId="409F7DAE" w14:textId="1D785BE5"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3" w:history="1">
            <w:r w:rsidRPr="00B17C11">
              <w:rPr>
                <w:rStyle w:val="Hyperlink"/>
                <w:rFonts w:ascii="Arial" w:hAnsi="Arial" w:cs="Arial"/>
                <w:noProof/>
                <w:color w:val="auto"/>
                <w:sz w:val="24"/>
                <w:szCs w:val="24"/>
                <w:shd w:val="clear" w:color="auto" w:fill="FFFFFF"/>
              </w:rPr>
              <w:t xml:space="preserve">1.5 </w:t>
            </w:r>
            <w:r w:rsidRPr="00B17C11">
              <w:rPr>
                <w:rStyle w:val="Hyperlink"/>
                <w:rFonts w:ascii="Arial" w:hAnsi="Arial" w:cs="Arial"/>
                <w:noProof/>
                <w:color w:val="auto"/>
                <w:sz w:val="24"/>
                <w:szCs w:val="24"/>
                <w:shd w:val="clear" w:color="auto" w:fill="FFFFFF"/>
              </w:rPr>
              <w:tab/>
              <w:t>Rationale</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_Toc181339533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8</w:t>
            </w:r>
            <w:r w:rsidRPr="00B17C11">
              <w:rPr>
                <w:rFonts w:ascii="Arial" w:hAnsi="Arial" w:cs="Arial"/>
                <w:noProof/>
                <w:webHidden/>
                <w:sz w:val="24"/>
                <w:szCs w:val="24"/>
              </w:rPr>
              <w:fldChar w:fldCharType="end"/>
            </w:r>
          </w:hyperlink>
        </w:p>
        <w:p w14:paraId="41A547AA" w14:textId="58E8FFA5"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4" w:history="1">
            <w:r w:rsidRPr="00B17C11">
              <w:rPr>
                <w:rStyle w:val="Hyperlink"/>
                <w:rFonts w:ascii="Arial" w:hAnsi="Arial" w:cs="Arial"/>
                <w:noProof/>
                <w:color w:val="auto"/>
                <w:sz w:val="24"/>
                <w:szCs w:val="24"/>
                <w:shd w:val="clear" w:color="auto" w:fill="FFFFFF"/>
              </w:rPr>
              <w:t xml:space="preserve">1.6 </w:t>
            </w:r>
            <w:r w:rsidRPr="00B17C11">
              <w:rPr>
                <w:rStyle w:val="Hyperlink"/>
                <w:rFonts w:ascii="Arial" w:hAnsi="Arial" w:cs="Arial"/>
                <w:noProof/>
                <w:color w:val="auto"/>
                <w:sz w:val="24"/>
                <w:szCs w:val="24"/>
                <w:shd w:val="clear" w:color="auto" w:fill="FFFFFF"/>
              </w:rPr>
              <w:tab/>
              <w:t>Chapter Outline</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_Toc181339534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9</w:t>
            </w:r>
            <w:r w:rsidRPr="00B17C11">
              <w:rPr>
                <w:rFonts w:ascii="Arial" w:hAnsi="Arial" w:cs="Arial"/>
                <w:noProof/>
                <w:webHidden/>
                <w:sz w:val="24"/>
                <w:szCs w:val="24"/>
              </w:rPr>
              <w:fldChar w:fldCharType="end"/>
            </w:r>
          </w:hyperlink>
        </w:p>
        <w:p w14:paraId="7CBB1B39" w14:textId="23C19B32" w:rsidR="00E336C2" w:rsidRPr="00B17C11" w:rsidRDefault="00E336C2">
          <w:pPr>
            <w:pStyle w:val="TOC1"/>
            <w:rPr>
              <w:rFonts w:eastAsiaTheme="minorEastAsia"/>
              <w:b w:val="0"/>
              <w:bCs w:val="0"/>
              <w:kern w:val="2"/>
              <w:lang w:eastAsia="en-ZA"/>
              <w14:ligatures w14:val="standardContextual"/>
            </w:rPr>
          </w:pPr>
          <w:hyperlink w:anchor="_Toc181339535" w:history="1">
            <w:r w:rsidRPr="00B17C11">
              <w:rPr>
                <w:rStyle w:val="Hyperlink"/>
                <w:color w:val="auto"/>
              </w:rPr>
              <w:t>CHAPTER 2</w:t>
            </w:r>
            <w:r w:rsidRPr="00B17C11">
              <w:rPr>
                <w:rStyle w:val="Hyperlink"/>
                <w:color w:val="auto"/>
                <w:shd w:val="clear" w:color="auto" w:fill="FFFFFF"/>
              </w:rPr>
              <w:t xml:space="preserve"> : A HISTORICAL OVERVIEW OF THE SPOLIATION REMEDY</w:t>
            </w:r>
            <w:r w:rsidRPr="00B17C11">
              <w:rPr>
                <w:webHidden/>
              </w:rPr>
              <w:tab/>
            </w:r>
            <w:r w:rsidRPr="00B17C11">
              <w:rPr>
                <w:webHidden/>
              </w:rPr>
              <w:fldChar w:fldCharType="begin"/>
            </w:r>
            <w:r w:rsidRPr="00B17C11">
              <w:rPr>
                <w:webHidden/>
              </w:rPr>
              <w:instrText xml:space="preserve"> PAGEREF _Toc181339535 \h </w:instrText>
            </w:r>
            <w:r w:rsidRPr="00B17C11">
              <w:rPr>
                <w:webHidden/>
              </w:rPr>
            </w:r>
            <w:r w:rsidRPr="00B17C11">
              <w:rPr>
                <w:webHidden/>
              </w:rPr>
              <w:fldChar w:fldCharType="separate"/>
            </w:r>
            <w:r w:rsidR="0026258A">
              <w:rPr>
                <w:webHidden/>
              </w:rPr>
              <w:t>10</w:t>
            </w:r>
            <w:r w:rsidRPr="00B17C11">
              <w:rPr>
                <w:webHidden/>
              </w:rPr>
              <w:fldChar w:fldCharType="end"/>
            </w:r>
          </w:hyperlink>
        </w:p>
        <w:p w14:paraId="31104B13" w14:textId="1B12C425"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6" w:history="1">
            <w:r w:rsidRPr="00B17C11">
              <w:rPr>
                <w:rStyle w:val="Hyperlink"/>
                <w:rFonts w:ascii="Arial" w:hAnsi="Arial" w:cs="Arial"/>
                <w:noProof/>
                <w:color w:val="auto"/>
                <w:sz w:val="24"/>
                <w:szCs w:val="24"/>
                <w:shd w:val="clear" w:color="auto" w:fill="FFFFFF"/>
              </w:rPr>
              <w:t>2.1</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shd w:val="clear" w:color="auto" w:fill="FFFFFF"/>
              </w:rPr>
              <w:t>Introduction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_Toc181339536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10</w:t>
            </w:r>
            <w:r w:rsidRPr="00B17C11">
              <w:rPr>
                <w:rFonts w:ascii="Arial" w:hAnsi="Arial" w:cs="Arial"/>
                <w:noProof/>
                <w:webHidden/>
                <w:sz w:val="24"/>
                <w:szCs w:val="24"/>
              </w:rPr>
              <w:fldChar w:fldCharType="end"/>
            </w:r>
          </w:hyperlink>
        </w:p>
        <w:p w14:paraId="591CEAFF" w14:textId="014312B7"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7" w:history="1">
            <w:r w:rsidRPr="00B17C11">
              <w:rPr>
                <w:rStyle w:val="Hyperlink"/>
                <w:rFonts w:ascii="Arial" w:hAnsi="Arial" w:cs="Arial"/>
                <w:noProof/>
                <w:color w:val="auto"/>
                <w:sz w:val="24"/>
                <w:szCs w:val="24"/>
                <w:shd w:val="clear" w:color="auto" w:fill="FFFFFF"/>
              </w:rPr>
              <w:t>2.2</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shd w:val="clear" w:color="auto" w:fill="FFFFFF"/>
              </w:rPr>
              <w:t>Possession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_Toc181339537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10</w:t>
            </w:r>
            <w:r w:rsidRPr="00B17C11">
              <w:rPr>
                <w:rFonts w:ascii="Arial" w:hAnsi="Arial" w:cs="Arial"/>
                <w:noProof/>
                <w:webHidden/>
                <w:sz w:val="24"/>
                <w:szCs w:val="24"/>
              </w:rPr>
              <w:fldChar w:fldCharType="end"/>
            </w:r>
          </w:hyperlink>
        </w:p>
        <w:p w14:paraId="45702356" w14:textId="5E1564E2"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8" w:history="1">
            <w:r w:rsidRPr="00B17C11">
              <w:rPr>
                <w:rStyle w:val="Hyperlink"/>
                <w:rFonts w:ascii="Arial" w:hAnsi="Arial" w:cs="Arial"/>
                <w:noProof/>
                <w:color w:val="auto"/>
                <w:sz w:val="24"/>
                <w:szCs w:val="24"/>
                <w:shd w:val="clear" w:color="auto" w:fill="FFFFFF"/>
              </w:rPr>
              <w:t>2.3</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shd w:val="clear" w:color="auto" w:fill="FFFFFF"/>
              </w:rPr>
              <w:t>The reception of the Spoliation remedy into South African Law</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_Toc181339538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13</w:t>
            </w:r>
            <w:r w:rsidRPr="00B17C11">
              <w:rPr>
                <w:rFonts w:ascii="Arial" w:hAnsi="Arial" w:cs="Arial"/>
                <w:noProof/>
                <w:webHidden/>
                <w:sz w:val="24"/>
                <w:szCs w:val="24"/>
              </w:rPr>
              <w:fldChar w:fldCharType="end"/>
            </w:r>
          </w:hyperlink>
        </w:p>
        <w:p w14:paraId="7A0866E4" w14:textId="2FDA515B"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39" w:history="1">
            <w:r w:rsidRPr="00B17C11">
              <w:rPr>
                <w:rStyle w:val="Hyperlink"/>
                <w:rFonts w:ascii="Arial" w:hAnsi="Arial" w:cs="Arial"/>
                <w:noProof/>
                <w:color w:val="auto"/>
                <w:sz w:val="24"/>
                <w:szCs w:val="24"/>
                <w:shd w:val="clear" w:color="auto" w:fill="FFFFFF"/>
              </w:rPr>
              <w:t xml:space="preserve">2.4. </w:t>
            </w:r>
            <w:r w:rsidRPr="00B17C11">
              <w:rPr>
                <w:rStyle w:val="Hyperlink"/>
                <w:rFonts w:ascii="Arial" w:hAnsi="Arial" w:cs="Arial"/>
                <w:noProof/>
                <w:color w:val="auto"/>
                <w:sz w:val="24"/>
                <w:szCs w:val="24"/>
                <w:shd w:val="clear" w:color="auto" w:fill="FFFFFF"/>
              </w:rPr>
              <w:tab/>
              <w:t>The requirements and scope for the spoliation remedy</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_Toc181339539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14</w:t>
            </w:r>
            <w:r w:rsidRPr="00B17C11">
              <w:rPr>
                <w:rFonts w:ascii="Arial" w:hAnsi="Arial" w:cs="Arial"/>
                <w:noProof/>
                <w:webHidden/>
                <w:sz w:val="24"/>
                <w:szCs w:val="24"/>
              </w:rPr>
              <w:fldChar w:fldCharType="end"/>
            </w:r>
          </w:hyperlink>
        </w:p>
        <w:p w14:paraId="2F603210" w14:textId="0E5F1168"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40" w:history="1">
            <w:r w:rsidRPr="00B17C11">
              <w:rPr>
                <w:rStyle w:val="Hyperlink"/>
                <w:rFonts w:ascii="Arial" w:hAnsi="Arial" w:cs="Arial"/>
                <w:noProof/>
                <w:color w:val="auto"/>
                <w:sz w:val="24"/>
                <w:szCs w:val="24"/>
              </w:rPr>
              <w:t>2.4.1 Requirements</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_Toc181339540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14</w:t>
            </w:r>
            <w:r w:rsidRPr="00B17C11">
              <w:rPr>
                <w:rFonts w:ascii="Arial" w:hAnsi="Arial" w:cs="Arial"/>
                <w:noProof/>
                <w:webHidden/>
                <w:sz w:val="24"/>
                <w:szCs w:val="24"/>
              </w:rPr>
              <w:fldChar w:fldCharType="end"/>
            </w:r>
          </w:hyperlink>
        </w:p>
        <w:p w14:paraId="186D65C2" w14:textId="4F9545F0"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41" w:history="1">
            <w:r w:rsidRPr="00B17C11">
              <w:rPr>
                <w:rStyle w:val="Hyperlink"/>
                <w:rFonts w:ascii="Arial" w:hAnsi="Arial" w:cs="Arial"/>
                <w:noProof/>
                <w:color w:val="auto"/>
                <w:sz w:val="24"/>
                <w:szCs w:val="24"/>
              </w:rPr>
              <w:t>2.4.2 Procedure</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_Toc181339541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20</w:t>
            </w:r>
            <w:r w:rsidRPr="00B17C11">
              <w:rPr>
                <w:rFonts w:ascii="Arial" w:hAnsi="Arial" w:cs="Arial"/>
                <w:noProof/>
                <w:webHidden/>
                <w:sz w:val="24"/>
                <w:szCs w:val="24"/>
              </w:rPr>
              <w:fldChar w:fldCharType="end"/>
            </w:r>
          </w:hyperlink>
        </w:p>
        <w:p w14:paraId="37E58411" w14:textId="69695061"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42" w:history="1">
            <w:r w:rsidRPr="00B17C11">
              <w:rPr>
                <w:rStyle w:val="Hyperlink"/>
                <w:rFonts w:ascii="Arial" w:hAnsi="Arial" w:cs="Arial"/>
                <w:noProof/>
                <w:color w:val="auto"/>
                <w:sz w:val="24"/>
                <w:szCs w:val="24"/>
              </w:rPr>
              <w:t>2.4.3 Scope</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_Toc181339542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21</w:t>
            </w:r>
            <w:r w:rsidRPr="00B17C11">
              <w:rPr>
                <w:rFonts w:ascii="Arial" w:hAnsi="Arial" w:cs="Arial"/>
                <w:noProof/>
                <w:webHidden/>
                <w:sz w:val="24"/>
                <w:szCs w:val="24"/>
              </w:rPr>
              <w:fldChar w:fldCharType="end"/>
            </w:r>
          </w:hyperlink>
        </w:p>
        <w:p w14:paraId="7B0849AD" w14:textId="3DA49C30" w:rsidR="00E336C2" w:rsidRPr="00B17C11" w:rsidRDefault="007D6354">
          <w:pPr>
            <w:pStyle w:val="TOC2"/>
            <w:rPr>
              <w:rFonts w:ascii="Arial" w:eastAsiaTheme="minorEastAsia" w:hAnsi="Arial" w:cs="Arial"/>
              <w:noProof/>
              <w:kern w:val="2"/>
              <w:sz w:val="24"/>
              <w:szCs w:val="24"/>
              <w:lang w:eastAsia="en-ZA"/>
              <w14:ligatures w14:val="standardContextual"/>
            </w:rPr>
          </w:pPr>
          <w:r w:rsidRPr="00B17C11">
            <w:rPr>
              <w:noProof/>
            </w:rPr>
            <mc:AlternateContent>
              <mc:Choice Requires="aink">
                <w:drawing>
                  <wp:anchor distT="0" distB="0" distL="114300" distR="114300" simplePos="0" relativeHeight="251665920" behindDoc="0" locked="0" layoutInCell="1" allowOverlap="1" wp14:anchorId="65227A4E" wp14:editId="278686EE">
                    <wp:simplePos x="0" y="0"/>
                    <wp:positionH relativeFrom="column">
                      <wp:posOffset>304860</wp:posOffset>
                    </wp:positionH>
                    <wp:positionV relativeFrom="paragraph">
                      <wp:posOffset>121905</wp:posOffset>
                    </wp:positionV>
                    <wp:extent cx="360" cy="360"/>
                    <wp:effectExtent l="0" t="0" r="0" b="0"/>
                    <wp:wrapNone/>
                    <wp:docPr id="1401762553" name="Ink 9"/>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w:drawing>
                  <wp:anchor distT="0" distB="0" distL="114300" distR="114300" simplePos="0" relativeHeight="251665920" behindDoc="0" locked="0" layoutInCell="1" allowOverlap="1" wp14:anchorId="65227A4E" wp14:editId="278686EE">
                    <wp:simplePos x="0" y="0"/>
                    <wp:positionH relativeFrom="column">
                      <wp:posOffset>304860</wp:posOffset>
                    </wp:positionH>
                    <wp:positionV relativeFrom="paragraph">
                      <wp:posOffset>121905</wp:posOffset>
                    </wp:positionV>
                    <wp:extent cx="360" cy="360"/>
                    <wp:effectExtent l="0" t="0" r="0" b="0"/>
                    <wp:wrapNone/>
                    <wp:docPr id="1401762553" name="Ink 9"/>
                    <wp:cNvGraphicFramePr/>
                    <a:graphic xmlns:a="http://schemas.openxmlformats.org/drawingml/2006/main">
                      <a:graphicData uri="http://schemas.openxmlformats.org/drawingml/2006/picture">
                        <pic:pic xmlns:pic="http://schemas.openxmlformats.org/drawingml/2006/picture">
                          <pic:nvPicPr>
                            <pic:cNvPr id="1401762553" name="Ink 9"/>
                            <pic:cNvPicPr/>
                          </pic:nvPicPr>
                          <pic:blipFill>
                            <a:blip r:embed="rId9"/>
                            <a:stretch>
                              <a:fillRect/>
                            </a:stretch>
                          </pic:blipFill>
                          <pic:spPr>
                            <a:xfrm>
                              <a:off x="0" y="0"/>
                              <a:ext cx="18000" cy="108000"/>
                            </a:xfrm>
                            <a:prstGeom prst="rect">
                              <a:avLst/>
                            </a:prstGeom>
                          </pic:spPr>
                        </pic:pic>
                      </a:graphicData>
                    </a:graphic>
                  </wp:anchor>
                </w:drawing>
              </mc:Fallback>
            </mc:AlternateContent>
          </w:r>
          <w:hyperlink w:anchor="_Toc181339543" w:history="1">
            <w:r w:rsidR="00E336C2" w:rsidRPr="00B17C11">
              <w:rPr>
                <w:rStyle w:val="Hyperlink"/>
                <w:rFonts w:ascii="Arial" w:hAnsi="Arial" w:cs="Arial"/>
                <w:noProof/>
                <w:color w:val="auto"/>
                <w:sz w:val="24"/>
                <w:szCs w:val="24"/>
                <w:shd w:val="clear" w:color="auto" w:fill="FFFFFF"/>
              </w:rPr>
              <w:t>2.</w:t>
            </w:r>
            <w:r w:rsidR="005A3078" w:rsidRPr="00B17C11">
              <w:rPr>
                <w:rStyle w:val="Hyperlink"/>
                <w:rFonts w:ascii="Arial" w:hAnsi="Arial" w:cs="Arial"/>
                <w:noProof/>
                <w:color w:val="auto"/>
                <w:sz w:val="24"/>
                <w:szCs w:val="24"/>
                <w:shd w:val="clear" w:color="auto" w:fill="FFFFFF"/>
              </w:rPr>
              <w:t>5</w:t>
            </w:r>
            <w:r w:rsidR="00E336C2" w:rsidRPr="00B17C11">
              <w:rPr>
                <w:rFonts w:ascii="Arial" w:eastAsiaTheme="minorEastAsia" w:hAnsi="Arial" w:cs="Arial"/>
                <w:noProof/>
                <w:kern w:val="2"/>
                <w:sz w:val="24"/>
                <w:szCs w:val="24"/>
                <w:lang w:eastAsia="en-ZA"/>
                <w14:ligatures w14:val="standardContextual"/>
              </w:rPr>
              <w:tab/>
            </w:r>
            <w:r w:rsidR="00E336C2" w:rsidRPr="00B17C11">
              <w:rPr>
                <w:rStyle w:val="Hyperlink"/>
                <w:rFonts w:ascii="Arial" w:hAnsi="Arial" w:cs="Arial"/>
                <w:noProof/>
                <w:color w:val="auto"/>
                <w:sz w:val="24"/>
                <w:szCs w:val="24"/>
                <w:shd w:val="clear" w:color="auto" w:fill="FFFFFF"/>
              </w:rPr>
              <w:t>The purpose of the Spoliation remedy</w:t>
            </w:r>
            <w:r w:rsidR="00E336C2" w:rsidRPr="00B17C11">
              <w:rPr>
                <w:rFonts w:ascii="Arial" w:hAnsi="Arial" w:cs="Arial"/>
                <w:noProof/>
                <w:webHidden/>
                <w:sz w:val="24"/>
                <w:szCs w:val="24"/>
              </w:rPr>
              <w:tab/>
            </w:r>
            <w:r w:rsidR="00E336C2" w:rsidRPr="00B17C11">
              <w:rPr>
                <w:rFonts w:ascii="Arial" w:hAnsi="Arial" w:cs="Arial"/>
                <w:noProof/>
                <w:webHidden/>
                <w:sz w:val="24"/>
                <w:szCs w:val="24"/>
              </w:rPr>
              <w:fldChar w:fldCharType="begin"/>
            </w:r>
            <w:r w:rsidR="00E336C2" w:rsidRPr="00B17C11">
              <w:rPr>
                <w:rFonts w:ascii="Arial" w:hAnsi="Arial" w:cs="Arial"/>
                <w:noProof/>
                <w:webHidden/>
                <w:sz w:val="24"/>
                <w:szCs w:val="24"/>
              </w:rPr>
              <w:instrText xml:space="preserve"> PAGEREF _Toc181339543 \h </w:instrText>
            </w:r>
            <w:r w:rsidR="00E336C2" w:rsidRPr="00B17C11">
              <w:rPr>
                <w:rFonts w:ascii="Arial" w:hAnsi="Arial" w:cs="Arial"/>
                <w:noProof/>
                <w:webHidden/>
                <w:sz w:val="24"/>
                <w:szCs w:val="24"/>
              </w:rPr>
            </w:r>
            <w:r w:rsidR="00E336C2" w:rsidRPr="00B17C11">
              <w:rPr>
                <w:rFonts w:ascii="Arial" w:hAnsi="Arial" w:cs="Arial"/>
                <w:noProof/>
                <w:webHidden/>
                <w:sz w:val="24"/>
                <w:szCs w:val="24"/>
              </w:rPr>
              <w:fldChar w:fldCharType="separate"/>
            </w:r>
            <w:r w:rsidR="0026258A">
              <w:rPr>
                <w:rFonts w:ascii="Arial" w:hAnsi="Arial" w:cs="Arial"/>
                <w:noProof/>
                <w:webHidden/>
                <w:sz w:val="24"/>
                <w:szCs w:val="24"/>
              </w:rPr>
              <w:t>24</w:t>
            </w:r>
            <w:r w:rsidR="00E336C2" w:rsidRPr="00B17C11">
              <w:rPr>
                <w:rFonts w:ascii="Arial" w:hAnsi="Arial" w:cs="Arial"/>
                <w:noProof/>
                <w:webHidden/>
                <w:sz w:val="24"/>
                <w:szCs w:val="24"/>
              </w:rPr>
              <w:fldChar w:fldCharType="end"/>
            </w:r>
          </w:hyperlink>
        </w:p>
        <w:p w14:paraId="07FF7952" w14:textId="3E7CD8AB"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44" w:history="1">
            <w:r w:rsidRPr="00B17C11">
              <w:rPr>
                <w:rStyle w:val="Hyperlink"/>
                <w:rFonts w:ascii="Arial" w:hAnsi="Arial" w:cs="Arial"/>
                <w:noProof/>
                <w:color w:val="auto"/>
                <w:sz w:val="24"/>
                <w:szCs w:val="24"/>
                <w:shd w:val="clear" w:color="auto" w:fill="FFFFFF"/>
              </w:rPr>
              <w:t>2.</w:t>
            </w:r>
            <w:r w:rsidR="005A3078" w:rsidRPr="00B17C11">
              <w:rPr>
                <w:rStyle w:val="Hyperlink"/>
                <w:rFonts w:ascii="Arial" w:hAnsi="Arial" w:cs="Arial"/>
                <w:noProof/>
                <w:color w:val="auto"/>
                <w:sz w:val="24"/>
                <w:szCs w:val="24"/>
                <w:shd w:val="clear" w:color="auto" w:fill="FFFFFF"/>
              </w:rPr>
              <w:t>6</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shd w:val="clear" w:color="auto" w:fill="FFFFFF"/>
              </w:rPr>
              <w:t>Conclusion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_Toc181339544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29</w:t>
            </w:r>
            <w:r w:rsidRPr="00B17C11">
              <w:rPr>
                <w:rFonts w:ascii="Arial" w:hAnsi="Arial" w:cs="Arial"/>
                <w:noProof/>
                <w:webHidden/>
                <w:sz w:val="24"/>
                <w:szCs w:val="24"/>
              </w:rPr>
              <w:fldChar w:fldCharType="end"/>
            </w:r>
          </w:hyperlink>
        </w:p>
        <w:p w14:paraId="6EDE01D9" w14:textId="12ECAD0A" w:rsidR="00E336C2" w:rsidRPr="00B17C11" w:rsidRDefault="005A3E5F">
          <w:pPr>
            <w:pStyle w:val="TOC1"/>
            <w:rPr>
              <w:rFonts w:eastAsiaTheme="minorEastAsia"/>
              <w:b w:val="0"/>
              <w:bCs w:val="0"/>
              <w:kern w:val="2"/>
              <w:lang w:eastAsia="en-ZA"/>
              <w14:ligatures w14:val="standardContextual"/>
            </w:rPr>
          </w:pPr>
          <w:hyperlink w:anchor="_Toc181339545" w:history="1">
            <w:r w:rsidRPr="00B17C11">
              <w:rPr>
                <w:rStyle w:val="Hyperlink"/>
                <w:color w:val="auto"/>
              </w:rPr>
              <w:t xml:space="preserve">CHAPTER 3 : </w:t>
            </w:r>
            <w:r w:rsidRPr="00B17C11">
              <w:rPr>
                <w:rStyle w:val="Hyperlink"/>
                <w:color w:val="auto"/>
                <w:shd w:val="clear" w:color="auto" w:fill="FFFFFF"/>
              </w:rPr>
              <w:t xml:space="preserve">THE DEVELOPMENT OF THE APPLICATION OF </w:t>
            </w:r>
            <w:r w:rsidR="006C0173" w:rsidRPr="00B17C11">
              <w:rPr>
                <w:rStyle w:val="Hyperlink"/>
                <w:color w:val="auto"/>
                <w:shd w:val="clear" w:color="auto" w:fill="FFFFFF"/>
              </w:rPr>
              <w:t xml:space="preserve">THE </w:t>
            </w:r>
            <w:r w:rsidRPr="00B17C11">
              <w:rPr>
                <w:rStyle w:val="Hyperlink"/>
                <w:color w:val="auto"/>
                <w:shd w:val="clear" w:color="auto" w:fill="FFFFFF"/>
              </w:rPr>
              <w:t xml:space="preserve">SPOLIATION REMEDY IN THE CASE OF </w:t>
            </w:r>
            <w:r w:rsidRPr="00B17C11">
              <w:rPr>
                <w:rStyle w:val="Hyperlink"/>
                <w:i/>
                <w:iCs/>
                <w:color w:val="auto"/>
                <w:shd w:val="clear" w:color="auto" w:fill="FFFFFF"/>
              </w:rPr>
              <w:t>QUASI</w:t>
            </w:r>
            <w:r w:rsidRPr="00B17C11">
              <w:rPr>
                <w:rStyle w:val="Hyperlink"/>
                <w:color w:val="auto"/>
                <w:shd w:val="clear" w:color="auto" w:fill="FFFFFF"/>
              </w:rPr>
              <w:t>-POSSESSION BEFORE THE CONSTITUTION</w:t>
            </w:r>
            <w:r w:rsidRPr="00B17C11">
              <w:rPr>
                <w:webHidden/>
              </w:rPr>
              <w:tab/>
            </w:r>
            <w:r w:rsidR="00E336C2" w:rsidRPr="00B17C11">
              <w:rPr>
                <w:webHidden/>
              </w:rPr>
              <w:fldChar w:fldCharType="begin"/>
            </w:r>
            <w:r w:rsidR="00E336C2" w:rsidRPr="00B17C11">
              <w:rPr>
                <w:webHidden/>
              </w:rPr>
              <w:instrText xml:space="preserve"> PAGEREF _Toc181339545 \h </w:instrText>
            </w:r>
            <w:r w:rsidR="00E336C2" w:rsidRPr="00B17C11">
              <w:rPr>
                <w:webHidden/>
              </w:rPr>
            </w:r>
            <w:r w:rsidR="00E336C2" w:rsidRPr="00B17C11">
              <w:rPr>
                <w:webHidden/>
              </w:rPr>
              <w:fldChar w:fldCharType="separate"/>
            </w:r>
            <w:r w:rsidR="0026258A">
              <w:rPr>
                <w:webHidden/>
              </w:rPr>
              <w:t>31</w:t>
            </w:r>
            <w:r w:rsidR="00E336C2" w:rsidRPr="00B17C11">
              <w:rPr>
                <w:webHidden/>
              </w:rPr>
              <w:fldChar w:fldCharType="end"/>
            </w:r>
          </w:hyperlink>
        </w:p>
        <w:p w14:paraId="55F9D179" w14:textId="38607CED"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46" w:history="1">
            <w:r w:rsidRPr="00B17C11">
              <w:rPr>
                <w:rStyle w:val="Hyperlink"/>
                <w:rFonts w:ascii="Arial" w:hAnsi="Arial" w:cs="Arial"/>
                <w:noProof/>
                <w:color w:val="auto"/>
                <w:sz w:val="24"/>
                <w:szCs w:val="24"/>
                <w:shd w:val="clear" w:color="auto" w:fill="FFFFFF"/>
              </w:rPr>
              <w:t>3.1</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shd w:val="clear" w:color="auto" w:fill="FFFFFF"/>
              </w:rPr>
              <w:t>Introduction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_Toc181339546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31</w:t>
            </w:r>
            <w:r w:rsidRPr="00B17C11">
              <w:rPr>
                <w:rFonts w:ascii="Arial" w:hAnsi="Arial" w:cs="Arial"/>
                <w:noProof/>
                <w:webHidden/>
                <w:sz w:val="24"/>
                <w:szCs w:val="24"/>
              </w:rPr>
              <w:fldChar w:fldCharType="end"/>
            </w:r>
          </w:hyperlink>
        </w:p>
        <w:p w14:paraId="6BE601AB" w14:textId="2CC6EEE5"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47" w:history="1">
            <w:r w:rsidRPr="00B17C11">
              <w:rPr>
                <w:rStyle w:val="Hyperlink"/>
                <w:rFonts w:ascii="Arial" w:hAnsi="Arial" w:cs="Arial"/>
                <w:noProof/>
                <w:color w:val="auto"/>
                <w:sz w:val="24"/>
                <w:szCs w:val="24"/>
                <w:lang w:val="en-GB"/>
              </w:rPr>
              <w:t>3.2</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i/>
                <w:iCs/>
                <w:noProof/>
                <w:color w:val="auto"/>
                <w:sz w:val="24"/>
                <w:szCs w:val="24"/>
                <w:lang w:val="en-GB"/>
              </w:rPr>
              <w:t>Quasi</w:t>
            </w:r>
            <w:r w:rsidRPr="00B17C11">
              <w:rPr>
                <w:rStyle w:val="Hyperlink"/>
                <w:rFonts w:ascii="Arial" w:hAnsi="Arial" w:cs="Arial"/>
                <w:noProof/>
                <w:color w:val="auto"/>
                <w:sz w:val="24"/>
                <w:szCs w:val="24"/>
                <w:lang w:val="en-GB"/>
              </w:rPr>
              <w:t>-possession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_Toc181339547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31</w:t>
            </w:r>
            <w:r w:rsidRPr="00B17C11">
              <w:rPr>
                <w:rFonts w:ascii="Arial" w:hAnsi="Arial" w:cs="Arial"/>
                <w:noProof/>
                <w:webHidden/>
                <w:sz w:val="24"/>
                <w:szCs w:val="24"/>
              </w:rPr>
              <w:fldChar w:fldCharType="end"/>
            </w:r>
          </w:hyperlink>
        </w:p>
        <w:p w14:paraId="71DB00D8" w14:textId="12994BAB" w:rsidR="00E336C2" w:rsidRPr="00B17C11" w:rsidRDefault="00E336C2" w:rsidP="005A3E5F">
          <w:pPr>
            <w:pStyle w:val="TOC2"/>
            <w:ind w:left="720" w:hanging="500"/>
            <w:rPr>
              <w:rFonts w:ascii="Arial" w:eastAsiaTheme="minorEastAsia" w:hAnsi="Arial" w:cs="Arial"/>
              <w:noProof/>
              <w:kern w:val="2"/>
              <w:sz w:val="24"/>
              <w:szCs w:val="24"/>
              <w:lang w:eastAsia="en-ZA"/>
              <w14:ligatures w14:val="standardContextual"/>
            </w:rPr>
          </w:pPr>
          <w:hyperlink w:anchor="_Toc181339548" w:history="1">
            <w:r w:rsidRPr="00B17C11">
              <w:rPr>
                <w:rStyle w:val="Hyperlink"/>
                <w:rFonts w:ascii="Arial" w:hAnsi="Arial" w:cs="Arial"/>
                <w:noProof/>
                <w:color w:val="auto"/>
                <w:sz w:val="24"/>
                <w:szCs w:val="24"/>
                <w:shd w:val="clear" w:color="auto" w:fill="FFFFFF"/>
              </w:rPr>
              <w:t xml:space="preserve">3.3 </w:t>
            </w:r>
            <w:r w:rsidR="005A3E5F" w:rsidRPr="00B17C11">
              <w:rPr>
                <w:rStyle w:val="Hyperlink"/>
                <w:rFonts w:ascii="Arial" w:hAnsi="Arial" w:cs="Arial"/>
                <w:noProof/>
                <w:color w:val="auto"/>
                <w:sz w:val="24"/>
                <w:szCs w:val="24"/>
                <w:shd w:val="clear" w:color="auto" w:fill="FFFFFF"/>
              </w:rPr>
              <w:tab/>
            </w:r>
            <w:r w:rsidRPr="00B17C11">
              <w:rPr>
                <w:rStyle w:val="Hyperlink"/>
                <w:rFonts w:ascii="Arial" w:hAnsi="Arial" w:cs="Arial"/>
                <w:noProof/>
                <w:color w:val="auto"/>
                <w:sz w:val="24"/>
                <w:szCs w:val="24"/>
                <w:shd w:val="clear" w:color="auto" w:fill="FFFFFF"/>
              </w:rPr>
              <w:t xml:space="preserve">The peaceful and undisturbed control element on </w:t>
            </w:r>
            <w:r w:rsidRPr="00B17C11">
              <w:rPr>
                <w:rStyle w:val="Hyperlink"/>
                <w:rFonts w:ascii="Arial" w:hAnsi="Arial" w:cs="Arial"/>
                <w:i/>
                <w:iCs/>
                <w:noProof/>
                <w:color w:val="auto"/>
                <w:sz w:val="24"/>
                <w:szCs w:val="24"/>
                <w:shd w:val="clear" w:color="auto" w:fill="FFFFFF"/>
              </w:rPr>
              <w:t>quasi</w:t>
            </w:r>
            <w:r w:rsidRPr="00B17C11">
              <w:rPr>
                <w:rStyle w:val="Hyperlink"/>
                <w:rFonts w:ascii="Arial" w:hAnsi="Arial" w:cs="Arial"/>
                <w:noProof/>
                <w:color w:val="auto"/>
                <w:sz w:val="24"/>
                <w:szCs w:val="24"/>
                <w:shd w:val="clear" w:color="auto" w:fill="FFFFFF"/>
              </w:rPr>
              <w:t xml:space="preserve">-possession of </w:t>
            </w:r>
            <w:r w:rsidR="005A3E5F" w:rsidRPr="00B17C11">
              <w:rPr>
                <w:rStyle w:val="Hyperlink"/>
                <w:rFonts w:ascii="Arial" w:hAnsi="Arial" w:cs="Arial"/>
                <w:noProof/>
                <w:color w:val="auto"/>
                <w:sz w:val="24"/>
                <w:szCs w:val="24"/>
                <w:shd w:val="clear" w:color="auto" w:fill="FFFFFF"/>
              </w:rPr>
              <w:br/>
            </w:r>
            <w:r w:rsidRPr="00B17C11">
              <w:rPr>
                <w:rStyle w:val="Hyperlink"/>
                <w:rFonts w:ascii="Arial" w:hAnsi="Arial" w:cs="Arial"/>
                <w:noProof/>
                <w:color w:val="auto"/>
                <w:sz w:val="24"/>
                <w:szCs w:val="24"/>
                <w:shd w:val="clear" w:color="auto" w:fill="FFFFFF"/>
              </w:rPr>
              <w:t>incorporeals</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_Toc181339548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34</w:t>
            </w:r>
            <w:r w:rsidRPr="00B17C11">
              <w:rPr>
                <w:rFonts w:ascii="Arial" w:hAnsi="Arial" w:cs="Arial"/>
                <w:noProof/>
                <w:webHidden/>
                <w:sz w:val="24"/>
                <w:szCs w:val="24"/>
              </w:rPr>
              <w:fldChar w:fldCharType="end"/>
            </w:r>
          </w:hyperlink>
        </w:p>
        <w:p w14:paraId="79BC44E4" w14:textId="663930F0"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49" w:history="1">
            <w:r w:rsidRPr="00B17C11">
              <w:rPr>
                <w:rStyle w:val="Hyperlink"/>
                <w:rFonts w:ascii="Arial" w:hAnsi="Arial" w:cs="Arial"/>
                <w:noProof/>
                <w:color w:val="auto"/>
                <w:sz w:val="24"/>
                <w:szCs w:val="24"/>
              </w:rPr>
              <w:t xml:space="preserve">3.3.1 The kind of </w:t>
            </w:r>
            <w:r w:rsidRPr="00B17C11">
              <w:rPr>
                <w:rStyle w:val="Hyperlink"/>
                <w:rFonts w:ascii="Arial" w:hAnsi="Arial" w:cs="Arial"/>
                <w:i/>
                <w:iCs/>
                <w:noProof/>
                <w:color w:val="auto"/>
                <w:sz w:val="24"/>
                <w:szCs w:val="24"/>
              </w:rPr>
              <w:t>quasi</w:t>
            </w:r>
            <w:r w:rsidRPr="00B17C11">
              <w:rPr>
                <w:rStyle w:val="Hyperlink"/>
                <w:rFonts w:ascii="Arial" w:hAnsi="Arial" w:cs="Arial"/>
                <w:noProof/>
                <w:color w:val="auto"/>
                <w:sz w:val="24"/>
                <w:szCs w:val="24"/>
              </w:rPr>
              <w:t xml:space="preserve">-possession rights protectable under the spoliation </w:t>
            </w:r>
            <w:r w:rsidR="005A3E5F" w:rsidRPr="00B17C11">
              <w:rPr>
                <w:rStyle w:val="Hyperlink"/>
                <w:rFonts w:ascii="Arial" w:hAnsi="Arial" w:cs="Arial"/>
                <w:noProof/>
                <w:color w:val="auto"/>
                <w:sz w:val="24"/>
                <w:szCs w:val="24"/>
              </w:rPr>
              <w:br/>
              <w:t xml:space="preserve">         </w:t>
            </w:r>
            <w:r w:rsidRPr="00B17C11">
              <w:rPr>
                <w:rStyle w:val="Hyperlink"/>
                <w:rFonts w:ascii="Arial" w:hAnsi="Arial" w:cs="Arial"/>
                <w:noProof/>
                <w:color w:val="auto"/>
                <w:sz w:val="24"/>
                <w:szCs w:val="24"/>
              </w:rPr>
              <w:t>remedy</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_Toc181339549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37</w:t>
            </w:r>
            <w:r w:rsidRPr="00B17C11">
              <w:rPr>
                <w:rFonts w:ascii="Arial" w:hAnsi="Arial" w:cs="Arial"/>
                <w:noProof/>
                <w:webHidden/>
                <w:sz w:val="24"/>
                <w:szCs w:val="24"/>
              </w:rPr>
              <w:fldChar w:fldCharType="end"/>
            </w:r>
          </w:hyperlink>
        </w:p>
        <w:p w14:paraId="46ABEAB8" w14:textId="0AB586B6"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50" w:history="1">
            <w:r w:rsidRPr="00B17C11">
              <w:rPr>
                <w:rStyle w:val="Hyperlink"/>
                <w:rFonts w:ascii="Arial" w:hAnsi="Arial" w:cs="Arial"/>
                <w:noProof/>
                <w:color w:val="auto"/>
                <w:sz w:val="24"/>
                <w:szCs w:val="24"/>
                <w:lang w:val="en-GB"/>
              </w:rPr>
              <w:t>3.4</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lang w:val="en-GB"/>
              </w:rPr>
              <w:t>Conclusion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_Toc181339550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45</w:t>
            </w:r>
            <w:r w:rsidRPr="00B17C11">
              <w:rPr>
                <w:rFonts w:ascii="Arial" w:hAnsi="Arial" w:cs="Arial"/>
                <w:noProof/>
                <w:webHidden/>
                <w:sz w:val="24"/>
                <w:szCs w:val="24"/>
              </w:rPr>
              <w:fldChar w:fldCharType="end"/>
            </w:r>
          </w:hyperlink>
        </w:p>
        <w:p w14:paraId="4C58737A" w14:textId="503B2B0F" w:rsidR="00E336C2" w:rsidRPr="00B17C11" w:rsidRDefault="005A3E5F">
          <w:pPr>
            <w:pStyle w:val="TOC1"/>
            <w:rPr>
              <w:rFonts w:eastAsiaTheme="minorEastAsia"/>
              <w:b w:val="0"/>
              <w:bCs w:val="0"/>
              <w:kern w:val="2"/>
              <w:lang w:eastAsia="en-ZA"/>
              <w14:ligatures w14:val="standardContextual"/>
            </w:rPr>
          </w:pPr>
          <w:hyperlink w:anchor="_Toc181339551" w:history="1">
            <w:r w:rsidRPr="00B17C11">
              <w:rPr>
                <w:rStyle w:val="Hyperlink"/>
                <w:color w:val="auto"/>
              </w:rPr>
              <w:t>CHAPTER 4</w:t>
            </w:r>
            <w:r w:rsidRPr="00B17C11">
              <w:rPr>
                <w:rStyle w:val="Hyperlink"/>
                <w:color w:val="auto"/>
                <w:shd w:val="clear" w:color="auto" w:fill="FFFFFF"/>
              </w:rPr>
              <w:t xml:space="preserve"> : THE APPLICATION OF THE SPOLIATION REMEDY IN THE CASE OF </w:t>
            </w:r>
            <w:r w:rsidRPr="00B17C11">
              <w:rPr>
                <w:rStyle w:val="Hyperlink"/>
                <w:i/>
                <w:iCs/>
                <w:color w:val="auto"/>
                <w:shd w:val="clear" w:color="auto" w:fill="FFFFFF"/>
              </w:rPr>
              <w:t>QUASI</w:t>
            </w:r>
            <w:r w:rsidRPr="00B17C11">
              <w:rPr>
                <w:rStyle w:val="Hyperlink"/>
                <w:color w:val="auto"/>
                <w:shd w:val="clear" w:color="auto" w:fill="FFFFFF"/>
              </w:rPr>
              <w:t>-POSSESSION OF WATER AND ELECTRICITY SUPPLY AFTER THE</w:t>
            </w:r>
            <w:r w:rsidR="006052B5" w:rsidRPr="00B17C11">
              <w:rPr>
                <w:rStyle w:val="Hyperlink"/>
                <w:color w:val="auto"/>
                <w:shd w:val="clear" w:color="auto" w:fill="FFFFFF"/>
              </w:rPr>
              <w:t xml:space="preserve"> IMPLEMENTATION OF THE</w:t>
            </w:r>
            <w:r w:rsidRPr="00B17C11">
              <w:rPr>
                <w:rStyle w:val="Hyperlink"/>
                <w:color w:val="auto"/>
                <w:shd w:val="clear" w:color="auto" w:fill="FFFFFF"/>
              </w:rPr>
              <w:t xml:space="preserve"> CONSTITUTION</w:t>
            </w:r>
            <w:r w:rsidRPr="00B17C11">
              <w:rPr>
                <w:webHidden/>
              </w:rPr>
              <w:tab/>
            </w:r>
            <w:r w:rsidR="00E336C2" w:rsidRPr="00B17C11">
              <w:rPr>
                <w:webHidden/>
              </w:rPr>
              <w:fldChar w:fldCharType="begin"/>
            </w:r>
            <w:r w:rsidR="00E336C2" w:rsidRPr="00B17C11">
              <w:rPr>
                <w:webHidden/>
              </w:rPr>
              <w:instrText xml:space="preserve"> PAGEREF _Toc181339551 \h </w:instrText>
            </w:r>
            <w:r w:rsidR="00E336C2" w:rsidRPr="00B17C11">
              <w:rPr>
                <w:webHidden/>
              </w:rPr>
            </w:r>
            <w:r w:rsidR="00E336C2" w:rsidRPr="00B17C11">
              <w:rPr>
                <w:webHidden/>
              </w:rPr>
              <w:fldChar w:fldCharType="separate"/>
            </w:r>
            <w:r w:rsidR="0026258A">
              <w:rPr>
                <w:webHidden/>
              </w:rPr>
              <w:t>47</w:t>
            </w:r>
            <w:r w:rsidR="00E336C2" w:rsidRPr="00B17C11">
              <w:rPr>
                <w:webHidden/>
              </w:rPr>
              <w:fldChar w:fldCharType="end"/>
            </w:r>
          </w:hyperlink>
        </w:p>
        <w:p w14:paraId="7852F8F7" w14:textId="719A283D"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52" w:history="1">
            <w:r w:rsidRPr="00B17C11">
              <w:rPr>
                <w:rStyle w:val="Hyperlink"/>
                <w:rFonts w:ascii="Arial" w:hAnsi="Arial" w:cs="Arial"/>
                <w:noProof/>
                <w:color w:val="auto"/>
                <w:sz w:val="24"/>
                <w:szCs w:val="24"/>
              </w:rPr>
              <w:t>4.1</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rPr>
              <w:t>Introduction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_Toc181339552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47</w:t>
            </w:r>
            <w:r w:rsidRPr="00B17C11">
              <w:rPr>
                <w:rFonts w:ascii="Arial" w:hAnsi="Arial" w:cs="Arial"/>
                <w:noProof/>
                <w:webHidden/>
                <w:sz w:val="24"/>
                <w:szCs w:val="24"/>
              </w:rPr>
              <w:fldChar w:fldCharType="end"/>
            </w:r>
          </w:hyperlink>
        </w:p>
        <w:p w14:paraId="22262048" w14:textId="13DE8B3E"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53" w:history="1">
            <w:r w:rsidRPr="00B17C11">
              <w:rPr>
                <w:rStyle w:val="Hyperlink"/>
                <w:rFonts w:ascii="Arial" w:hAnsi="Arial" w:cs="Arial"/>
                <w:noProof/>
                <w:color w:val="auto"/>
                <w:sz w:val="24"/>
                <w:szCs w:val="24"/>
              </w:rPr>
              <w:t>4.2</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rPr>
              <w:t>The Constitutional Recognition of Incorporeal Rights</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_Toc181339553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47</w:t>
            </w:r>
            <w:r w:rsidRPr="00B17C11">
              <w:rPr>
                <w:rFonts w:ascii="Arial" w:hAnsi="Arial" w:cs="Arial"/>
                <w:noProof/>
                <w:webHidden/>
                <w:sz w:val="24"/>
                <w:szCs w:val="24"/>
              </w:rPr>
              <w:fldChar w:fldCharType="end"/>
            </w:r>
          </w:hyperlink>
        </w:p>
        <w:p w14:paraId="2BB12A12" w14:textId="544B75D0"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54" w:history="1">
            <w:r w:rsidRPr="00B17C11">
              <w:rPr>
                <w:rStyle w:val="Hyperlink"/>
                <w:rFonts w:ascii="Arial" w:hAnsi="Arial" w:cs="Arial"/>
                <w:noProof/>
                <w:color w:val="auto"/>
                <w:sz w:val="24"/>
                <w:szCs w:val="24"/>
              </w:rPr>
              <w:t>4.3</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i/>
                <w:iCs/>
                <w:noProof/>
                <w:color w:val="auto"/>
                <w:sz w:val="24"/>
                <w:szCs w:val="24"/>
              </w:rPr>
              <w:t>Quasi</w:t>
            </w:r>
            <w:r w:rsidRPr="00B17C11">
              <w:rPr>
                <w:rStyle w:val="Hyperlink"/>
                <w:rFonts w:ascii="Arial" w:hAnsi="Arial" w:cs="Arial"/>
                <w:noProof/>
                <w:color w:val="auto"/>
                <w:sz w:val="24"/>
                <w:szCs w:val="24"/>
              </w:rPr>
              <w:t>-possession Cases after the Constitution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_Toc181339554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48</w:t>
            </w:r>
            <w:r w:rsidRPr="00B17C11">
              <w:rPr>
                <w:rFonts w:ascii="Arial" w:hAnsi="Arial" w:cs="Arial"/>
                <w:noProof/>
                <w:webHidden/>
                <w:sz w:val="24"/>
                <w:szCs w:val="24"/>
              </w:rPr>
              <w:fldChar w:fldCharType="end"/>
            </w:r>
          </w:hyperlink>
        </w:p>
        <w:p w14:paraId="46A7CC0E" w14:textId="349CF664"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55" w:history="1">
            <w:r w:rsidRPr="00B17C11">
              <w:rPr>
                <w:rStyle w:val="Hyperlink"/>
                <w:rFonts w:ascii="Arial" w:hAnsi="Arial" w:cs="Arial"/>
                <w:noProof/>
                <w:color w:val="auto"/>
                <w:sz w:val="24"/>
                <w:szCs w:val="24"/>
              </w:rPr>
              <w:t>4.3.1 Statutory rights protectable under the spoliation remedy</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_Toc181339555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49</w:t>
            </w:r>
            <w:r w:rsidRPr="00B17C11">
              <w:rPr>
                <w:rFonts w:ascii="Arial" w:hAnsi="Arial" w:cs="Arial"/>
                <w:noProof/>
                <w:webHidden/>
                <w:sz w:val="24"/>
                <w:szCs w:val="24"/>
              </w:rPr>
              <w:fldChar w:fldCharType="end"/>
            </w:r>
          </w:hyperlink>
        </w:p>
        <w:p w14:paraId="2E4C14EC" w14:textId="4DC70A36"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56" w:history="1">
            <w:r w:rsidRPr="00B17C11">
              <w:rPr>
                <w:rStyle w:val="Hyperlink"/>
                <w:rFonts w:ascii="Arial" w:hAnsi="Arial" w:cs="Arial"/>
                <w:noProof/>
                <w:color w:val="auto"/>
                <w:sz w:val="24"/>
                <w:szCs w:val="24"/>
              </w:rPr>
              <w:t>4.3.2 Rights Flowing from the Constitution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_Toc181339556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53</w:t>
            </w:r>
            <w:r w:rsidRPr="00B17C11">
              <w:rPr>
                <w:rFonts w:ascii="Arial" w:hAnsi="Arial" w:cs="Arial"/>
                <w:noProof/>
                <w:webHidden/>
                <w:sz w:val="24"/>
                <w:szCs w:val="24"/>
              </w:rPr>
              <w:fldChar w:fldCharType="end"/>
            </w:r>
          </w:hyperlink>
        </w:p>
        <w:p w14:paraId="37CB616D" w14:textId="071D41B2" w:rsidR="00E336C2" w:rsidRPr="00B17C11" w:rsidRDefault="00E336C2">
          <w:pPr>
            <w:pStyle w:val="TOC3"/>
            <w:rPr>
              <w:rFonts w:ascii="Arial" w:eastAsiaTheme="minorEastAsia" w:hAnsi="Arial" w:cs="Arial"/>
              <w:noProof/>
              <w:kern w:val="2"/>
              <w:sz w:val="24"/>
              <w:szCs w:val="24"/>
              <w:lang w:eastAsia="en-ZA"/>
              <w14:ligatures w14:val="standardContextual"/>
            </w:rPr>
          </w:pPr>
          <w:hyperlink w:anchor="_Toc181339557" w:history="1">
            <w:r w:rsidRPr="00B17C11">
              <w:rPr>
                <w:rStyle w:val="Hyperlink"/>
                <w:rFonts w:ascii="Arial" w:hAnsi="Arial" w:cs="Arial"/>
                <w:noProof/>
                <w:color w:val="auto"/>
                <w:sz w:val="24"/>
                <w:szCs w:val="24"/>
              </w:rPr>
              <w:t xml:space="preserve">4.3.3 Recent Judgments </w:t>
            </w:r>
            <w:r w:rsidR="006C0173" w:rsidRPr="00B17C11">
              <w:rPr>
                <w:rStyle w:val="Hyperlink"/>
                <w:rFonts w:ascii="Arial" w:hAnsi="Arial" w:cs="Arial"/>
                <w:noProof/>
                <w:color w:val="auto"/>
                <w:sz w:val="24"/>
                <w:szCs w:val="24"/>
              </w:rPr>
              <w:t>i</w:t>
            </w:r>
            <w:r w:rsidRPr="00B17C11">
              <w:rPr>
                <w:rStyle w:val="Hyperlink"/>
                <w:rFonts w:ascii="Arial" w:hAnsi="Arial" w:cs="Arial"/>
                <w:noProof/>
                <w:color w:val="auto"/>
                <w:sz w:val="24"/>
                <w:szCs w:val="24"/>
              </w:rPr>
              <w:t xml:space="preserve">n </w:t>
            </w:r>
            <w:r w:rsidRPr="00B17C11">
              <w:rPr>
                <w:rStyle w:val="Hyperlink"/>
                <w:rFonts w:ascii="Arial" w:hAnsi="Arial" w:cs="Arial"/>
                <w:i/>
                <w:iCs/>
                <w:noProof/>
                <w:color w:val="auto"/>
                <w:sz w:val="24"/>
                <w:szCs w:val="24"/>
              </w:rPr>
              <w:t>quasi</w:t>
            </w:r>
            <w:r w:rsidRPr="00B17C11">
              <w:rPr>
                <w:rStyle w:val="Hyperlink"/>
                <w:rFonts w:ascii="Arial" w:hAnsi="Arial" w:cs="Arial"/>
                <w:noProof/>
                <w:color w:val="auto"/>
                <w:sz w:val="24"/>
                <w:szCs w:val="24"/>
              </w:rPr>
              <w:t xml:space="preserve">-possession cases </w:t>
            </w:r>
            <w:r w:rsidR="006C0173" w:rsidRPr="00B17C11">
              <w:rPr>
                <w:rStyle w:val="Hyperlink"/>
                <w:rFonts w:ascii="Arial" w:hAnsi="Arial" w:cs="Arial"/>
                <w:noProof/>
                <w:color w:val="auto"/>
                <w:sz w:val="24"/>
                <w:szCs w:val="24"/>
              </w:rPr>
              <w:t>involving</w:t>
            </w:r>
            <w:r w:rsidR="005A3E5F" w:rsidRPr="00B17C11">
              <w:rPr>
                <w:rStyle w:val="Hyperlink"/>
                <w:rFonts w:ascii="Arial" w:hAnsi="Arial" w:cs="Arial"/>
                <w:noProof/>
                <w:color w:val="auto"/>
                <w:sz w:val="24"/>
                <w:szCs w:val="24"/>
              </w:rPr>
              <w:br/>
              <w:t xml:space="preserve">         </w:t>
            </w:r>
            <w:r w:rsidRPr="00B17C11">
              <w:rPr>
                <w:rStyle w:val="Hyperlink"/>
                <w:rFonts w:ascii="Arial" w:hAnsi="Arial" w:cs="Arial"/>
                <w:noProof/>
                <w:color w:val="auto"/>
                <w:sz w:val="24"/>
                <w:szCs w:val="24"/>
              </w:rPr>
              <w:t>water and electricity supply</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_Toc181339557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57</w:t>
            </w:r>
            <w:r w:rsidRPr="00B17C11">
              <w:rPr>
                <w:rFonts w:ascii="Arial" w:hAnsi="Arial" w:cs="Arial"/>
                <w:noProof/>
                <w:webHidden/>
                <w:sz w:val="24"/>
                <w:szCs w:val="24"/>
              </w:rPr>
              <w:fldChar w:fldCharType="end"/>
            </w:r>
          </w:hyperlink>
        </w:p>
        <w:p w14:paraId="10655536" w14:textId="00FC4414" w:rsidR="00E336C2" w:rsidRPr="00B17C11" w:rsidRDefault="00E336C2">
          <w:pPr>
            <w:pStyle w:val="TOC2"/>
            <w:rPr>
              <w:rFonts w:ascii="Arial" w:eastAsiaTheme="minorEastAsia" w:hAnsi="Arial" w:cs="Arial"/>
              <w:noProof/>
              <w:kern w:val="2"/>
              <w:sz w:val="24"/>
              <w:szCs w:val="24"/>
              <w:lang w:eastAsia="en-ZA"/>
              <w14:ligatures w14:val="standardContextual"/>
            </w:rPr>
          </w:pPr>
          <w:hyperlink w:anchor="_Toc181339558" w:history="1">
            <w:r w:rsidRPr="00B17C11">
              <w:rPr>
                <w:rStyle w:val="Hyperlink"/>
                <w:rFonts w:ascii="Arial" w:hAnsi="Arial" w:cs="Arial"/>
                <w:noProof/>
                <w:color w:val="auto"/>
                <w:sz w:val="24"/>
                <w:szCs w:val="24"/>
              </w:rPr>
              <w:t>4.4</w:t>
            </w:r>
            <w:r w:rsidRPr="00B17C11">
              <w:rPr>
                <w:rFonts w:ascii="Arial" w:eastAsiaTheme="minorEastAsia" w:hAnsi="Arial" w:cs="Arial"/>
                <w:noProof/>
                <w:kern w:val="2"/>
                <w:sz w:val="24"/>
                <w:szCs w:val="24"/>
                <w:lang w:eastAsia="en-ZA"/>
                <w14:ligatures w14:val="standardContextual"/>
              </w:rPr>
              <w:tab/>
            </w:r>
            <w:r w:rsidRPr="00B17C11">
              <w:rPr>
                <w:rStyle w:val="Hyperlink"/>
                <w:rFonts w:ascii="Arial" w:hAnsi="Arial" w:cs="Arial"/>
                <w:noProof/>
                <w:color w:val="auto"/>
                <w:sz w:val="24"/>
                <w:szCs w:val="24"/>
              </w:rPr>
              <w:t>Conclusion</w:t>
            </w:r>
            <w:r w:rsidRPr="00B17C11">
              <w:rPr>
                <w:rFonts w:ascii="Arial" w:hAnsi="Arial" w:cs="Arial"/>
                <w:noProof/>
                <w:webHidden/>
                <w:sz w:val="24"/>
                <w:szCs w:val="24"/>
              </w:rPr>
              <w:tab/>
            </w:r>
            <w:r w:rsidRPr="00B17C11">
              <w:rPr>
                <w:rFonts w:ascii="Arial" w:hAnsi="Arial" w:cs="Arial"/>
                <w:noProof/>
                <w:webHidden/>
                <w:sz w:val="24"/>
                <w:szCs w:val="24"/>
              </w:rPr>
              <w:fldChar w:fldCharType="begin"/>
            </w:r>
            <w:r w:rsidRPr="00B17C11">
              <w:rPr>
                <w:rFonts w:ascii="Arial" w:hAnsi="Arial" w:cs="Arial"/>
                <w:noProof/>
                <w:webHidden/>
                <w:sz w:val="24"/>
                <w:szCs w:val="24"/>
              </w:rPr>
              <w:instrText xml:space="preserve"> PAGEREF _Toc181339558 \h </w:instrText>
            </w:r>
            <w:r w:rsidRPr="00B17C11">
              <w:rPr>
                <w:rFonts w:ascii="Arial" w:hAnsi="Arial" w:cs="Arial"/>
                <w:noProof/>
                <w:webHidden/>
                <w:sz w:val="24"/>
                <w:szCs w:val="24"/>
              </w:rPr>
            </w:r>
            <w:r w:rsidRPr="00B17C11">
              <w:rPr>
                <w:rFonts w:ascii="Arial" w:hAnsi="Arial" w:cs="Arial"/>
                <w:noProof/>
                <w:webHidden/>
                <w:sz w:val="24"/>
                <w:szCs w:val="24"/>
              </w:rPr>
              <w:fldChar w:fldCharType="separate"/>
            </w:r>
            <w:r w:rsidR="0026258A">
              <w:rPr>
                <w:rFonts w:ascii="Arial" w:hAnsi="Arial" w:cs="Arial"/>
                <w:noProof/>
                <w:webHidden/>
                <w:sz w:val="24"/>
                <w:szCs w:val="24"/>
              </w:rPr>
              <w:t>72</w:t>
            </w:r>
            <w:r w:rsidRPr="00B17C11">
              <w:rPr>
                <w:rFonts w:ascii="Arial" w:hAnsi="Arial" w:cs="Arial"/>
                <w:noProof/>
                <w:webHidden/>
                <w:sz w:val="24"/>
                <w:szCs w:val="24"/>
              </w:rPr>
              <w:fldChar w:fldCharType="end"/>
            </w:r>
          </w:hyperlink>
        </w:p>
        <w:p w14:paraId="1A82BE74" w14:textId="048E58B3" w:rsidR="00E336C2" w:rsidRPr="00B17C11" w:rsidRDefault="005A3E5F">
          <w:pPr>
            <w:pStyle w:val="TOC1"/>
            <w:rPr>
              <w:rFonts w:eastAsiaTheme="minorEastAsia"/>
              <w:b w:val="0"/>
              <w:bCs w:val="0"/>
              <w:kern w:val="2"/>
              <w:lang w:eastAsia="en-ZA"/>
              <w14:ligatures w14:val="standardContextual"/>
            </w:rPr>
          </w:pPr>
          <w:hyperlink w:anchor="_Toc181339559" w:history="1">
            <w:r w:rsidRPr="00B17C11">
              <w:rPr>
                <w:rStyle w:val="Hyperlink"/>
                <w:color w:val="auto"/>
              </w:rPr>
              <w:t>CHAPTER 5</w:t>
            </w:r>
            <w:r w:rsidRPr="00B17C11">
              <w:rPr>
                <w:rStyle w:val="Hyperlink"/>
                <w:color w:val="auto"/>
                <w:shd w:val="clear" w:color="auto" w:fill="FFFFFF"/>
              </w:rPr>
              <w:t xml:space="preserve"> : CONCLUSION</w:t>
            </w:r>
            <w:r w:rsidRPr="00B17C11">
              <w:rPr>
                <w:webHidden/>
              </w:rPr>
              <w:tab/>
            </w:r>
            <w:r w:rsidR="00E336C2" w:rsidRPr="00B17C11">
              <w:rPr>
                <w:webHidden/>
              </w:rPr>
              <w:fldChar w:fldCharType="begin"/>
            </w:r>
            <w:r w:rsidR="00E336C2" w:rsidRPr="00B17C11">
              <w:rPr>
                <w:webHidden/>
              </w:rPr>
              <w:instrText xml:space="preserve"> PAGEREF _Toc181339559 \h </w:instrText>
            </w:r>
            <w:r w:rsidR="00E336C2" w:rsidRPr="00B17C11">
              <w:rPr>
                <w:webHidden/>
              </w:rPr>
            </w:r>
            <w:r w:rsidR="00E336C2" w:rsidRPr="00B17C11">
              <w:rPr>
                <w:webHidden/>
              </w:rPr>
              <w:fldChar w:fldCharType="separate"/>
            </w:r>
            <w:r w:rsidR="0026258A">
              <w:rPr>
                <w:webHidden/>
              </w:rPr>
              <w:t>73</w:t>
            </w:r>
            <w:r w:rsidR="00E336C2" w:rsidRPr="00B17C11">
              <w:rPr>
                <w:webHidden/>
              </w:rPr>
              <w:fldChar w:fldCharType="end"/>
            </w:r>
          </w:hyperlink>
        </w:p>
        <w:p w14:paraId="24D126B5" w14:textId="2AC17987" w:rsidR="00E336C2" w:rsidRPr="00B17C11" w:rsidRDefault="00E336C2">
          <w:pPr>
            <w:pStyle w:val="TOC1"/>
            <w:rPr>
              <w:rFonts w:eastAsiaTheme="minorEastAsia"/>
              <w:b w:val="0"/>
              <w:bCs w:val="0"/>
              <w:kern w:val="2"/>
              <w:lang w:eastAsia="en-ZA"/>
              <w14:ligatures w14:val="standardContextual"/>
            </w:rPr>
          </w:pPr>
          <w:hyperlink w:anchor="_Toc181339560" w:history="1">
            <w:r w:rsidRPr="00B17C11">
              <w:rPr>
                <w:rStyle w:val="Hyperlink"/>
                <w:color w:val="auto"/>
              </w:rPr>
              <w:t>BIBLIOGRAPHY</w:t>
            </w:r>
            <w:r w:rsidRPr="00B17C11">
              <w:rPr>
                <w:webHidden/>
              </w:rPr>
              <w:tab/>
            </w:r>
            <w:r w:rsidRPr="00B17C11">
              <w:rPr>
                <w:webHidden/>
              </w:rPr>
              <w:fldChar w:fldCharType="begin"/>
            </w:r>
            <w:r w:rsidRPr="00B17C11">
              <w:rPr>
                <w:webHidden/>
              </w:rPr>
              <w:instrText xml:space="preserve"> PAGEREF _Toc181339560 \h </w:instrText>
            </w:r>
            <w:r w:rsidRPr="00B17C11">
              <w:rPr>
                <w:webHidden/>
              </w:rPr>
            </w:r>
            <w:r w:rsidRPr="00B17C11">
              <w:rPr>
                <w:webHidden/>
              </w:rPr>
              <w:fldChar w:fldCharType="separate"/>
            </w:r>
            <w:r w:rsidR="0026258A">
              <w:rPr>
                <w:webHidden/>
              </w:rPr>
              <w:t>78</w:t>
            </w:r>
            <w:r w:rsidRPr="00B17C11">
              <w:rPr>
                <w:webHidden/>
              </w:rPr>
              <w:fldChar w:fldCharType="end"/>
            </w:r>
          </w:hyperlink>
        </w:p>
        <w:p w14:paraId="6D63F16A" w14:textId="06C6BAEF" w:rsidR="009658EC" w:rsidRPr="00B17C11" w:rsidRDefault="009658EC">
          <w:pPr>
            <w:rPr>
              <w:rFonts w:ascii="Arial" w:hAnsi="Arial" w:cs="Arial"/>
              <w:sz w:val="24"/>
              <w:szCs w:val="24"/>
            </w:rPr>
          </w:pPr>
          <w:r w:rsidRPr="00B17C11">
            <w:rPr>
              <w:rFonts w:ascii="Arial" w:hAnsi="Arial" w:cs="Arial"/>
              <w:b/>
              <w:bCs/>
              <w:noProof/>
              <w:sz w:val="24"/>
              <w:szCs w:val="24"/>
            </w:rPr>
            <w:fldChar w:fldCharType="end"/>
          </w:r>
        </w:p>
      </w:sdtContent>
    </w:sdt>
    <w:p w14:paraId="79D6762C" w14:textId="77777777" w:rsidR="009658EC" w:rsidRPr="00B17C11" w:rsidRDefault="009658EC">
      <w:pPr>
        <w:rPr>
          <w:rFonts w:ascii="Arial" w:hAnsi="Arial" w:cs="Arial"/>
          <w:b/>
          <w:sz w:val="24"/>
          <w:szCs w:val="24"/>
          <w:lang w:val="en-GB"/>
        </w:rPr>
      </w:pPr>
    </w:p>
    <w:p w14:paraId="7FD82027" w14:textId="181D04F8" w:rsidR="00F33A8E" w:rsidRPr="00B17C11" w:rsidRDefault="00F33A8E">
      <w:pPr>
        <w:rPr>
          <w:rFonts w:ascii="Arial" w:hAnsi="Arial" w:cs="Arial"/>
          <w:b/>
          <w:sz w:val="24"/>
          <w:szCs w:val="24"/>
          <w:lang w:val="en-GB"/>
        </w:rPr>
        <w:sectPr w:rsidR="00F33A8E" w:rsidRPr="00B17C11" w:rsidSect="0003527C">
          <w:footerReference w:type="default" r:id="rId16"/>
          <w:pgSz w:w="11906" w:h="16838"/>
          <w:pgMar w:top="1440" w:right="1440" w:bottom="1440" w:left="1440" w:header="708" w:footer="708" w:gutter="0"/>
          <w:pgNumType w:fmt="lowerRoman"/>
          <w:cols w:space="708"/>
          <w:titlePg/>
          <w:docGrid w:linePitch="360"/>
        </w:sectPr>
      </w:pPr>
      <w:r w:rsidRPr="00B17C11">
        <w:rPr>
          <w:rFonts w:ascii="Arial" w:hAnsi="Arial" w:cs="Arial"/>
          <w:b/>
          <w:sz w:val="24"/>
          <w:szCs w:val="24"/>
          <w:lang w:val="en-GB"/>
        </w:rPr>
        <w:br w:type="page"/>
      </w:r>
    </w:p>
    <w:p w14:paraId="38B5F5E6" w14:textId="09C19A6D" w:rsidR="00840E7E" w:rsidRPr="00B17C11" w:rsidRDefault="00840E7E" w:rsidP="009E6526">
      <w:pPr>
        <w:pStyle w:val="Heading1"/>
      </w:pPr>
      <w:bookmarkStart w:id="1" w:name="_Toc181339528"/>
      <w:r w:rsidRPr="00B17C11">
        <w:lastRenderedPageBreak/>
        <w:t>: INTRODUCTION</w:t>
      </w:r>
      <w:bookmarkEnd w:id="1"/>
      <w:r w:rsidR="002E67BC" w:rsidRPr="00B17C11">
        <w:t xml:space="preserve"> </w:t>
      </w:r>
    </w:p>
    <w:p w14:paraId="55D31BE5" w14:textId="77777777" w:rsidR="002E67BC" w:rsidRPr="00B17C11" w:rsidRDefault="002E67BC" w:rsidP="002E67BC">
      <w:pPr>
        <w:pStyle w:val="Heading2"/>
      </w:pPr>
      <w:bookmarkStart w:id="2" w:name="_Toc181339529"/>
    </w:p>
    <w:p w14:paraId="1828CF7B" w14:textId="6667EA77" w:rsidR="002E67BC" w:rsidRPr="00B17C11" w:rsidRDefault="004714BB" w:rsidP="009E6526">
      <w:pPr>
        <w:pStyle w:val="Heading2"/>
        <w:rPr>
          <w:rFonts w:ascii="Arial" w:hAnsi="Arial"/>
          <w:lang w:val="en-GB"/>
        </w:rPr>
      </w:pPr>
      <w:r w:rsidRPr="00B17C11">
        <w:t>1.1</w:t>
      </w:r>
      <w:r w:rsidRPr="00B17C11">
        <w:tab/>
      </w:r>
      <w:r w:rsidR="003B4684" w:rsidRPr="00B17C11">
        <w:t>historical background</w:t>
      </w:r>
      <w:bookmarkEnd w:id="2"/>
    </w:p>
    <w:p w14:paraId="2C6F31D7" w14:textId="46CD91BB" w:rsidR="001C4ADB" w:rsidRPr="00B17C11" w:rsidRDefault="00144700" w:rsidP="00144700">
      <w:pPr>
        <w:spacing w:line="360" w:lineRule="auto"/>
        <w:jc w:val="both"/>
        <w:rPr>
          <w:rFonts w:ascii="Arial" w:hAnsi="Arial" w:cs="Arial"/>
          <w:sz w:val="24"/>
          <w:szCs w:val="24"/>
          <w:shd w:val="clear" w:color="auto" w:fill="FFFFFF"/>
        </w:rPr>
      </w:pPr>
      <w:r w:rsidRPr="00B17C11">
        <w:rPr>
          <w:rFonts w:ascii="Arial" w:hAnsi="Arial" w:cs="Arial"/>
          <w:sz w:val="24"/>
          <w:szCs w:val="24"/>
          <w:lang w:val="en-GB"/>
        </w:rPr>
        <w:t>This</w:t>
      </w:r>
      <w:r w:rsidR="00C5785B">
        <w:rPr>
          <w:rFonts w:ascii="Arial" w:hAnsi="Arial" w:cs="Arial"/>
          <w:sz w:val="24"/>
          <w:szCs w:val="24"/>
          <w:lang w:val="en-GB"/>
        </w:rPr>
        <w:t xml:space="preserve"> </w:t>
      </w:r>
      <w:r w:rsidR="007D6354" w:rsidRPr="00B17C11">
        <w:rPr>
          <w:rFonts w:ascii="Arial" w:hAnsi="Arial" w:cs="Arial"/>
          <w:sz w:val="24"/>
          <w:szCs w:val="24"/>
          <w:lang w:val="en-GB"/>
        </w:rPr>
        <w:t>mini-</w:t>
      </w:r>
      <w:r w:rsidRPr="00B17C11">
        <w:rPr>
          <w:rFonts w:ascii="Arial" w:hAnsi="Arial" w:cs="Arial"/>
          <w:sz w:val="24"/>
          <w:szCs w:val="24"/>
          <w:lang w:val="en-GB"/>
        </w:rPr>
        <w:t xml:space="preserve">dissertation will focus on a unique remedy found in property law. The spoliation remedy </w:t>
      </w:r>
      <w:r w:rsidR="000C03BB" w:rsidRPr="00B17C11">
        <w:rPr>
          <w:rFonts w:ascii="Arial" w:hAnsi="Arial" w:cs="Arial"/>
          <w:sz w:val="24"/>
          <w:szCs w:val="24"/>
          <w:lang w:val="en-GB"/>
        </w:rPr>
        <w:t>(</w:t>
      </w:r>
      <w:proofErr w:type="spellStart"/>
      <w:r w:rsidR="000C03BB" w:rsidRPr="00B17C11">
        <w:rPr>
          <w:rFonts w:ascii="Arial" w:hAnsi="Arial" w:cs="Arial"/>
          <w:i/>
          <w:iCs/>
          <w:sz w:val="24"/>
          <w:szCs w:val="24"/>
          <w:lang w:val="en-GB"/>
        </w:rPr>
        <w:t>mandament</w:t>
      </w:r>
      <w:proofErr w:type="spellEnd"/>
      <w:r w:rsidR="000C03BB" w:rsidRPr="00B17C11">
        <w:rPr>
          <w:rFonts w:ascii="Arial" w:hAnsi="Arial" w:cs="Arial"/>
          <w:i/>
          <w:iCs/>
          <w:sz w:val="24"/>
          <w:szCs w:val="24"/>
          <w:lang w:val="en-GB"/>
        </w:rPr>
        <w:t xml:space="preserve"> van </w:t>
      </w:r>
      <w:proofErr w:type="spellStart"/>
      <w:r w:rsidR="000C03BB" w:rsidRPr="00B17C11">
        <w:rPr>
          <w:rFonts w:ascii="Arial" w:hAnsi="Arial" w:cs="Arial"/>
          <w:i/>
          <w:iCs/>
          <w:sz w:val="24"/>
          <w:szCs w:val="24"/>
          <w:lang w:val="en-GB"/>
        </w:rPr>
        <w:t>spolie</w:t>
      </w:r>
      <w:proofErr w:type="spellEnd"/>
      <w:r w:rsidR="000C03BB" w:rsidRPr="00B17C11">
        <w:rPr>
          <w:rFonts w:ascii="Arial" w:hAnsi="Arial" w:cs="Arial"/>
          <w:sz w:val="24"/>
          <w:szCs w:val="24"/>
          <w:lang w:val="en-GB"/>
        </w:rPr>
        <w:t xml:space="preserve">) </w:t>
      </w:r>
      <w:r w:rsidRPr="00B17C11">
        <w:rPr>
          <w:rFonts w:ascii="Arial" w:hAnsi="Arial" w:cs="Arial"/>
          <w:sz w:val="24"/>
          <w:szCs w:val="24"/>
          <w:lang w:val="en-GB"/>
        </w:rPr>
        <w:t>is defined as a robust and speedy remedy aimed at restoring the factual possession of property.</w:t>
      </w:r>
      <w:r w:rsidRPr="00B17C11">
        <w:rPr>
          <w:rStyle w:val="FootnoteReference"/>
          <w:rFonts w:ascii="Arial" w:hAnsi="Arial" w:cs="Arial"/>
          <w:sz w:val="24"/>
          <w:szCs w:val="24"/>
          <w:lang w:val="en-GB"/>
        </w:rPr>
        <w:footnoteReference w:id="1"/>
      </w:r>
      <w:r w:rsidRPr="00B17C11" w:rsidDel="00D45CFE">
        <w:rPr>
          <w:rFonts w:ascii="Arial" w:hAnsi="Arial" w:cs="Arial"/>
          <w:sz w:val="24"/>
          <w:szCs w:val="24"/>
          <w:lang w:val="en-GB"/>
        </w:rPr>
        <w:t xml:space="preserve"> </w:t>
      </w:r>
      <w:r w:rsidRPr="00B17C11">
        <w:rPr>
          <w:rFonts w:ascii="Arial" w:hAnsi="Arial" w:cs="Arial"/>
          <w:sz w:val="24"/>
          <w:szCs w:val="24"/>
          <w:lang w:val="en-GB"/>
        </w:rPr>
        <w:t xml:space="preserve">Its function is to restore possession that was lost as a result of unlawful self-help, such as the complete deprivation of possession or where there has been substantial interference with possession or the physical exercise of property </w:t>
      </w:r>
      <w:r w:rsidR="00120ACA" w:rsidRPr="00B17C11">
        <w:rPr>
          <w:rFonts w:ascii="Arial" w:hAnsi="Arial" w:cs="Arial"/>
          <w:sz w:val="24"/>
          <w:szCs w:val="24"/>
          <w:lang w:val="en-GB"/>
        </w:rPr>
        <w:t xml:space="preserve">that </w:t>
      </w:r>
      <w:r w:rsidRPr="00B17C11">
        <w:rPr>
          <w:rFonts w:ascii="Arial" w:hAnsi="Arial" w:cs="Arial"/>
          <w:sz w:val="24"/>
          <w:szCs w:val="24"/>
          <w:lang w:val="en-GB"/>
        </w:rPr>
        <w:t>one has the intention to own.</w:t>
      </w:r>
      <w:r w:rsidRPr="00B17C11">
        <w:rPr>
          <w:rStyle w:val="FootnoteReference"/>
          <w:rFonts w:ascii="Arial" w:hAnsi="Arial" w:cs="Arial"/>
          <w:sz w:val="24"/>
          <w:szCs w:val="24"/>
          <w:lang w:val="en-GB"/>
        </w:rPr>
        <w:footnoteReference w:id="2"/>
      </w:r>
      <w:r w:rsidRPr="00B17C11">
        <w:rPr>
          <w:rFonts w:ascii="Arial" w:hAnsi="Arial" w:cs="Arial"/>
          <w:sz w:val="24"/>
          <w:szCs w:val="24"/>
          <w:lang w:val="en-GB"/>
        </w:rPr>
        <w:t xml:space="preserve"> Courts are not supposed to investigate the merits of the case because the rights of the parties are not taken into account.</w:t>
      </w:r>
      <w:r w:rsidRPr="00B17C11">
        <w:rPr>
          <w:rStyle w:val="FootnoteReference"/>
          <w:rFonts w:ascii="Arial" w:hAnsi="Arial" w:cs="Arial"/>
          <w:sz w:val="24"/>
          <w:szCs w:val="24"/>
          <w:lang w:val="en-GB"/>
        </w:rPr>
        <w:footnoteReference w:id="3"/>
      </w:r>
      <w:r w:rsidRPr="00B17C11">
        <w:rPr>
          <w:rFonts w:ascii="Arial" w:hAnsi="Arial" w:cs="Arial"/>
          <w:sz w:val="24"/>
          <w:szCs w:val="24"/>
          <w:lang w:val="en-GB"/>
        </w:rPr>
        <w:t xml:space="preserve"> </w:t>
      </w:r>
      <w:r w:rsidR="007E1471" w:rsidRPr="00B17C11">
        <w:rPr>
          <w:rFonts w:ascii="Arial" w:hAnsi="Arial" w:cs="Arial"/>
          <w:sz w:val="24"/>
          <w:szCs w:val="24"/>
          <w:lang w:val="en-GB"/>
        </w:rPr>
        <w:t>This means</w:t>
      </w:r>
      <w:r w:rsidR="00120ACA" w:rsidRPr="00B17C11">
        <w:rPr>
          <w:rFonts w:ascii="Arial" w:hAnsi="Arial" w:cs="Arial"/>
          <w:sz w:val="24"/>
          <w:szCs w:val="24"/>
          <w:lang w:val="en-GB"/>
        </w:rPr>
        <w:t>,</w:t>
      </w:r>
      <w:r w:rsidR="007E1471" w:rsidRPr="00B17C11">
        <w:rPr>
          <w:rFonts w:ascii="Arial" w:hAnsi="Arial" w:cs="Arial"/>
          <w:sz w:val="24"/>
          <w:szCs w:val="24"/>
          <w:lang w:val="en-GB"/>
        </w:rPr>
        <w:t xml:space="preserve"> in simple terms</w:t>
      </w:r>
      <w:r w:rsidR="00120ACA" w:rsidRPr="00B17C11">
        <w:rPr>
          <w:rFonts w:ascii="Arial" w:hAnsi="Arial" w:cs="Arial"/>
          <w:sz w:val="24"/>
          <w:szCs w:val="24"/>
          <w:lang w:val="en-GB"/>
        </w:rPr>
        <w:t xml:space="preserve">, </w:t>
      </w:r>
      <w:r w:rsidR="007E1471" w:rsidRPr="00B17C11">
        <w:rPr>
          <w:rFonts w:ascii="Arial" w:hAnsi="Arial" w:cs="Arial"/>
          <w:sz w:val="24"/>
          <w:szCs w:val="24"/>
          <w:lang w:val="en-GB"/>
        </w:rPr>
        <w:t xml:space="preserve">that the merit for the possession </w:t>
      </w:r>
      <w:r w:rsidR="000A478C" w:rsidRPr="00B17C11">
        <w:rPr>
          <w:rFonts w:ascii="Arial" w:hAnsi="Arial" w:cs="Arial"/>
          <w:sz w:val="24"/>
          <w:szCs w:val="24"/>
          <w:lang w:val="en-GB"/>
        </w:rPr>
        <w:t xml:space="preserve">of a thing </w:t>
      </w:r>
      <w:r w:rsidR="007E1471" w:rsidRPr="00B17C11">
        <w:rPr>
          <w:rFonts w:ascii="Arial" w:hAnsi="Arial" w:cs="Arial"/>
          <w:sz w:val="24"/>
          <w:szCs w:val="24"/>
          <w:lang w:val="en-GB"/>
        </w:rPr>
        <w:t>should not play a role in the cou</w:t>
      </w:r>
      <w:r w:rsidR="000A478C" w:rsidRPr="00B17C11">
        <w:rPr>
          <w:rFonts w:ascii="Arial" w:hAnsi="Arial" w:cs="Arial"/>
          <w:sz w:val="24"/>
          <w:szCs w:val="24"/>
          <w:lang w:val="en-GB"/>
        </w:rPr>
        <w:t xml:space="preserve">rt restoring the </w:t>
      </w:r>
      <w:r w:rsidR="000A478C" w:rsidRPr="00B17C11">
        <w:rPr>
          <w:rFonts w:ascii="Arial" w:hAnsi="Arial" w:cs="Arial"/>
          <w:i/>
          <w:iCs/>
          <w:sz w:val="24"/>
          <w:szCs w:val="24"/>
          <w:lang w:val="en-GB"/>
        </w:rPr>
        <w:t>status quo ante</w:t>
      </w:r>
      <w:r w:rsidR="000A478C" w:rsidRPr="00B17C11">
        <w:rPr>
          <w:rFonts w:ascii="Arial" w:hAnsi="Arial" w:cs="Arial"/>
          <w:sz w:val="24"/>
          <w:szCs w:val="24"/>
          <w:lang w:val="en-GB"/>
        </w:rPr>
        <w:t xml:space="preserve">. </w:t>
      </w:r>
      <w:r w:rsidRPr="00B17C11">
        <w:rPr>
          <w:rFonts w:ascii="Arial" w:hAnsi="Arial" w:cs="Arial"/>
          <w:sz w:val="24"/>
          <w:szCs w:val="24"/>
          <w:lang w:val="en-GB"/>
        </w:rPr>
        <w:t xml:space="preserve">The applicant should only prove that there was peaceful and undisturbed possession </w:t>
      </w:r>
      <w:r w:rsidR="000A478C" w:rsidRPr="00B17C11">
        <w:rPr>
          <w:rFonts w:ascii="Arial" w:hAnsi="Arial" w:cs="Arial"/>
          <w:sz w:val="24"/>
          <w:szCs w:val="24"/>
          <w:lang w:val="en-GB"/>
        </w:rPr>
        <w:t xml:space="preserve">of a thing </w:t>
      </w:r>
      <w:r w:rsidRPr="00B17C11">
        <w:rPr>
          <w:rFonts w:ascii="Arial" w:hAnsi="Arial" w:cs="Arial"/>
          <w:sz w:val="24"/>
          <w:szCs w:val="24"/>
          <w:lang w:val="en-GB"/>
        </w:rPr>
        <w:t>and that such possession was spoliated or unlawfully dispossessed.</w:t>
      </w:r>
      <w:r w:rsidRPr="00B17C11">
        <w:rPr>
          <w:rStyle w:val="FootnoteReference"/>
          <w:rFonts w:ascii="Arial" w:hAnsi="Arial" w:cs="Arial"/>
          <w:sz w:val="24"/>
          <w:szCs w:val="24"/>
          <w:lang w:val="en-GB"/>
        </w:rPr>
        <w:footnoteReference w:id="4"/>
      </w:r>
      <w:r w:rsidR="00BB5EFB" w:rsidRPr="00B17C11">
        <w:rPr>
          <w:rFonts w:ascii="Arial" w:hAnsi="Arial" w:cs="Arial"/>
          <w:sz w:val="24"/>
          <w:szCs w:val="24"/>
          <w:lang w:val="en-GB"/>
        </w:rPr>
        <w:t xml:space="preserve"> </w:t>
      </w:r>
      <w:r w:rsidRPr="00B17C11">
        <w:rPr>
          <w:rFonts w:ascii="Arial" w:hAnsi="Arial" w:cs="Arial"/>
          <w:sz w:val="24"/>
          <w:szCs w:val="24"/>
          <w:lang w:val="en-GB"/>
        </w:rPr>
        <w:t xml:space="preserve">The other </w:t>
      </w:r>
      <w:r w:rsidRPr="00B17C11">
        <w:rPr>
          <w:rFonts w:ascii="Arial" w:hAnsi="Arial" w:cs="Arial"/>
          <w:sz w:val="24"/>
          <w:szCs w:val="24"/>
          <w:shd w:val="clear" w:color="auto" w:fill="FFFFFF"/>
        </w:rPr>
        <w:t xml:space="preserve">function </w:t>
      </w:r>
      <w:r w:rsidR="00FB204F" w:rsidRPr="00B17C11">
        <w:rPr>
          <w:rFonts w:ascii="Arial" w:hAnsi="Arial" w:cs="Arial"/>
          <w:sz w:val="24"/>
          <w:szCs w:val="24"/>
          <w:shd w:val="clear" w:color="auto" w:fill="FFFFFF"/>
        </w:rPr>
        <w:t xml:space="preserve">of the spoliation remedy </w:t>
      </w:r>
      <w:r w:rsidRPr="00B17C11">
        <w:rPr>
          <w:rFonts w:ascii="Arial" w:hAnsi="Arial" w:cs="Arial"/>
          <w:sz w:val="24"/>
          <w:szCs w:val="24"/>
          <w:shd w:val="clear" w:color="auto" w:fill="FFFFFF"/>
        </w:rPr>
        <w:t>is to maintain peace and discourage persons from taking the law into their own hands.</w:t>
      </w:r>
      <w:r w:rsidRPr="00B17C11">
        <w:rPr>
          <w:rStyle w:val="FootnoteReference"/>
          <w:rFonts w:ascii="Arial" w:hAnsi="Arial" w:cs="Arial"/>
          <w:sz w:val="24"/>
          <w:szCs w:val="24"/>
          <w:shd w:val="clear" w:color="auto" w:fill="FFFFFF"/>
        </w:rPr>
        <w:footnoteReference w:id="5"/>
      </w:r>
      <w:r w:rsidRPr="00B17C11">
        <w:rPr>
          <w:rFonts w:ascii="Arial" w:hAnsi="Arial" w:cs="Arial"/>
          <w:sz w:val="24"/>
          <w:szCs w:val="24"/>
          <w:shd w:val="clear" w:color="auto" w:fill="FFFFFF"/>
        </w:rPr>
        <w:t xml:space="preserve"> Therefore, the aim is to prevent anarchy.</w:t>
      </w:r>
      <w:r w:rsidRPr="00B17C11">
        <w:rPr>
          <w:rStyle w:val="FootnoteReference"/>
          <w:rFonts w:ascii="Arial" w:hAnsi="Arial" w:cs="Arial"/>
          <w:sz w:val="24"/>
          <w:szCs w:val="24"/>
          <w:shd w:val="clear" w:color="auto" w:fill="FFFFFF"/>
        </w:rPr>
        <w:footnoteReference w:id="6"/>
      </w:r>
    </w:p>
    <w:p w14:paraId="07B7CDBF" w14:textId="3A4312D4" w:rsidR="00E76BB2" w:rsidRPr="00B17C11" w:rsidRDefault="00144700" w:rsidP="00E76BB2">
      <w:pPr>
        <w:spacing w:line="360" w:lineRule="auto"/>
        <w:jc w:val="both"/>
        <w:rPr>
          <w:rFonts w:ascii="Arial" w:hAnsi="Arial" w:cs="Arial"/>
          <w:sz w:val="24"/>
          <w:szCs w:val="24"/>
        </w:rPr>
      </w:pPr>
      <w:r w:rsidRPr="00B17C11">
        <w:rPr>
          <w:rFonts w:ascii="Arial" w:hAnsi="Arial" w:cs="Arial"/>
          <w:sz w:val="24"/>
          <w:szCs w:val="24"/>
          <w:shd w:val="clear" w:color="auto" w:fill="FFFFFF"/>
        </w:rPr>
        <w:t>The application of this remedy was previously limited to the protection of possession of corporeal things. However, over time, especially due to the recognition of metaphysics by the law or the science of things beyond what is physical, the protection of possession was extended to</w:t>
      </w:r>
      <w:r w:rsidR="002E67BC" w:rsidRPr="00B17C11">
        <w:rPr>
          <w:rFonts w:ascii="Arial" w:hAnsi="Arial" w:cs="Arial"/>
          <w:sz w:val="24"/>
          <w:szCs w:val="24"/>
          <w:shd w:val="clear" w:color="auto" w:fill="FFFFFF"/>
        </w:rPr>
        <w:t xml:space="preserve"> </w:t>
      </w:r>
      <w:proofErr w:type="spellStart"/>
      <w:r w:rsidRPr="00B17C11">
        <w:rPr>
          <w:rFonts w:ascii="Arial" w:hAnsi="Arial" w:cs="Arial"/>
          <w:sz w:val="24"/>
          <w:szCs w:val="24"/>
          <w:shd w:val="clear" w:color="auto" w:fill="FFFFFF"/>
        </w:rPr>
        <w:t>incorporeal</w:t>
      </w:r>
      <w:r w:rsidR="000B7846" w:rsidRPr="00B17C11">
        <w:rPr>
          <w:rFonts w:ascii="Arial" w:hAnsi="Arial" w:cs="Arial"/>
          <w:sz w:val="24"/>
          <w:szCs w:val="24"/>
          <w:shd w:val="clear" w:color="auto" w:fill="FFFFFF"/>
        </w:rPr>
        <w:t>s</w:t>
      </w:r>
      <w:proofErr w:type="spellEnd"/>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7"/>
      </w:r>
      <w:r w:rsidRPr="00B17C11">
        <w:rPr>
          <w:rFonts w:ascii="Arial" w:hAnsi="Arial" w:cs="Arial"/>
          <w:sz w:val="24"/>
          <w:szCs w:val="24"/>
          <w:shd w:val="clear" w:color="auto" w:fill="FFFFFF"/>
        </w:rPr>
        <w:t xml:space="preserve"> Since then, its application has been </w:t>
      </w:r>
      <w:r w:rsidRPr="00B17C11">
        <w:rPr>
          <w:rFonts w:ascii="Arial" w:hAnsi="Arial" w:cs="Arial"/>
          <w:sz w:val="24"/>
          <w:szCs w:val="24"/>
          <w:shd w:val="clear" w:color="auto" w:fill="FFFFFF"/>
        </w:rPr>
        <w:lastRenderedPageBreak/>
        <w:t>extensively contested and fraught with inconsistencies.</w:t>
      </w:r>
      <w:r w:rsidRPr="00B17C11">
        <w:rPr>
          <w:rStyle w:val="FootnoteReference"/>
          <w:rFonts w:ascii="Arial" w:hAnsi="Arial" w:cs="Arial"/>
          <w:sz w:val="24"/>
          <w:szCs w:val="24"/>
          <w:shd w:val="clear" w:color="auto" w:fill="FFFFFF"/>
        </w:rPr>
        <w:footnoteReference w:id="8"/>
      </w:r>
      <w:r w:rsidR="00DE2CB7">
        <w:rPr>
          <w:rFonts w:ascii="Arial" w:hAnsi="Arial" w:cs="Arial"/>
          <w:sz w:val="24"/>
          <w:szCs w:val="24"/>
          <w:shd w:val="clear" w:color="auto" w:fill="FFFFFF"/>
        </w:rPr>
        <w:t xml:space="preserve"> </w:t>
      </w:r>
      <w:r w:rsidR="00E76BB2" w:rsidRPr="00B17C11">
        <w:rPr>
          <w:rFonts w:ascii="Arial" w:hAnsi="Arial" w:cs="Arial"/>
          <w:sz w:val="24"/>
          <w:szCs w:val="24"/>
          <w:lang w:val="en-GB"/>
        </w:rPr>
        <w:t xml:space="preserve">It was held that because rights cannot be possessed, the holder of the right had a </w:t>
      </w:r>
      <w:r w:rsidR="00E76BB2" w:rsidRPr="00B17C11">
        <w:rPr>
          <w:rFonts w:ascii="Arial" w:hAnsi="Arial" w:cs="Arial"/>
          <w:i/>
          <w:iCs/>
          <w:sz w:val="24"/>
          <w:szCs w:val="24"/>
          <w:lang w:val="en-GB"/>
        </w:rPr>
        <w:t>quasi</w:t>
      </w:r>
      <w:r w:rsidR="00E76BB2" w:rsidRPr="00B17C11">
        <w:rPr>
          <w:rFonts w:ascii="Arial" w:hAnsi="Arial" w:cs="Arial"/>
          <w:sz w:val="24"/>
          <w:szCs w:val="24"/>
          <w:lang w:val="en-GB"/>
        </w:rPr>
        <w:t>-possession of the right when he exercised such rights.</w:t>
      </w:r>
      <w:r w:rsidR="00E76BB2" w:rsidRPr="00B17C11">
        <w:rPr>
          <w:rStyle w:val="FootnoteReference"/>
          <w:rFonts w:ascii="Arial" w:hAnsi="Arial" w:cs="Arial"/>
          <w:sz w:val="24"/>
          <w:szCs w:val="24"/>
          <w:lang w:val="en-GB"/>
        </w:rPr>
        <w:footnoteReference w:id="9"/>
      </w:r>
      <w:r w:rsidR="009240FD" w:rsidRPr="00B17C11">
        <w:rPr>
          <w:rFonts w:ascii="Arial" w:hAnsi="Arial" w:cs="Arial"/>
          <w:sz w:val="24"/>
          <w:szCs w:val="24"/>
          <w:lang w:val="en-GB"/>
        </w:rPr>
        <w:t xml:space="preserve"> </w:t>
      </w:r>
      <w:r w:rsidR="00E76BB2" w:rsidRPr="00B17C11">
        <w:rPr>
          <w:rFonts w:ascii="Arial" w:hAnsi="Arial" w:cs="Arial"/>
          <w:sz w:val="24"/>
          <w:szCs w:val="24"/>
          <w:lang w:val="en-GB"/>
        </w:rPr>
        <w:t xml:space="preserve">However, there was uncertainty in relation to which </w:t>
      </w:r>
      <w:r w:rsidR="00E76BB2" w:rsidRPr="00B17C11">
        <w:rPr>
          <w:rFonts w:ascii="Arial" w:hAnsi="Arial" w:cs="Arial"/>
          <w:i/>
          <w:iCs/>
          <w:sz w:val="24"/>
          <w:szCs w:val="24"/>
          <w:lang w:val="en-GB"/>
        </w:rPr>
        <w:t>quasi</w:t>
      </w:r>
      <w:r w:rsidR="00E76BB2" w:rsidRPr="00B17C11">
        <w:rPr>
          <w:rFonts w:ascii="Arial" w:hAnsi="Arial" w:cs="Arial"/>
          <w:sz w:val="24"/>
          <w:szCs w:val="24"/>
          <w:lang w:val="en-GB"/>
        </w:rPr>
        <w:t xml:space="preserve">-possession rights are protectable under </w:t>
      </w:r>
      <w:r w:rsidR="001353FF" w:rsidRPr="00B17C11">
        <w:rPr>
          <w:rFonts w:ascii="Arial" w:hAnsi="Arial" w:cs="Arial"/>
          <w:sz w:val="24"/>
          <w:szCs w:val="24"/>
          <w:lang w:val="en-GB"/>
        </w:rPr>
        <w:t xml:space="preserve">the </w:t>
      </w:r>
      <w:r w:rsidR="00E76BB2" w:rsidRPr="00B17C11">
        <w:rPr>
          <w:rFonts w:ascii="Arial" w:hAnsi="Arial" w:cs="Arial"/>
          <w:sz w:val="24"/>
          <w:szCs w:val="24"/>
          <w:lang w:val="en-GB"/>
        </w:rPr>
        <w:t>spoliation</w:t>
      </w:r>
      <w:r w:rsidR="001353FF" w:rsidRPr="00B17C11">
        <w:rPr>
          <w:rFonts w:ascii="Arial" w:hAnsi="Arial" w:cs="Arial"/>
          <w:sz w:val="24"/>
          <w:szCs w:val="24"/>
          <w:lang w:val="en-GB"/>
        </w:rPr>
        <w:t xml:space="preserve"> remedy</w:t>
      </w:r>
      <w:r w:rsidR="00E76BB2" w:rsidRPr="00B17C11">
        <w:rPr>
          <w:rFonts w:ascii="Arial" w:hAnsi="Arial" w:cs="Arial"/>
          <w:sz w:val="24"/>
          <w:szCs w:val="24"/>
          <w:lang w:val="en-GB"/>
        </w:rPr>
        <w:t xml:space="preserve">. This confusion came about as a result of the court’s judgment in </w:t>
      </w:r>
      <w:r w:rsidR="00E76BB2" w:rsidRPr="00B17C11">
        <w:rPr>
          <w:rFonts w:ascii="Arial" w:hAnsi="Arial" w:cs="Arial"/>
          <w:i/>
          <w:sz w:val="24"/>
          <w:szCs w:val="24"/>
          <w:lang w:val="en-GB"/>
        </w:rPr>
        <w:t>Nino Bonino v De Lange</w:t>
      </w:r>
      <w:r w:rsidR="00E76BB2" w:rsidRPr="00B17C11">
        <w:rPr>
          <w:rFonts w:ascii="Arial" w:hAnsi="Arial" w:cs="Arial"/>
          <w:sz w:val="24"/>
          <w:szCs w:val="24"/>
          <w:lang w:val="en-GB"/>
        </w:rPr>
        <w:t xml:space="preserve"> that ‘spoliation is any illicit deprivation of the rights of possession whether in regard to movable or immovable property or in regard to a legal right’.</w:t>
      </w:r>
      <w:r w:rsidR="00E76BB2" w:rsidRPr="00B17C11">
        <w:rPr>
          <w:rStyle w:val="FootnoteReference"/>
          <w:rFonts w:ascii="Arial" w:hAnsi="Arial" w:cs="Arial"/>
          <w:sz w:val="24"/>
          <w:szCs w:val="24"/>
          <w:lang w:val="en-GB"/>
        </w:rPr>
        <w:footnoteReference w:id="10"/>
      </w:r>
      <w:r w:rsidR="002B4735" w:rsidRPr="00B17C11">
        <w:rPr>
          <w:rFonts w:ascii="Arial" w:hAnsi="Arial" w:cs="Arial"/>
          <w:sz w:val="24"/>
          <w:szCs w:val="24"/>
          <w:lang w:val="en-GB"/>
        </w:rPr>
        <w:t xml:space="preserve"> </w:t>
      </w:r>
      <w:r w:rsidR="00E76BB2" w:rsidRPr="00B17C11">
        <w:rPr>
          <w:rFonts w:ascii="Arial" w:hAnsi="Arial" w:cs="Arial"/>
          <w:sz w:val="24"/>
          <w:szCs w:val="24"/>
          <w:lang w:val="en-GB"/>
        </w:rPr>
        <w:t>This</w:t>
      </w:r>
      <w:r w:rsidR="00EA693A" w:rsidRPr="00B17C11">
        <w:rPr>
          <w:rFonts w:ascii="Arial" w:hAnsi="Arial" w:cs="Arial"/>
          <w:sz w:val="24"/>
          <w:szCs w:val="24"/>
          <w:lang w:val="en-GB"/>
        </w:rPr>
        <w:t xml:space="preserve"> </w:t>
      </w:r>
      <w:r w:rsidR="00E76BB2" w:rsidRPr="00B17C11">
        <w:rPr>
          <w:rFonts w:ascii="Arial" w:hAnsi="Arial" w:cs="Arial"/>
          <w:sz w:val="24"/>
          <w:szCs w:val="24"/>
          <w:lang w:val="en-GB"/>
        </w:rPr>
        <w:t>judgment suggested that a wide approach should be followed in spoliation proceedings.</w:t>
      </w:r>
      <w:r w:rsidR="00E76BB2" w:rsidRPr="00B17C11">
        <w:rPr>
          <w:rStyle w:val="FootnoteReference"/>
          <w:rFonts w:ascii="Arial" w:hAnsi="Arial" w:cs="Arial"/>
          <w:sz w:val="24"/>
          <w:szCs w:val="24"/>
          <w:lang w:val="en-GB"/>
        </w:rPr>
        <w:footnoteReference w:id="11"/>
      </w:r>
      <w:r w:rsidR="00E76BB2" w:rsidRPr="00B17C11">
        <w:rPr>
          <w:rFonts w:ascii="Arial" w:hAnsi="Arial" w:cs="Arial"/>
          <w:sz w:val="24"/>
          <w:szCs w:val="24"/>
          <w:lang w:val="en-GB"/>
        </w:rPr>
        <w:t xml:space="preserve"> This confusion was cleared </w:t>
      </w:r>
      <w:r w:rsidR="00244F83" w:rsidRPr="00B17C11">
        <w:rPr>
          <w:rFonts w:ascii="Arial" w:hAnsi="Arial" w:cs="Arial"/>
          <w:sz w:val="24"/>
          <w:szCs w:val="24"/>
          <w:lang w:val="en-GB"/>
        </w:rPr>
        <w:t xml:space="preserve">up </w:t>
      </w:r>
      <w:r w:rsidR="00E76BB2" w:rsidRPr="00B17C11">
        <w:rPr>
          <w:rFonts w:ascii="Arial" w:hAnsi="Arial" w:cs="Arial"/>
          <w:sz w:val="24"/>
          <w:szCs w:val="24"/>
          <w:lang w:val="en-GB"/>
        </w:rPr>
        <w:t xml:space="preserve">in </w:t>
      </w:r>
      <w:proofErr w:type="spellStart"/>
      <w:r w:rsidR="00E76BB2" w:rsidRPr="00B17C11">
        <w:rPr>
          <w:rFonts w:ascii="Arial" w:hAnsi="Arial" w:cs="Arial"/>
          <w:i/>
          <w:sz w:val="24"/>
          <w:szCs w:val="24"/>
        </w:rPr>
        <w:t>Firstrand</w:t>
      </w:r>
      <w:proofErr w:type="spellEnd"/>
      <w:r w:rsidR="00E76BB2" w:rsidRPr="00B17C11">
        <w:rPr>
          <w:rFonts w:ascii="Arial" w:hAnsi="Arial" w:cs="Arial"/>
          <w:i/>
          <w:sz w:val="24"/>
          <w:szCs w:val="24"/>
        </w:rPr>
        <w:t xml:space="preserve"> Ltd t/a Rand Merchant Bank and Another v Scholtz NO and Others</w:t>
      </w:r>
      <w:r w:rsidR="00E76BB2" w:rsidRPr="00B17C11">
        <w:rPr>
          <w:rFonts w:ascii="Arial" w:hAnsi="Arial" w:cs="Arial"/>
          <w:sz w:val="24"/>
          <w:szCs w:val="24"/>
        </w:rPr>
        <w:t xml:space="preserve"> (</w:t>
      </w:r>
      <w:proofErr w:type="spellStart"/>
      <w:r w:rsidR="00E76BB2" w:rsidRPr="00B17C11">
        <w:rPr>
          <w:rFonts w:ascii="Arial" w:hAnsi="Arial" w:cs="Arial"/>
          <w:i/>
          <w:sz w:val="24"/>
          <w:szCs w:val="24"/>
        </w:rPr>
        <w:t>Firstrand</w:t>
      </w:r>
      <w:proofErr w:type="spellEnd"/>
      <w:r w:rsidR="00E76BB2" w:rsidRPr="00B17C11">
        <w:rPr>
          <w:rFonts w:ascii="Arial" w:hAnsi="Arial" w:cs="Arial"/>
          <w:sz w:val="24"/>
          <w:szCs w:val="24"/>
        </w:rPr>
        <w:t xml:space="preserve">), where the court held that the </w:t>
      </w:r>
      <w:r w:rsidR="00E76BB2" w:rsidRPr="00B17C11">
        <w:rPr>
          <w:rFonts w:ascii="Arial" w:hAnsi="Arial" w:cs="Arial"/>
          <w:i/>
          <w:iCs/>
          <w:sz w:val="24"/>
          <w:szCs w:val="24"/>
        </w:rPr>
        <w:t>quasi</w:t>
      </w:r>
      <w:r w:rsidR="00E76BB2" w:rsidRPr="00B17C11">
        <w:rPr>
          <w:rFonts w:ascii="Arial" w:hAnsi="Arial" w:cs="Arial"/>
          <w:sz w:val="24"/>
          <w:szCs w:val="24"/>
        </w:rPr>
        <w:t xml:space="preserve">-possession of rights protected by the spoliation remedy is the </w:t>
      </w:r>
      <w:proofErr w:type="spellStart"/>
      <w:r w:rsidR="00E76BB2" w:rsidRPr="00B17C11">
        <w:rPr>
          <w:rFonts w:ascii="Arial" w:hAnsi="Arial" w:cs="Arial"/>
          <w:i/>
          <w:sz w:val="24"/>
          <w:szCs w:val="24"/>
        </w:rPr>
        <w:t>gebruiksreg</w:t>
      </w:r>
      <w:proofErr w:type="spellEnd"/>
      <w:r w:rsidR="00E76BB2" w:rsidRPr="00B17C11">
        <w:rPr>
          <w:rFonts w:ascii="Arial" w:hAnsi="Arial" w:cs="Arial"/>
          <w:sz w:val="24"/>
          <w:szCs w:val="24"/>
        </w:rPr>
        <w:t>, known as the right of use, and should be an incident of possession or control of the property.</w:t>
      </w:r>
      <w:r w:rsidR="00E76BB2" w:rsidRPr="00B17C11">
        <w:rPr>
          <w:rStyle w:val="FootnoteReference"/>
          <w:rFonts w:ascii="Arial" w:hAnsi="Arial" w:cs="Arial"/>
          <w:sz w:val="24"/>
          <w:szCs w:val="24"/>
        </w:rPr>
        <w:footnoteReference w:id="12"/>
      </w:r>
      <w:r w:rsidR="00E76BB2" w:rsidRPr="00B17C11">
        <w:rPr>
          <w:rFonts w:ascii="Arial" w:hAnsi="Arial" w:cs="Arial"/>
          <w:sz w:val="24"/>
          <w:szCs w:val="24"/>
        </w:rPr>
        <w:t xml:space="preserve"> These rights comprise </w:t>
      </w:r>
      <w:proofErr w:type="spellStart"/>
      <w:r w:rsidR="00E76BB2" w:rsidRPr="00B17C11">
        <w:rPr>
          <w:rFonts w:ascii="Arial" w:hAnsi="Arial" w:cs="Arial"/>
          <w:sz w:val="24"/>
          <w:szCs w:val="24"/>
        </w:rPr>
        <w:t>servitu</w:t>
      </w:r>
      <w:r w:rsidR="00C71851" w:rsidRPr="00B17C11">
        <w:rPr>
          <w:rFonts w:ascii="Arial" w:hAnsi="Arial" w:cs="Arial"/>
          <w:sz w:val="24"/>
          <w:szCs w:val="24"/>
        </w:rPr>
        <w:t>t</w:t>
      </w:r>
      <w:r w:rsidR="00E76BB2" w:rsidRPr="00B17C11">
        <w:rPr>
          <w:rFonts w:ascii="Arial" w:hAnsi="Arial" w:cs="Arial"/>
          <w:sz w:val="24"/>
          <w:szCs w:val="24"/>
        </w:rPr>
        <w:t>al</w:t>
      </w:r>
      <w:proofErr w:type="spellEnd"/>
      <w:r w:rsidR="00E76BB2" w:rsidRPr="00B17C11">
        <w:rPr>
          <w:rFonts w:ascii="Arial" w:hAnsi="Arial" w:cs="Arial"/>
          <w:sz w:val="24"/>
          <w:szCs w:val="24"/>
        </w:rPr>
        <w:t xml:space="preserve"> rights such as a right of way or an incident of possession where a person in possession of the property also has access to water and electricity.</w:t>
      </w:r>
      <w:r w:rsidR="00E76BB2" w:rsidRPr="00B17C11">
        <w:rPr>
          <w:rStyle w:val="FootnoteReference"/>
          <w:rFonts w:ascii="Arial" w:hAnsi="Arial" w:cs="Arial"/>
          <w:sz w:val="24"/>
          <w:szCs w:val="24"/>
        </w:rPr>
        <w:footnoteReference w:id="13"/>
      </w:r>
    </w:p>
    <w:p w14:paraId="315CD3E2" w14:textId="74BCD5FD" w:rsidR="00E76BB2" w:rsidRPr="00B17C11" w:rsidRDefault="00E76BB2" w:rsidP="00E76BB2">
      <w:pPr>
        <w:spacing w:line="360" w:lineRule="auto"/>
        <w:jc w:val="both"/>
        <w:rPr>
          <w:rFonts w:ascii="Arial" w:hAnsi="Arial" w:cs="Arial"/>
          <w:sz w:val="24"/>
          <w:szCs w:val="24"/>
          <w:lang w:val="en-GB"/>
        </w:rPr>
      </w:pPr>
      <w:r w:rsidRPr="00B17C11">
        <w:rPr>
          <w:rFonts w:ascii="Arial" w:hAnsi="Arial" w:cs="Arial"/>
          <w:sz w:val="24"/>
          <w:szCs w:val="24"/>
        </w:rPr>
        <w:t xml:space="preserve">The </w:t>
      </w:r>
      <w:r w:rsidRPr="00B17C11">
        <w:rPr>
          <w:rFonts w:ascii="Arial" w:hAnsi="Arial" w:cs="Arial"/>
          <w:i/>
          <w:iCs/>
          <w:sz w:val="24"/>
          <w:szCs w:val="24"/>
        </w:rPr>
        <w:t>dictum</w:t>
      </w:r>
      <w:r w:rsidRPr="00B17C11">
        <w:rPr>
          <w:rFonts w:ascii="Arial" w:hAnsi="Arial" w:cs="Arial"/>
          <w:sz w:val="24"/>
          <w:szCs w:val="24"/>
        </w:rPr>
        <w:t xml:space="preserve"> of the court in </w:t>
      </w:r>
      <w:proofErr w:type="spellStart"/>
      <w:r w:rsidRPr="00B17C11">
        <w:rPr>
          <w:rFonts w:ascii="Arial" w:hAnsi="Arial" w:cs="Arial"/>
          <w:i/>
          <w:sz w:val="24"/>
          <w:szCs w:val="24"/>
        </w:rPr>
        <w:t>Firstrand</w:t>
      </w:r>
      <w:proofErr w:type="spellEnd"/>
      <w:r w:rsidRPr="00B17C11">
        <w:rPr>
          <w:rFonts w:ascii="Arial" w:hAnsi="Arial" w:cs="Arial"/>
          <w:sz w:val="24"/>
          <w:szCs w:val="24"/>
        </w:rPr>
        <w:t xml:space="preserve"> brought forth significant consequences for the application of the spoliation remedy. For instance, while the traditional application of this remedy was that rights need not be proved, in the case of </w:t>
      </w:r>
      <w:proofErr w:type="spellStart"/>
      <w:r w:rsidRPr="00B17C11">
        <w:rPr>
          <w:rFonts w:ascii="Arial" w:hAnsi="Arial" w:cs="Arial"/>
          <w:sz w:val="24"/>
          <w:szCs w:val="24"/>
        </w:rPr>
        <w:t>incoporeals</w:t>
      </w:r>
      <w:proofErr w:type="spellEnd"/>
      <w:r w:rsidRPr="00B17C11">
        <w:rPr>
          <w:rFonts w:ascii="Arial" w:hAnsi="Arial" w:cs="Arial"/>
          <w:sz w:val="24"/>
          <w:szCs w:val="24"/>
        </w:rPr>
        <w:t>, the nature of the</w:t>
      </w:r>
      <w:r w:rsidRPr="00B17C11">
        <w:rPr>
          <w:rFonts w:ascii="Arial" w:hAnsi="Arial" w:cs="Arial"/>
        </w:rPr>
        <w:t xml:space="preserve"> </w:t>
      </w:r>
      <w:r w:rsidRPr="00B17C11">
        <w:rPr>
          <w:rFonts w:ascii="Arial" w:hAnsi="Arial" w:cs="Arial"/>
          <w:sz w:val="24"/>
          <w:szCs w:val="24"/>
        </w:rPr>
        <w:t xml:space="preserve">professed right must, however, be determined to ascertain whether its use is deserving of protection under </w:t>
      </w:r>
      <w:r w:rsidR="00311C45" w:rsidRPr="00B17C11">
        <w:rPr>
          <w:rFonts w:ascii="Arial" w:hAnsi="Arial" w:cs="Arial"/>
          <w:sz w:val="24"/>
          <w:szCs w:val="24"/>
        </w:rPr>
        <w:t xml:space="preserve">the </w:t>
      </w:r>
      <w:r w:rsidRPr="00B17C11">
        <w:rPr>
          <w:rFonts w:ascii="Arial" w:hAnsi="Arial" w:cs="Arial"/>
          <w:sz w:val="24"/>
          <w:szCs w:val="24"/>
        </w:rPr>
        <w:t xml:space="preserve">spoliation remedy. This judgment underlined the </w:t>
      </w:r>
      <w:r w:rsidR="00311C45" w:rsidRPr="00B17C11">
        <w:rPr>
          <w:rFonts w:ascii="Arial" w:hAnsi="Arial" w:cs="Arial"/>
          <w:sz w:val="24"/>
          <w:szCs w:val="24"/>
        </w:rPr>
        <w:t xml:space="preserve">critical </w:t>
      </w:r>
      <w:r w:rsidRPr="00B17C11">
        <w:rPr>
          <w:rFonts w:ascii="Arial" w:hAnsi="Arial" w:cs="Arial"/>
          <w:sz w:val="24"/>
          <w:szCs w:val="24"/>
        </w:rPr>
        <w:t xml:space="preserve">difference between the application of </w:t>
      </w:r>
      <w:r w:rsidR="001509A4" w:rsidRPr="00B17C11">
        <w:rPr>
          <w:rFonts w:ascii="Arial" w:hAnsi="Arial" w:cs="Arial"/>
          <w:sz w:val="24"/>
          <w:szCs w:val="24"/>
        </w:rPr>
        <w:t xml:space="preserve">the </w:t>
      </w:r>
      <w:r w:rsidRPr="00B17C11">
        <w:rPr>
          <w:rFonts w:ascii="Arial" w:hAnsi="Arial" w:cs="Arial"/>
          <w:sz w:val="24"/>
          <w:szCs w:val="24"/>
        </w:rPr>
        <w:t>spoliation</w:t>
      </w:r>
      <w:r w:rsidR="00DA464D" w:rsidRPr="00B17C11">
        <w:rPr>
          <w:rFonts w:ascii="Arial" w:hAnsi="Arial" w:cs="Arial"/>
          <w:sz w:val="24"/>
          <w:szCs w:val="24"/>
        </w:rPr>
        <w:t xml:space="preserve"> remedy</w:t>
      </w:r>
      <w:r w:rsidRPr="00B17C11">
        <w:rPr>
          <w:rFonts w:ascii="Arial" w:hAnsi="Arial" w:cs="Arial"/>
          <w:sz w:val="24"/>
          <w:szCs w:val="24"/>
        </w:rPr>
        <w:t xml:space="preserve"> </w:t>
      </w:r>
      <w:r w:rsidR="001509A4" w:rsidRPr="00B17C11">
        <w:rPr>
          <w:rFonts w:ascii="Arial" w:hAnsi="Arial" w:cs="Arial"/>
          <w:sz w:val="24"/>
          <w:szCs w:val="24"/>
        </w:rPr>
        <w:t>to</w:t>
      </w:r>
      <w:r w:rsidRPr="00B17C11">
        <w:rPr>
          <w:rFonts w:ascii="Arial" w:hAnsi="Arial" w:cs="Arial"/>
          <w:sz w:val="24"/>
          <w:szCs w:val="24"/>
        </w:rPr>
        <w:t xml:space="preserve"> </w:t>
      </w:r>
      <w:proofErr w:type="spellStart"/>
      <w:r w:rsidRPr="00B17C11">
        <w:rPr>
          <w:rFonts w:ascii="Arial" w:hAnsi="Arial" w:cs="Arial"/>
          <w:sz w:val="24"/>
          <w:szCs w:val="24"/>
        </w:rPr>
        <w:t>corporeals</w:t>
      </w:r>
      <w:proofErr w:type="spellEnd"/>
      <w:r w:rsidRPr="00B17C11">
        <w:rPr>
          <w:rFonts w:ascii="Arial" w:hAnsi="Arial" w:cs="Arial"/>
          <w:sz w:val="24"/>
          <w:szCs w:val="24"/>
        </w:rPr>
        <w:t xml:space="preserve"> as compared to </w:t>
      </w:r>
      <w:proofErr w:type="spellStart"/>
      <w:r w:rsidRPr="00B17C11">
        <w:rPr>
          <w:rFonts w:ascii="Arial" w:hAnsi="Arial" w:cs="Arial"/>
          <w:sz w:val="24"/>
          <w:szCs w:val="24"/>
        </w:rPr>
        <w:t>incorporeals</w:t>
      </w:r>
      <w:proofErr w:type="spellEnd"/>
      <w:r w:rsidRPr="00B17C11">
        <w:rPr>
          <w:rFonts w:ascii="Arial" w:hAnsi="Arial" w:cs="Arial"/>
          <w:sz w:val="24"/>
          <w:szCs w:val="24"/>
        </w:rPr>
        <w:t xml:space="preserve"> – that is, when this remedy is applied to </w:t>
      </w:r>
      <w:proofErr w:type="spellStart"/>
      <w:r w:rsidRPr="00B17C11">
        <w:rPr>
          <w:rFonts w:ascii="Arial" w:hAnsi="Arial" w:cs="Arial"/>
          <w:sz w:val="24"/>
          <w:szCs w:val="24"/>
        </w:rPr>
        <w:t>incorpo</w:t>
      </w:r>
      <w:r w:rsidR="00C00813" w:rsidRPr="00B17C11">
        <w:rPr>
          <w:rFonts w:ascii="Arial" w:hAnsi="Arial" w:cs="Arial"/>
          <w:sz w:val="24"/>
          <w:szCs w:val="24"/>
        </w:rPr>
        <w:t>r</w:t>
      </w:r>
      <w:r w:rsidRPr="00B17C11">
        <w:rPr>
          <w:rFonts w:ascii="Arial" w:hAnsi="Arial" w:cs="Arial"/>
          <w:sz w:val="24"/>
          <w:szCs w:val="24"/>
        </w:rPr>
        <w:t>eals</w:t>
      </w:r>
      <w:proofErr w:type="spellEnd"/>
      <w:r w:rsidRPr="00B17C11">
        <w:rPr>
          <w:rFonts w:ascii="Arial" w:hAnsi="Arial" w:cs="Arial"/>
          <w:sz w:val="24"/>
          <w:szCs w:val="24"/>
        </w:rPr>
        <w:t xml:space="preserve">, the merits of the case are investigated but not considered in the case of </w:t>
      </w:r>
      <w:proofErr w:type="spellStart"/>
      <w:r w:rsidRPr="00B17C11">
        <w:rPr>
          <w:rFonts w:ascii="Arial" w:hAnsi="Arial" w:cs="Arial"/>
          <w:sz w:val="24"/>
          <w:szCs w:val="24"/>
        </w:rPr>
        <w:t>corporeals</w:t>
      </w:r>
      <w:proofErr w:type="spellEnd"/>
      <w:r w:rsidRPr="00B17C11">
        <w:rPr>
          <w:rFonts w:ascii="Arial" w:hAnsi="Arial" w:cs="Arial"/>
          <w:sz w:val="24"/>
          <w:szCs w:val="24"/>
        </w:rPr>
        <w:t xml:space="preserve">. From this, Freedman agrees with </w:t>
      </w:r>
      <w:proofErr w:type="spellStart"/>
      <w:r w:rsidRPr="00B17C11">
        <w:rPr>
          <w:rFonts w:ascii="Arial" w:hAnsi="Arial" w:cs="Arial"/>
          <w:sz w:val="24"/>
          <w:szCs w:val="24"/>
        </w:rPr>
        <w:t>Sonnekus</w:t>
      </w:r>
      <w:proofErr w:type="spellEnd"/>
      <w:r w:rsidRPr="00B17C11">
        <w:rPr>
          <w:rFonts w:ascii="Arial" w:hAnsi="Arial" w:cs="Arial"/>
          <w:sz w:val="24"/>
          <w:szCs w:val="24"/>
        </w:rPr>
        <w:t xml:space="preserve"> that the requirement of proving possession is substituted with having to prove the </w:t>
      </w:r>
      <w:r w:rsidRPr="00B17C11">
        <w:rPr>
          <w:rFonts w:ascii="Arial" w:hAnsi="Arial" w:cs="Arial"/>
          <w:i/>
          <w:iCs/>
          <w:sz w:val="24"/>
          <w:szCs w:val="24"/>
        </w:rPr>
        <w:t>quasi</w:t>
      </w:r>
      <w:r w:rsidRPr="00B17C11">
        <w:rPr>
          <w:rFonts w:ascii="Arial" w:hAnsi="Arial" w:cs="Arial"/>
          <w:sz w:val="24"/>
          <w:szCs w:val="24"/>
        </w:rPr>
        <w:t>-possession of the right or otherwise the existence of the right.</w:t>
      </w:r>
      <w:r w:rsidRPr="00B17C11">
        <w:rPr>
          <w:rStyle w:val="FootnoteReference"/>
          <w:rFonts w:ascii="Arial" w:hAnsi="Arial" w:cs="Arial"/>
          <w:sz w:val="24"/>
          <w:szCs w:val="24"/>
        </w:rPr>
        <w:footnoteReference w:id="14"/>
      </w:r>
      <w:r w:rsidRPr="00B17C11">
        <w:rPr>
          <w:rFonts w:ascii="Arial" w:hAnsi="Arial" w:cs="Arial"/>
          <w:sz w:val="24"/>
          <w:szCs w:val="24"/>
        </w:rPr>
        <w:t xml:space="preserve"> This view, of course, finds no justification in common law. Yet, </w:t>
      </w:r>
      <w:r w:rsidRPr="00B17C11">
        <w:rPr>
          <w:rFonts w:ascii="Arial" w:hAnsi="Arial" w:cs="Arial"/>
          <w:sz w:val="24"/>
          <w:szCs w:val="24"/>
        </w:rPr>
        <w:lastRenderedPageBreak/>
        <w:t>its increased use in recent case law suggests a significant divide in how corporeal and incorporeal cases are handled in spoliation proceedings. T</w:t>
      </w:r>
      <w:r w:rsidR="00FB22F3" w:rsidRPr="00B17C11">
        <w:rPr>
          <w:rFonts w:ascii="Arial" w:hAnsi="Arial" w:cs="Arial"/>
          <w:sz w:val="24"/>
          <w:szCs w:val="24"/>
        </w:rPr>
        <w:t>he fact t</w:t>
      </w:r>
      <w:r w:rsidRPr="00B17C11">
        <w:rPr>
          <w:rFonts w:ascii="Arial" w:hAnsi="Arial" w:cs="Arial"/>
          <w:sz w:val="24"/>
          <w:szCs w:val="24"/>
        </w:rPr>
        <w:t xml:space="preserve">hat the merits of the case are not investigated in spoliation proceedings seems only to be </w:t>
      </w:r>
      <w:r w:rsidR="001509A4" w:rsidRPr="00B17C11">
        <w:rPr>
          <w:rFonts w:ascii="Arial" w:hAnsi="Arial" w:cs="Arial"/>
          <w:sz w:val="24"/>
          <w:szCs w:val="24"/>
        </w:rPr>
        <w:t>the</w:t>
      </w:r>
      <w:r w:rsidRPr="00B17C11">
        <w:rPr>
          <w:rFonts w:ascii="Arial" w:hAnsi="Arial" w:cs="Arial"/>
          <w:sz w:val="24"/>
          <w:szCs w:val="24"/>
        </w:rPr>
        <w:t xml:space="preserve"> view in the case of </w:t>
      </w:r>
      <w:proofErr w:type="spellStart"/>
      <w:r w:rsidRPr="00B17C11">
        <w:rPr>
          <w:rFonts w:ascii="Arial" w:hAnsi="Arial" w:cs="Arial"/>
          <w:sz w:val="24"/>
          <w:szCs w:val="24"/>
        </w:rPr>
        <w:t>corporeals</w:t>
      </w:r>
      <w:proofErr w:type="spellEnd"/>
      <w:r w:rsidRPr="00B17C11">
        <w:rPr>
          <w:rFonts w:ascii="Arial" w:hAnsi="Arial" w:cs="Arial"/>
          <w:sz w:val="24"/>
          <w:szCs w:val="24"/>
        </w:rPr>
        <w:t>.</w:t>
      </w:r>
    </w:p>
    <w:p w14:paraId="5139581D" w14:textId="3CDEB998" w:rsidR="00E76BB2" w:rsidRPr="00B17C11" w:rsidRDefault="00E76BB2" w:rsidP="00E76BB2">
      <w:pPr>
        <w:spacing w:line="360" w:lineRule="auto"/>
        <w:jc w:val="both"/>
        <w:rPr>
          <w:rFonts w:ascii="Arial" w:hAnsi="Arial" w:cs="Arial"/>
          <w:sz w:val="24"/>
          <w:szCs w:val="24"/>
        </w:rPr>
      </w:pPr>
      <w:r w:rsidRPr="00B17C11">
        <w:rPr>
          <w:rFonts w:ascii="Arial" w:hAnsi="Arial" w:cs="Arial"/>
          <w:sz w:val="24"/>
          <w:szCs w:val="24"/>
        </w:rPr>
        <w:t xml:space="preserve">In </w:t>
      </w:r>
      <w:r w:rsidRPr="00B17C11">
        <w:rPr>
          <w:rFonts w:ascii="Arial" w:hAnsi="Arial" w:cs="Arial"/>
          <w:i/>
          <w:sz w:val="24"/>
          <w:szCs w:val="24"/>
        </w:rPr>
        <w:t>Kramer v Trustees Coloured Vigilance Council Grassy Park</w:t>
      </w:r>
      <w:r w:rsidRPr="00B17C11">
        <w:rPr>
          <w:rFonts w:ascii="Arial" w:hAnsi="Arial" w:cs="Arial"/>
          <w:iCs/>
          <w:sz w:val="24"/>
          <w:szCs w:val="24"/>
        </w:rPr>
        <w:t>,</w:t>
      </w:r>
      <w:r w:rsidRPr="00B17C11">
        <w:rPr>
          <w:rFonts w:ascii="Arial" w:hAnsi="Arial" w:cs="Arial"/>
          <w:i/>
          <w:sz w:val="24"/>
          <w:szCs w:val="24"/>
        </w:rPr>
        <w:t xml:space="preserve"> </w:t>
      </w:r>
      <w:r w:rsidRPr="00B17C11">
        <w:rPr>
          <w:rFonts w:ascii="Arial" w:hAnsi="Arial" w:cs="Arial"/>
          <w:sz w:val="24"/>
          <w:szCs w:val="24"/>
        </w:rPr>
        <w:t>it was held that for a spoliation order to be granted, the applicant must prove peaceful and undisturbed possession of the property and unlawful deprivation of possession by the respondent.</w:t>
      </w:r>
      <w:r w:rsidRPr="00B17C11">
        <w:rPr>
          <w:rStyle w:val="FootnoteReference"/>
          <w:rFonts w:ascii="Arial" w:hAnsi="Arial" w:cs="Arial"/>
          <w:sz w:val="24"/>
          <w:szCs w:val="24"/>
        </w:rPr>
        <w:footnoteReference w:id="15"/>
      </w:r>
      <w:r w:rsidRPr="00B17C11">
        <w:rPr>
          <w:rFonts w:ascii="Arial" w:hAnsi="Arial" w:cs="Arial"/>
          <w:sz w:val="24"/>
          <w:szCs w:val="24"/>
        </w:rPr>
        <w:t xml:space="preserve"> Although this case concerned the protection of possession in the case of </w:t>
      </w:r>
      <w:proofErr w:type="spellStart"/>
      <w:r w:rsidRPr="00B17C11">
        <w:rPr>
          <w:rFonts w:ascii="Arial" w:hAnsi="Arial" w:cs="Arial"/>
          <w:sz w:val="24"/>
          <w:szCs w:val="24"/>
        </w:rPr>
        <w:t>corporeals</w:t>
      </w:r>
      <w:proofErr w:type="spellEnd"/>
      <w:r w:rsidRPr="00B17C11">
        <w:rPr>
          <w:rFonts w:ascii="Arial" w:hAnsi="Arial" w:cs="Arial"/>
          <w:sz w:val="24"/>
          <w:szCs w:val="24"/>
        </w:rPr>
        <w:t xml:space="preserve">, the court in </w:t>
      </w:r>
      <w:r w:rsidR="00371B43" w:rsidRPr="00B17C11">
        <w:rPr>
          <w:rFonts w:ascii="Arial" w:hAnsi="Arial" w:cs="Arial"/>
          <w:i/>
          <w:sz w:val="24"/>
          <w:szCs w:val="24"/>
          <w:lang w:val="en-GB"/>
        </w:rPr>
        <w:t xml:space="preserve">Bon Quelle </w:t>
      </w:r>
      <w:r w:rsidR="00371B43" w:rsidRPr="00B17C11">
        <w:rPr>
          <w:rFonts w:ascii="Arial" w:hAnsi="Arial" w:cs="Arial"/>
          <w:i/>
          <w:sz w:val="24"/>
          <w:szCs w:val="24"/>
        </w:rPr>
        <w:t>(</w:t>
      </w:r>
      <w:proofErr w:type="spellStart"/>
      <w:r w:rsidR="00371B43" w:rsidRPr="00B17C11">
        <w:rPr>
          <w:rFonts w:ascii="Arial" w:hAnsi="Arial" w:cs="Arial"/>
          <w:i/>
          <w:sz w:val="24"/>
          <w:szCs w:val="24"/>
        </w:rPr>
        <w:t>Edms</w:t>
      </w:r>
      <w:proofErr w:type="spellEnd"/>
      <w:r w:rsidR="00371B43" w:rsidRPr="00B17C11">
        <w:rPr>
          <w:rFonts w:ascii="Arial" w:hAnsi="Arial" w:cs="Arial"/>
          <w:i/>
          <w:sz w:val="24"/>
          <w:szCs w:val="24"/>
        </w:rPr>
        <w:t xml:space="preserve">) </w:t>
      </w:r>
      <w:proofErr w:type="spellStart"/>
      <w:r w:rsidR="00371B43" w:rsidRPr="00B17C11">
        <w:rPr>
          <w:rFonts w:ascii="Arial" w:hAnsi="Arial" w:cs="Arial"/>
          <w:i/>
          <w:sz w:val="24"/>
          <w:szCs w:val="24"/>
        </w:rPr>
        <w:t>Bpk</w:t>
      </w:r>
      <w:proofErr w:type="spellEnd"/>
      <w:r w:rsidR="00371B43" w:rsidRPr="00B17C11">
        <w:rPr>
          <w:rFonts w:ascii="Arial" w:hAnsi="Arial" w:cs="Arial"/>
          <w:i/>
          <w:sz w:val="24"/>
          <w:szCs w:val="24"/>
        </w:rPr>
        <w:t xml:space="preserve"> v </w:t>
      </w:r>
      <w:proofErr w:type="spellStart"/>
      <w:r w:rsidR="00371B43" w:rsidRPr="00B17C11">
        <w:rPr>
          <w:rFonts w:ascii="Arial" w:hAnsi="Arial" w:cs="Arial"/>
          <w:i/>
          <w:sz w:val="24"/>
          <w:szCs w:val="24"/>
        </w:rPr>
        <w:t>Munisipaliteit</w:t>
      </w:r>
      <w:proofErr w:type="spellEnd"/>
      <w:r w:rsidR="00371B43" w:rsidRPr="00B17C11">
        <w:rPr>
          <w:rFonts w:ascii="Arial" w:hAnsi="Arial" w:cs="Arial"/>
          <w:i/>
          <w:sz w:val="24"/>
          <w:szCs w:val="24"/>
        </w:rPr>
        <w:t xml:space="preserve"> van Otavi</w:t>
      </w:r>
      <w:r w:rsidR="00371B43" w:rsidRPr="00B17C11">
        <w:rPr>
          <w:rFonts w:ascii="Arial" w:hAnsi="Arial" w:cs="Arial"/>
          <w:sz w:val="24"/>
          <w:szCs w:val="24"/>
        </w:rPr>
        <w:t xml:space="preserve"> </w:t>
      </w:r>
      <w:r w:rsidR="008C6CB3" w:rsidRPr="00B17C11">
        <w:rPr>
          <w:rFonts w:ascii="Arial" w:hAnsi="Arial" w:cs="Arial"/>
          <w:sz w:val="24"/>
          <w:szCs w:val="24"/>
        </w:rPr>
        <w:t>(</w:t>
      </w:r>
      <w:r w:rsidRPr="00B17C11">
        <w:rPr>
          <w:rFonts w:ascii="Arial" w:hAnsi="Arial" w:cs="Arial"/>
          <w:i/>
          <w:sz w:val="24"/>
          <w:szCs w:val="24"/>
        </w:rPr>
        <w:t>Bon Quelle</w:t>
      </w:r>
      <w:r w:rsidR="008C6CB3" w:rsidRPr="00B17C11">
        <w:rPr>
          <w:rFonts w:ascii="Arial" w:hAnsi="Arial" w:cs="Arial"/>
          <w:i/>
          <w:sz w:val="24"/>
          <w:szCs w:val="24"/>
        </w:rPr>
        <w:t>)</w:t>
      </w:r>
      <w:r w:rsidRPr="00B17C11">
        <w:rPr>
          <w:rFonts w:ascii="Arial" w:hAnsi="Arial" w:cs="Arial"/>
          <w:i/>
          <w:sz w:val="24"/>
          <w:szCs w:val="24"/>
        </w:rPr>
        <w:t xml:space="preserve"> </w:t>
      </w:r>
      <w:r w:rsidRPr="00B17C11">
        <w:rPr>
          <w:rFonts w:ascii="Arial" w:hAnsi="Arial" w:cs="Arial"/>
          <w:sz w:val="24"/>
          <w:szCs w:val="24"/>
        </w:rPr>
        <w:t xml:space="preserve">adopted it in respect of the protection of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incorporeals</w:t>
      </w:r>
      <w:proofErr w:type="spellEnd"/>
      <w:r w:rsidRPr="00B17C11">
        <w:rPr>
          <w:rFonts w:ascii="Arial" w:hAnsi="Arial" w:cs="Arial"/>
          <w:sz w:val="24"/>
          <w:szCs w:val="24"/>
        </w:rPr>
        <w:t>.</w:t>
      </w:r>
      <w:r w:rsidRPr="00B17C11">
        <w:rPr>
          <w:rStyle w:val="FootnoteReference"/>
          <w:rFonts w:ascii="Arial" w:hAnsi="Arial" w:cs="Arial"/>
          <w:sz w:val="24"/>
          <w:szCs w:val="24"/>
        </w:rPr>
        <w:footnoteReference w:id="16"/>
      </w:r>
      <w:r w:rsidRPr="00B17C11">
        <w:rPr>
          <w:rFonts w:ascii="Arial" w:hAnsi="Arial" w:cs="Arial"/>
          <w:sz w:val="24"/>
          <w:szCs w:val="24"/>
        </w:rPr>
        <w:t xml:space="preserve"> The court in </w:t>
      </w:r>
      <w:r w:rsidRPr="00B17C11">
        <w:rPr>
          <w:rFonts w:ascii="Arial" w:hAnsi="Arial" w:cs="Arial"/>
          <w:i/>
          <w:sz w:val="24"/>
          <w:szCs w:val="24"/>
        </w:rPr>
        <w:t>Bon Quelle</w:t>
      </w:r>
      <w:r w:rsidR="008C6CB3" w:rsidRPr="00B17C11">
        <w:rPr>
          <w:rFonts w:ascii="Arial" w:hAnsi="Arial" w:cs="Arial"/>
          <w:i/>
          <w:sz w:val="24"/>
          <w:szCs w:val="24"/>
        </w:rPr>
        <w:t xml:space="preserve"> </w:t>
      </w:r>
      <w:r w:rsidRPr="00B17C11">
        <w:rPr>
          <w:rFonts w:ascii="Arial" w:hAnsi="Arial" w:cs="Arial"/>
          <w:sz w:val="24"/>
          <w:szCs w:val="24"/>
        </w:rPr>
        <w:t>further rejected the practice of proving the existence of the alleged right in spoliation proceedings for suggesting that courts must investigate the merits of the case, which is contrary to the general possessory theory.</w:t>
      </w:r>
      <w:r w:rsidRPr="00B17C11">
        <w:rPr>
          <w:rStyle w:val="FootnoteReference"/>
          <w:rFonts w:ascii="Arial" w:hAnsi="Arial" w:cs="Arial"/>
          <w:sz w:val="24"/>
          <w:szCs w:val="24"/>
        </w:rPr>
        <w:footnoteReference w:id="17"/>
      </w:r>
      <w:r w:rsidRPr="00B17C11">
        <w:rPr>
          <w:rFonts w:ascii="Arial" w:hAnsi="Arial" w:cs="Arial"/>
          <w:sz w:val="24"/>
          <w:szCs w:val="24"/>
        </w:rPr>
        <w:t xml:space="preserve"> Accordingly, it was held that the protection of</w:t>
      </w:r>
      <w:r w:rsidRPr="00B17C11">
        <w:rPr>
          <w:rFonts w:ascii="Arial" w:hAnsi="Arial" w:cs="Arial"/>
          <w:i/>
          <w:iCs/>
          <w:sz w:val="24"/>
          <w:szCs w:val="24"/>
        </w:rPr>
        <w:t xml:space="preserve"> quasi</w:t>
      </w:r>
      <w:r w:rsidRPr="00B17C11">
        <w:rPr>
          <w:rFonts w:ascii="Arial" w:hAnsi="Arial" w:cs="Arial"/>
          <w:sz w:val="24"/>
          <w:szCs w:val="24"/>
        </w:rPr>
        <w:t>-possession lies in the actual use of the alleged right and that only possession and spoliation must be proved.</w:t>
      </w:r>
      <w:r w:rsidRPr="00B17C11">
        <w:rPr>
          <w:rStyle w:val="FootnoteReference"/>
          <w:rFonts w:ascii="Arial" w:hAnsi="Arial" w:cs="Arial"/>
          <w:sz w:val="24"/>
          <w:szCs w:val="24"/>
        </w:rPr>
        <w:footnoteReference w:id="18"/>
      </w:r>
      <w:r w:rsidRPr="00B17C11">
        <w:rPr>
          <w:rFonts w:ascii="Arial" w:hAnsi="Arial" w:cs="Arial"/>
          <w:sz w:val="24"/>
          <w:szCs w:val="24"/>
        </w:rPr>
        <w:t xml:space="preserve"> Later case law confirmed this position by stating that the spoliation remedy functions to return the </w:t>
      </w:r>
      <w:r w:rsidRPr="00B17C11">
        <w:rPr>
          <w:rFonts w:ascii="Arial" w:hAnsi="Arial" w:cs="Arial"/>
          <w:i/>
          <w:sz w:val="24"/>
          <w:szCs w:val="24"/>
        </w:rPr>
        <w:t>status quo</w:t>
      </w:r>
      <w:r w:rsidRPr="00B17C11">
        <w:rPr>
          <w:rFonts w:ascii="Arial" w:hAnsi="Arial" w:cs="Arial"/>
          <w:sz w:val="24"/>
          <w:szCs w:val="24"/>
        </w:rPr>
        <w:t xml:space="preserve"> and not the restoration of rights, but only possession or factual exercise of the right has to be proved in the spoliation proceedings.</w:t>
      </w:r>
      <w:r w:rsidRPr="00B17C11">
        <w:rPr>
          <w:rStyle w:val="FootnoteReference"/>
          <w:rFonts w:ascii="Arial" w:hAnsi="Arial" w:cs="Arial"/>
          <w:sz w:val="24"/>
          <w:szCs w:val="24"/>
        </w:rPr>
        <w:footnoteReference w:id="19"/>
      </w:r>
    </w:p>
    <w:p w14:paraId="57FD2582" w14:textId="1BF0F642" w:rsidR="0030187B" w:rsidRPr="00B17C11" w:rsidRDefault="00E76BB2" w:rsidP="00E76BB2">
      <w:pPr>
        <w:spacing w:line="360" w:lineRule="auto"/>
        <w:jc w:val="both"/>
        <w:rPr>
          <w:rFonts w:ascii="Arial" w:hAnsi="Arial" w:cs="Arial"/>
          <w:sz w:val="24"/>
          <w:szCs w:val="24"/>
          <w:lang w:val="en-GB"/>
        </w:rPr>
      </w:pPr>
      <w:r w:rsidRPr="00B17C11">
        <w:rPr>
          <w:rFonts w:ascii="Arial" w:hAnsi="Arial" w:cs="Arial"/>
          <w:sz w:val="24"/>
          <w:szCs w:val="24"/>
        </w:rPr>
        <w:t xml:space="preserve">However, because the </w:t>
      </w:r>
      <w:r w:rsidRPr="00B17C11">
        <w:rPr>
          <w:rFonts w:ascii="Arial" w:hAnsi="Arial" w:cs="Arial"/>
          <w:i/>
          <w:iCs/>
          <w:sz w:val="24"/>
          <w:szCs w:val="24"/>
        </w:rPr>
        <w:t>quasi</w:t>
      </w:r>
      <w:r w:rsidRPr="00B17C11">
        <w:rPr>
          <w:rFonts w:ascii="Arial" w:hAnsi="Arial" w:cs="Arial"/>
          <w:sz w:val="24"/>
          <w:szCs w:val="24"/>
        </w:rPr>
        <w:t>-possession of rights, in particular the ‘right of use’/</w:t>
      </w:r>
      <w:proofErr w:type="spellStart"/>
      <w:r w:rsidRPr="00B17C11">
        <w:rPr>
          <w:rFonts w:ascii="Arial" w:hAnsi="Arial" w:cs="Arial"/>
          <w:i/>
          <w:sz w:val="24"/>
          <w:szCs w:val="24"/>
        </w:rPr>
        <w:t>gebruiksregte</w:t>
      </w:r>
      <w:proofErr w:type="spellEnd"/>
      <w:r w:rsidRPr="00B17C11">
        <w:rPr>
          <w:rFonts w:ascii="Arial" w:hAnsi="Arial" w:cs="Arial"/>
          <w:sz w:val="24"/>
          <w:szCs w:val="24"/>
        </w:rPr>
        <w:t xml:space="preserve"> protected by spoliation, comprises both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and incidents of possession and can originate from either real rights or personal rights, a need arose to distinguish </w:t>
      </w:r>
      <w:r w:rsidRPr="00B17C11">
        <w:rPr>
          <w:rFonts w:ascii="Arial" w:hAnsi="Arial" w:cs="Arial"/>
          <w:sz w:val="24"/>
          <w:szCs w:val="24"/>
          <w:lang w:val="en-GB"/>
        </w:rPr>
        <w:t xml:space="preserve">between the use of rights that exists in terms of professed real rights such as servitudes and those emanating from </w:t>
      </w:r>
      <w:r w:rsidR="00B634F6" w:rsidRPr="00B17C11">
        <w:rPr>
          <w:rFonts w:ascii="Arial" w:hAnsi="Arial" w:cs="Arial"/>
          <w:sz w:val="24"/>
          <w:szCs w:val="24"/>
          <w:lang w:val="en-GB"/>
        </w:rPr>
        <w:t xml:space="preserve">a </w:t>
      </w:r>
      <w:r w:rsidRPr="00B17C11">
        <w:rPr>
          <w:rFonts w:ascii="Arial" w:hAnsi="Arial" w:cs="Arial"/>
          <w:sz w:val="24"/>
          <w:szCs w:val="24"/>
          <w:lang w:val="en-GB"/>
        </w:rPr>
        <w:t>contract</w:t>
      </w:r>
      <w:r w:rsidR="00C833A1" w:rsidRPr="00B17C11">
        <w:rPr>
          <w:rFonts w:ascii="Arial" w:hAnsi="Arial" w:cs="Arial"/>
          <w:sz w:val="24"/>
          <w:szCs w:val="24"/>
          <w:lang w:val="en-GB"/>
        </w:rPr>
        <w:t xml:space="preserve"> </w:t>
      </w:r>
      <w:r w:rsidR="001509A4" w:rsidRPr="00B17C11">
        <w:rPr>
          <w:rFonts w:ascii="Arial" w:hAnsi="Arial" w:cs="Arial"/>
          <w:sz w:val="24"/>
          <w:szCs w:val="24"/>
          <w:lang w:val="en-GB"/>
        </w:rPr>
        <w:t>in which</w:t>
      </w:r>
      <w:r w:rsidR="00C833A1" w:rsidRPr="00B17C11">
        <w:rPr>
          <w:rFonts w:ascii="Arial" w:hAnsi="Arial" w:cs="Arial"/>
          <w:sz w:val="24"/>
          <w:szCs w:val="24"/>
          <w:lang w:val="en-GB"/>
        </w:rPr>
        <w:t xml:space="preserve"> </w:t>
      </w:r>
      <w:r w:rsidRPr="00B17C11">
        <w:rPr>
          <w:rFonts w:ascii="Arial" w:hAnsi="Arial" w:cs="Arial"/>
          <w:sz w:val="24"/>
          <w:szCs w:val="24"/>
          <w:lang w:val="en-GB"/>
        </w:rPr>
        <w:t>personal rights</w:t>
      </w:r>
      <w:r w:rsidR="001509A4" w:rsidRPr="00B17C11">
        <w:rPr>
          <w:rFonts w:ascii="Arial" w:hAnsi="Arial" w:cs="Arial"/>
          <w:sz w:val="24"/>
          <w:szCs w:val="24"/>
          <w:lang w:val="en-GB"/>
        </w:rPr>
        <w:t xml:space="preserve"> were created</w:t>
      </w:r>
      <w:r w:rsidRPr="00B17C11">
        <w:rPr>
          <w:rFonts w:ascii="Arial" w:hAnsi="Arial" w:cs="Arial"/>
          <w:sz w:val="24"/>
          <w:szCs w:val="24"/>
          <w:lang w:val="en-GB"/>
        </w:rPr>
        <w:t>.</w:t>
      </w:r>
      <w:r w:rsidRPr="00B17C11">
        <w:rPr>
          <w:rStyle w:val="FootnoteReference"/>
          <w:rFonts w:ascii="Arial" w:hAnsi="Arial" w:cs="Arial"/>
          <w:sz w:val="24"/>
          <w:szCs w:val="24"/>
          <w:lang w:val="en-GB"/>
        </w:rPr>
        <w:footnoteReference w:id="20"/>
      </w:r>
      <w:r w:rsidRPr="00B17C11">
        <w:rPr>
          <w:rFonts w:ascii="Arial" w:hAnsi="Arial" w:cs="Arial"/>
          <w:sz w:val="24"/>
          <w:szCs w:val="24"/>
          <w:lang w:val="en-GB"/>
        </w:rPr>
        <w:t xml:space="preserve"> </w:t>
      </w:r>
      <w:r w:rsidR="00C978AA" w:rsidRPr="00B17C11">
        <w:rPr>
          <w:rFonts w:ascii="Arial" w:hAnsi="Arial" w:cs="Arial"/>
          <w:sz w:val="24"/>
          <w:szCs w:val="24"/>
          <w:lang w:val="en-GB"/>
        </w:rPr>
        <w:t>In other words, o</w:t>
      </w:r>
      <w:r w:rsidR="00D93E2A" w:rsidRPr="00B17C11">
        <w:rPr>
          <w:rFonts w:ascii="Arial" w:hAnsi="Arial" w:cs="Arial"/>
          <w:sz w:val="24"/>
          <w:szCs w:val="24"/>
          <w:lang w:val="en-GB"/>
        </w:rPr>
        <w:t>ut of fear that the spoliation remedy might replace a claim for specific performance,</w:t>
      </w:r>
      <w:r w:rsidR="0030187B" w:rsidRPr="00B17C11">
        <w:rPr>
          <w:rFonts w:ascii="Arial" w:hAnsi="Arial" w:cs="Arial"/>
          <w:sz w:val="24"/>
          <w:szCs w:val="24"/>
          <w:lang w:val="en-GB"/>
        </w:rPr>
        <w:t xml:space="preserve"> courts began to</w:t>
      </w:r>
      <w:r w:rsidR="00D93E2A" w:rsidRPr="00B17C11">
        <w:rPr>
          <w:rFonts w:ascii="Arial" w:hAnsi="Arial" w:cs="Arial"/>
          <w:sz w:val="24"/>
          <w:szCs w:val="24"/>
          <w:lang w:val="en-GB"/>
        </w:rPr>
        <w:t xml:space="preserve"> place more emphasis on the source of the professed right to determine whether its </w:t>
      </w:r>
      <w:r w:rsidR="00D93E2A" w:rsidRPr="00B17C11">
        <w:rPr>
          <w:rFonts w:ascii="Arial" w:hAnsi="Arial" w:cs="Arial"/>
          <w:i/>
          <w:iCs/>
          <w:sz w:val="24"/>
          <w:szCs w:val="24"/>
          <w:lang w:val="en-GB"/>
        </w:rPr>
        <w:t>quasi</w:t>
      </w:r>
      <w:r w:rsidR="00D93E2A" w:rsidRPr="00B17C11">
        <w:rPr>
          <w:rFonts w:ascii="Arial" w:hAnsi="Arial" w:cs="Arial"/>
          <w:sz w:val="24"/>
          <w:szCs w:val="24"/>
          <w:lang w:val="en-GB"/>
        </w:rPr>
        <w:t>-possession enjoys possessory protection.</w:t>
      </w:r>
      <w:r w:rsidR="002E67BC" w:rsidRPr="00B17C11">
        <w:rPr>
          <w:rFonts w:ascii="Arial" w:hAnsi="Arial" w:cs="Arial"/>
          <w:sz w:val="24"/>
          <w:szCs w:val="24"/>
          <w:lang w:val="en-GB"/>
        </w:rPr>
        <w:t xml:space="preserve"> </w:t>
      </w:r>
      <w:r w:rsidR="00D93E2A" w:rsidRPr="00B17C11">
        <w:rPr>
          <w:rFonts w:ascii="Arial" w:hAnsi="Arial" w:cs="Arial"/>
          <w:sz w:val="24"/>
          <w:szCs w:val="24"/>
          <w:lang w:val="en-GB"/>
        </w:rPr>
        <w:t xml:space="preserve">This is evident from the extensive scrutiny of </w:t>
      </w:r>
      <w:r w:rsidR="001509A4" w:rsidRPr="00B17C11">
        <w:rPr>
          <w:rFonts w:ascii="Arial" w:hAnsi="Arial" w:cs="Arial"/>
          <w:sz w:val="24"/>
          <w:szCs w:val="24"/>
          <w:lang w:val="en-GB"/>
        </w:rPr>
        <w:t xml:space="preserve">the </w:t>
      </w:r>
      <w:r w:rsidR="00D93E2A" w:rsidRPr="00B17C11">
        <w:rPr>
          <w:rFonts w:ascii="Arial" w:hAnsi="Arial" w:cs="Arial"/>
          <w:sz w:val="24"/>
          <w:szCs w:val="24"/>
          <w:lang w:val="en-GB"/>
        </w:rPr>
        <w:t xml:space="preserve">merits in </w:t>
      </w:r>
      <w:r w:rsidR="00D93E2A" w:rsidRPr="00B17C11">
        <w:rPr>
          <w:rFonts w:ascii="Arial" w:hAnsi="Arial" w:cs="Arial"/>
          <w:i/>
          <w:sz w:val="24"/>
          <w:szCs w:val="24"/>
          <w:lang w:val="en-GB"/>
        </w:rPr>
        <w:t>Makeshift 1190 (Pty) Ltd v Cilliers</w:t>
      </w:r>
      <w:r w:rsidR="00D93E2A" w:rsidRPr="00B17C11">
        <w:rPr>
          <w:rFonts w:ascii="Arial" w:hAnsi="Arial" w:cs="Arial"/>
          <w:sz w:val="24"/>
          <w:szCs w:val="24"/>
          <w:lang w:val="en-GB"/>
        </w:rPr>
        <w:t xml:space="preserve"> (</w:t>
      </w:r>
      <w:r w:rsidR="00D93E2A" w:rsidRPr="00B17C11">
        <w:rPr>
          <w:rFonts w:ascii="Arial" w:hAnsi="Arial" w:cs="Arial"/>
          <w:i/>
          <w:sz w:val="24"/>
          <w:szCs w:val="24"/>
          <w:lang w:val="en-GB"/>
        </w:rPr>
        <w:t>Makeshift</w:t>
      </w:r>
      <w:r w:rsidR="00D93E2A" w:rsidRPr="00B17C11">
        <w:rPr>
          <w:rFonts w:ascii="Arial" w:hAnsi="Arial" w:cs="Arial"/>
          <w:sz w:val="24"/>
          <w:szCs w:val="24"/>
          <w:lang w:val="en-GB"/>
        </w:rPr>
        <w:t xml:space="preserve">) to ascertain whether the electricity </w:t>
      </w:r>
      <w:r w:rsidR="00D93E2A" w:rsidRPr="00B17C11">
        <w:rPr>
          <w:rFonts w:ascii="Arial" w:hAnsi="Arial" w:cs="Arial"/>
          <w:sz w:val="24"/>
          <w:szCs w:val="24"/>
          <w:lang w:val="en-GB"/>
        </w:rPr>
        <w:lastRenderedPageBreak/>
        <w:t>supply was indeed incidental to the</w:t>
      </w:r>
      <w:r w:rsidR="00D93E2A" w:rsidRPr="00B17C11">
        <w:rPr>
          <w:rFonts w:ascii="Arial" w:hAnsi="Arial" w:cs="Arial"/>
          <w:i/>
          <w:sz w:val="24"/>
          <w:szCs w:val="24"/>
          <w:lang w:val="en-GB"/>
        </w:rPr>
        <w:t xml:space="preserve"> </w:t>
      </w:r>
      <w:r w:rsidR="00D93E2A" w:rsidRPr="00B17C11">
        <w:rPr>
          <w:rFonts w:ascii="Arial" w:hAnsi="Arial" w:cs="Arial"/>
          <w:sz w:val="24"/>
          <w:szCs w:val="24"/>
          <w:lang w:val="en-GB"/>
        </w:rPr>
        <w:t xml:space="preserve">applicant’s possession of the premises and from the remarks made in </w:t>
      </w:r>
      <w:r w:rsidR="00D93E2A" w:rsidRPr="00B17C11">
        <w:rPr>
          <w:rFonts w:ascii="Arial" w:hAnsi="Arial" w:cs="Arial"/>
          <w:i/>
          <w:sz w:val="24"/>
          <w:szCs w:val="24"/>
          <w:lang w:val="en-GB"/>
        </w:rPr>
        <w:t>Masinda</w:t>
      </w:r>
      <w:r w:rsidR="00D93E2A" w:rsidRPr="00B17C11">
        <w:rPr>
          <w:rFonts w:ascii="Arial" w:hAnsi="Arial" w:cs="Arial"/>
          <w:sz w:val="24"/>
          <w:szCs w:val="24"/>
          <w:lang w:val="en-GB"/>
        </w:rPr>
        <w:t xml:space="preserve"> that the spoliation remedy does not protect the possession of mere personal rights - as a spoliation remedy would </w:t>
      </w:r>
      <w:r w:rsidR="001509A4" w:rsidRPr="00B17C11">
        <w:rPr>
          <w:rFonts w:ascii="Arial" w:hAnsi="Arial" w:cs="Arial"/>
          <w:sz w:val="24"/>
          <w:szCs w:val="24"/>
          <w:lang w:val="en-GB"/>
        </w:rPr>
        <w:t xml:space="preserve">then </w:t>
      </w:r>
      <w:r w:rsidR="00D93E2A" w:rsidRPr="00B17C11">
        <w:rPr>
          <w:rFonts w:ascii="Arial" w:hAnsi="Arial" w:cs="Arial"/>
          <w:sz w:val="24"/>
          <w:szCs w:val="24"/>
          <w:lang w:val="en-GB"/>
        </w:rPr>
        <w:t>amount to an order of specific performance.</w:t>
      </w:r>
      <w:r w:rsidR="00D93E2A" w:rsidRPr="00B17C11">
        <w:rPr>
          <w:rStyle w:val="FootnoteReference"/>
          <w:rFonts w:ascii="Arial" w:hAnsi="Arial" w:cs="Arial"/>
          <w:sz w:val="24"/>
          <w:szCs w:val="24"/>
          <w:lang w:val="en-GB"/>
        </w:rPr>
        <w:footnoteReference w:id="21"/>
      </w:r>
    </w:p>
    <w:p w14:paraId="031785E4" w14:textId="56298CF9" w:rsidR="0030187B" w:rsidRPr="00B17C11" w:rsidRDefault="00D93E2A" w:rsidP="00E76BB2">
      <w:pPr>
        <w:spacing w:line="360" w:lineRule="auto"/>
        <w:jc w:val="both"/>
        <w:rPr>
          <w:rFonts w:ascii="Arial" w:hAnsi="Arial" w:cs="Arial"/>
          <w:sz w:val="24"/>
          <w:szCs w:val="24"/>
          <w:lang w:val="en-GB"/>
        </w:rPr>
      </w:pPr>
      <w:r w:rsidRPr="00B17C11">
        <w:rPr>
          <w:rFonts w:ascii="Arial" w:hAnsi="Arial" w:cs="Arial"/>
          <w:sz w:val="24"/>
          <w:szCs w:val="24"/>
          <w:lang w:val="en-GB"/>
        </w:rPr>
        <w:t xml:space="preserve">This position was again confirmed in </w:t>
      </w:r>
      <w:proofErr w:type="spellStart"/>
      <w:r w:rsidRPr="00B17C11">
        <w:rPr>
          <w:rFonts w:ascii="Arial" w:hAnsi="Arial" w:cs="Arial"/>
          <w:i/>
          <w:sz w:val="24"/>
          <w:szCs w:val="24"/>
          <w:lang w:val="en-GB"/>
        </w:rPr>
        <w:t>Blendrite</w:t>
      </w:r>
      <w:proofErr w:type="spellEnd"/>
      <w:r w:rsidRPr="00B17C11">
        <w:rPr>
          <w:rFonts w:ascii="Arial" w:hAnsi="Arial" w:cs="Arial"/>
          <w:i/>
          <w:sz w:val="24"/>
          <w:szCs w:val="24"/>
          <w:lang w:val="en-GB"/>
        </w:rPr>
        <w:t xml:space="preserve"> (Pty) Ltd and Another v </w:t>
      </w:r>
      <w:proofErr w:type="spellStart"/>
      <w:r w:rsidRPr="00B17C11">
        <w:rPr>
          <w:rFonts w:ascii="Arial" w:hAnsi="Arial" w:cs="Arial"/>
          <w:i/>
          <w:sz w:val="24"/>
          <w:szCs w:val="24"/>
          <w:lang w:val="en-GB"/>
        </w:rPr>
        <w:t>Moonisami</w:t>
      </w:r>
      <w:proofErr w:type="spellEnd"/>
      <w:r w:rsidRPr="00B17C11">
        <w:rPr>
          <w:rFonts w:ascii="Arial" w:hAnsi="Arial" w:cs="Arial"/>
          <w:i/>
          <w:sz w:val="24"/>
          <w:szCs w:val="24"/>
          <w:lang w:val="en-GB"/>
        </w:rPr>
        <w:t xml:space="preserve"> and Another</w:t>
      </w:r>
      <w:r w:rsidR="005424B5" w:rsidRPr="00B17C11">
        <w:rPr>
          <w:rFonts w:ascii="Arial" w:hAnsi="Arial" w:cs="Arial"/>
          <w:i/>
          <w:sz w:val="24"/>
          <w:szCs w:val="24"/>
          <w:lang w:val="en-GB"/>
        </w:rPr>
        <w:t xml:space="preserve"> </w:t>
      </w:r>
      <w:r w:rsidRPr="00B17C11">
        <w:rPr>
          <w:rFonts w:ascii="Arial" w:hAnsi="Arial" w:cs="Arial"/>
          <w:sz w:val="24"/>
          <w:szCs w:val="24"/>
          <w:lang w:val="en-GB"/>
        </w:rPr>
        <w:t>when the court noted that for spoliation to be available, a distinction has to be drawn between the use of services incidental to the possession of immovable property and the mere use of services arising from a personal right.</w:t>
      </w:r>
      <w:r w:rsidR="005424B5" w:rsidRPr="00B17C11">
        <w:rPr>
          <w:rStyle w:val="FootnoteReference"/>
          <w:rFonts w:ascii="Arial" w:hAnsi="Arial" w:cs="Arial"/>
          <w:sz w:val="24"/>
          <w:szCs w:val="24"/>
          <w:lang w:val="en-GB"/>
        </w:rPr>
        <w:footnoteReference w:id="22"/>
      </w:r>
      <w:r w:rsidRPr="00B17C11">
        <w:rPr>
          <w:rFonts w:ascii="Arial" w:hAnsi="Arial" w:cs="Arial"/>
          <w:sz w:val="24"/>
          <w:szCs w:val="24"/>
          <w:lang w:val="en-GB"/>
        </w:rPr>
        <w:t xml:space="preserve"> This is problematic because requiring proof of the alleged occupation right conflicts with the legal position that rights need not be proved for their </w:t>
      </w:r>
      <w:r w:rsidRPr="00B17C11">
        <w:rPr>
          <w:rFonts w:ascii="Arial" w:hAnsi="Arial" w:cs="Arial"/>
          <w:i/>
          <w:iCs/>
          <w:sz w:val="24"/>
          <w:szCs w:val="24"/>
          <w:lang w:val="en-GB"/>
        </w:rPr>
        <w:t>quasi</w:t>
      </w:r>
      <w:r w:rsidRPr="00B17C11">
        <w:rPr>
          <w:rFonts w:ascii="Arial" w:hAnsi="Arial" w:cs="Arial"/>
          <w:sz w:val="24"/>
          <w:szCs w:val="24"/>
          <w:lang w:val="en-GB"/>
        </w:rPr>
        <w:t xml:space="preserve">-possession to enjoy protection under </w:t>
      </w:r>
      <w:r w:rsidR="001353FF" w:rsidRPr="00B17C11">
        <w:rPr>
          <w:rFonts w:ascii="Arial" w:hAnsi="Arial" w:cs="Arial"/>
          <w:sz w:val="24"/>
          <w:szCs w:val="24"/>
          <w:lang w:val="en-GB"/>
        </w:rPr>
        <w:t xml:space="preserve">the </w:t>
      </w:r>
      <w:r w:rsidRPr="00B17C11">
        <w:rPr>
          <w:rFonts w:ascii="Arial" w:hAnsi="Arial" w:cs="Arial"/>
          <w:sz w:val="24"/>
          <w:szCs w:val="24"/>
          <w:lang w:val="en-GB"/>
        </w:rPr>
        <w:t>spoliation</w:t>
      </w:r>
      <w:r w:rsidR="001353FF" w:rsidRPr="00B17C11">
        <w:rPr>
          <w:rFonts w:ascii="Arial" w:hAnsi="Arial" w:cs="Arial"/>
          <w:sz w:val="24"/>
          <w:szCs w:val="24"/>
          <w:lang w:val="en-GB"/>
        </w:rPr>
        <w:t xml:space="preserve"> remedy</w:t>
      </w:r>
      <w:r w:rsidRPr="00B17C11">
        <w:rPr>
          <w:rFonts w:ascii="Arial" w:hAnsi="Arial" w:cs="Arial"/>
          <w:sz w:val="24"/>
          <w:szCs w:val="24"/>
          <w:lang w:val="en-GB"/>
        </w:rPr>
        <w:t>.</w:t>
      </w:r>
      <w:r w:rsidRPr="00B17C11">
        <w:rPr>
          <w:rStyle w:val="FootnoteReference"/>
          <w:rFonts w:ascii="Arial" w:hAnsi="Arial" w:cs="Arial"/>
          <w:sz w:val="24"/>
          <w:szCs w:val="24"/>
          <w:lang w:val="en-GB"/>
        </w:rPr>
        <w:footnoteReference w:id="23"/>
      </w:r>
    </w:p>
    <w:p w14:paraId="23C73817" w14:textId="2C266F59" w:rsidR="00E76BB2" w:rsidRPr="00B17C11" w:rsidRDefault="00E76BB2" w:rsidP="00E76BB2">
      <w:pPr>
        <w:spacing w:before="240" w:line="360" w:lineRule="auto"/>
        <w:jc w:val="both"/>
        <w:rPr>
          <w:rFonts w:ascii="Arial" w:hAnsi="Arial" w:cs="Arial"/>
          <w:sz w:val="24"/>
          <w:szCs w:val="24"/>
          <w:lang w:val="en-GB"/>
        </w:rPr>
      </w:pPr>
      <w:r w:rsidRPr="00B17C11">
        <w:rPr>
          <w:rFonts w:ascii="Arial" w:hAnsi="Arial" w:cs="Arial"/>
          <w:sz w:val="24"/>
          <w:szCs w:val="24"/>
          <w:lang w:val="en-GB"/>
        </w:rPr>
        <w:t xml:space="preserve">Moreover, being that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w:t>
      </w:r>
      <w:proofErr w:type="spellStart"/>
      <w:r w:rsidRPr="00B17C11">
        <w:rPr>
          <w:rFonts w:ascii="Arial" w:hAnsi="Arial" w:cs="Arial"/>
          <w:i/>
          <w:sz w:val="24"/>
          <w:szCs w:val="24"/>
          <w:lang w:val="en-GB"/>
        </w:rPr>
        <w:t>gebruiksregte</w:t>
      </w:r>
      <w:proofErr w:type="spellEnd"/>
      <w:r w:rsidRPr="00B17C11">
        <w:rPr>
          <w:rFonts w:ascii="Arial" w:hAnsi="Arial" w:cs="Arial"/>
          <w:sz w:val="24"/>
          <w:szCs w:val="24"/>
          <w:lang w:val="en-GB"/>
        </w:rPr>
        <w:t xml:space="preserve"> can originate from either </w:t>
      </w:r>
      <w:proofErr w:type="spellStart"/>
      <w:r w:rsidRPr="00B17C11">
        <w:rPr>
          <w:rFonts w:ascii="Arial" w:hAnsi="Arial" w:cs="Arial"/>
          <w:sz w:val="24"/>
          <w:szCs w:val="24"/>
          <w:lang w:val="en-GB"/>
        </w:rPr>
        <w:t>servitutal</w:t>
      </w:r>
      <w:proofErr w:type="spellEnd"/>
      <w:r w:rsidRPr="00B17C11">
        <w:rPr>
          <w:rFonts w:ascii="Arial" w:hAnsi="Arial" w:cs="Arial"/>
          <w:sz w:val="24"/>
          <w:szCs w:val="24"/>
          <w:lang w:val="en-GB"/>
        </w:rPr>
        <w:t xml:space="preserve"> rights or contractual rights</w:t>
      </w:r>
      <w:r w:rsidR="001353FF" w:rsidRPr="00B17C11">
        <w:rPr>
          <w:rFonts w:ascii="Arial" w:hAnsi="Arial" w:cs="Arial"/>
          <w:sz w:val="24"/>
          <w:szCs w:val="24"/>
          <w:lang w:val="en-GB"/>
        </w:rPr>
        <w:t xml:space="preserve"> (personal rights)</w:t>
      </w:r>
      <w:r w:rsidRPr="00B17C11">
        <w:rPr>
          <w:rFonts w:ascii="Arial" w:hAnsi="Arial" w:cs="Arial"/>
          <w:sz w:val="24"/>
          <w:szCs w:val="24"/>
          <w:lang w:val="en-GB"/>
        </w:rPr>
        <w:t xml:space="preserve">, and both involve performing acts associated with the right </w:t>
      </w:r>
      <w:r w:rsidR="00366B3E" w:rsidRPr="00B17C11">
        <w:rPr>
          <w:rFonts w:ascii="Arial" w:hAnsi="Arial" w:cs="Arial"/>
          <w:sz w:val="24"/>
          <w:szCs w:val="24"/>
          <w:lang w:val="en-GB"/>
        </w:rPr>
        <w:t>to</w:t>
      </w:r>
      <w:r w:rsidRPr="00B17C11">
        <w:rPr>
          <w:rFonts w:ascii="Arial" w:hAnsi="Arial" w:cs="Arial"/>
          <w:sz w:val="24"/>
          <w:szCs w:val="24"/>
          <w:lang w:val="en-GB"/>
        </w:rPr>
        <w:t xml:space="preserve"> the land. </w:t>
      </w:r>
      <w:r w:rsidR="003520AF" w:rsidRPr="00B17C11">
        <w:rPr>
          <w:rFonts w:ascii="Arial" w:hAnsi="Arial" w:cs="Arial"/>
          <w:sz w:val="24"/>
          <w:szCs w:val="24"/>
          <w:lang w:val="en-GB"/>
        </w:rPr>
        <w:t>Marais</w:t>
      </w:r>
      <w:r w:rsidRPr="00B17C11">
        <w:rPr>
          <w:rFonts w:ascii="Arial" w:hAnsi="Arial" w:cs="Arial"/>
          <w:sz w:val="24"/>
          <w:szCs w:val="24"/>
          <w:lang w:val="en-GB"/>
        </w:rPr>
        <w:t xml:space="preserve"> finds it difficult to understand why persons who perform acts associated with the right </w:t>
      </w:r>
      <w:r w:rsidR="001509A4" w:rsidRPr="00B17C11">
        <w:rPr>
          <w:rFonts w:ascii="Arial" w:hAnsi="Arial" w:cs="Arial"/>
          <w:sz w:val="24"/>
          <w:szCs w:val="24"/>
          <w:lang w:val="en-GB"/>
        </w:rPr>
        <w:t>to</w:t>
      </w:r>
      <w:r w:rsidRPr="00B17C11">
        <w:rPr>
          <w:rFonts w:ascii="Arial" w:hAnsi="Arial" w:cs="Arial"/>
          <w:sz w:val="24"/>
          <w:szCs w:val="24"/>
          <w:lang w:val="en-GB"/>
        </w:rPr>
        <w:t xml:space="preserve"> land can protect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their rights with the spoliation remedy if such right is </w:t>
      </w:r>
      <w:proofErr w:type="spellStart"/>
      <w:r w:rsidRPr="00B17C11">
        <w:rPr>
          <w:rFonts w:ascii="Arial" w:hAnsi="Arial" w:cs="Arial"/>
          <w:sz w:val="24"/>
          <w:szCs w:val="24"/>
          <w:lang w:val="en-GB"/>
        </w:rPr>
        <w:t>servitutal</w:t>
      </w:r>
      <w:proofErr w:type="spellEnd"/>
      <w:r w:rsidRPr="00B17C11">
        <w:rPr>
          <w:rFonts w:ascii="Arial" w:hAnsi="Arial" w:cs="Arial"/>
          <w:sz w:val="24"/>
          <w:szCs w:val="24"/>
          <w:lang w:val="en-GB"/>
        </w:rPr>
        <w:t xml:space="preserve"> in nature but fail </w:t>
      </w:r>
      <w:r w:rsidR="00366B3E" w:rsidRPr="00B17C11">
        <w:rPr>
          <w:rFonts w:ascii="Arial" w:hAnsi="Arial" w:cs="Arial"/>
          <w:sz w:val="24"/>
          <w:szCs w:val="24"/>
          <w:lang w:val="en-GB"/>
        </w:rPr>
        <w:t xml:space="preserve">to do so </w:t>
      </w:r>
      <w:r w:rsidRPr="00B17C11">
        <w:rPr>
          <w:rFonts w:ascii="Arial" w:hAnsi="Arial" w:cs="Arial"/>
          <w:sz w:val="24"/>
          <w:szCs w:val="24"/>
          <w:lang w:val="en-GB"/>
        </w:rPr>
        <w:t>when such right is derived from a contract.</w:t>
      </w:r>
      <w:r w:rsidRPr="00B17C11">
        <w:rPr>
          <w:rStyle w:val="FootnoteReference"/>
          <w:rFonts w:ascii="Arial" w:hAnsi="Arial" w:cs="Arial"/>
          <w:sz w:val="24"/>
          <w:szCs w:val="24"/>
          <w:lang w:val="en-GB"/>
        </w:rPr>
        <w:footnoteReference w:id="24"/>
      </w:r>
      <w:r w:rsidRPr="00B17C11">
        <w:rPr>
          <w:rFonts w:ascii="Arial" w:hAnsi="Arial" w:cs="Arial"/>
          <w:sz w:val="24"/>
          <w:szCs w:val="24"/>
          <w:lang w:val="en-GB"/>
        </w:rPr>
        <w:t xml:space="preserve"> For this reason, he states that </w:t>
      </w:r>
      <w:r w:rsidR="00366B3E" w:rsidRPr="00B17C11">
        <w:rPr>
          <w:rFonts w:ascii="Arial" w:hAnsi="Arial" w:cs="Arial"/>
          <w:sz w:val="24"/>
          <w:szCs w:val="24"/>
          <w:lang w:val="en-GB"/>
        </w:rPr>
        <w:t xml:space="preserve">the </w:t>
      </w:r>
      <w:r w:rsidRPr="00B17C11">
        <w:rPr>
          <w:rFonts w:ascii="Arial" w:hAnsi="Arial" w:cs="Arial"/>
          <w:sz w:val="24"/>
          <w:szCs w:val="24"/>
          <w:lang w:val="en-GB"/>
        </w:rPr>
        <w:t xml:space="preserve">investigation in spoliation proceedings should concentrate on whether the applicant performed acts associated with the right </w:t>
      </w:r>
      <w:r w:rsidR="00366B3E" w:rsidRPr="00B17C11">
        <w:rPr>
          <w:rFonts w:ascii="Arial" w:hAnsi="Arial" w:cs="Arial"/>
          <w:sz w:val="24"/>
          <w:szCs w:val="24"/>
          <w:lang w:val="en-GB"/>
        </w:rPr>
        <w:t>to</w:t>
      </w:r>
      <w:r w:rsidRPr="00B17C11">
        <w:rPr>
          <w:rFonts w:ascii="Arial" w:hAnsi="Arial" w:cs="Arial"/>
          <w:sz w:val="24"/>
          <w:szCs w:val="24"/>
          <w:lang w:val="en-GB"/>
        </w:rPr>
        <w:t xml:space="preserve"> land and not on what the source of the right is because the source of the right touches on the merits - and should be disregarded in spoliation proceedings.</w:t>
      </w:r>
      <w:r w:rsidRPr="00B17C11">
        <w:rPr>
          <w:rStyle w:val="FootnoteReference"/>
          <w:rFonts w:ascii="Arial" w:hAnsi="Arial" w:cs="Arial"/>
          <w:sz w:val="24"/>
          <w:szCs w:val="24"/>
          <w:lang w:val="en-GB"/>
        </w:rPr>
        <w:footnoteReference w:id="25"/>
      </w:r>
      <w:r w:rsidRPr="00B17C11">
        <w:rPr>
          <w:rFonts w:ascii="Arial" w:hAnsi="Arial" w:cs="Arial"/>
          <w:sz w:val="24"/>
          <w:szCs w:val="24"/>
          <w:lang w:val="en-GB"/>
        </w:rPr>
        <w:t xml:space="preserve"> </w:t>
      </w:r>
      <w:proofErr w:type="spellStart"/>
      <w:r w:rsidRPr="00B17C11">
        <w:rPr>
          <w:rFonts w:ascii="Arial" w:hAnsi="Arial" w:cs="Arial"/>
          <w:sz w:val="24"/>
          <w:szCs w:val="24"/>
          <w:lang w:val="en-GB"/>
        </w:rPr>
        <w:t>Boggenpoel</w:t>
      </w:r>
      <w:proofErr w:type="spellEnd"/>
      <w:r w:rsidRPr="00B17C11">
        <w:rPr>
          <w:rFonts w:ascii="Arial" w:hAnsi="Arial" w:cs="Arial"/>
          <w:sz w:val="24"/>
          <w:szCs w:val="24"/>
          <w:lang w:val="en-GB"/>
        </w:rPr>
        <w:t xml:space="preserve"> opines that the determination of the nature of the right to ascertain whether its </w:t>
      </w:r>
      <w:r w:rsidRPr="00B17C11">
        <w:rPr>
          <w:rFonts w:ascii="Arial" w:hAnsi="Arial" w:cs="Arial"/>
          <w:i/>
          <w:iCs/>
          <w:sz w:val="24"/>
          <w:szCs w:val="24"/>
          <w:lang w:val="en-GB"/>
        </w:rPr>
        <w:t>quasi</w:t>
      </w:r>
      <w:r w:rsidRPr="00B17C11">
        <w:rPr>
          <w:rFonts w:ascii="Arial" w:hAnsi="Arial" w:cs="Arial"/>
          <w:sz w:val="24"/>
          <w:szCs w:val="24"/>
          <w:lang w:val="en-GB"/>
        </w:rPr>
        <w:t>-possession enjoys protection under the spoliation remedy unavoidably touches on the merits of the dispute.</w:t>
      </w:r>
      <w:r w:rsidRPr="00B17C11">
        <w:rPr>
          <w:rStyle w:val="FootnoteReference"/>
          <w:rFonts w:ascii="Arial" w:hAnsi="Arial" w:cs="Arial"/>
          <w:sz w:val="24"/>
          <w:szCs w:val="24"/>
          <w:lang w:val="en-GB"/>
        </w:rPr>
        <w:footnoteReference w:id="26"/>
      </w:r>
      <w:r w:rsidRPr="00B17C11">
        <w:rPr>
          <w:rFonts w:ascii="Arial" w:hAnsi="Arial" w:cs="Arial"/>
          <w:sz w:val="24"/>
          <w:szCs w:val="24"/>
          <w:lang w:val="en-GB"/>
        </w:rPr>
        <w:t xml:space="preserve"> She states that this should only be a starting point in terms of which the applicant proves that he possessed the right, and not escalate into a fully-fledged investigation of the merits of the case.</w:t>
      </w:r>
      <w:r w:rsidRPr="00B17C11">
        <w:rPr>
          <w:rStyle w:val="FootnoteReference"/>
          <w:rFonts w:ascii="Arial" w:hAnsi="Arial" w:cs="Arial"/>
          <w:sz w:val="24"/>
          <w:szCs w:val="24"/>
          <w:lang w:val="en-GB"/>
        </w:rPr>
        <w:footnoteReference w:id="27"/>
      </w:r>
    </w:p>
    <w:p w14:paraId="7C78F46B" w14:textId="2C607B14" w:rsidR="002E67BC" w:rsidRPr="00B17C11" w:rsidRDefault="00C978AA" w:rsidP="00E76BB2">
      <w:pPr>
        <w:spacing w:before="240" w:line="360" w:lineRule="auto"/>
        <w:jc w:val="both"/>
        <w:rPr>
          <w:rFonts w:ascii="Arial" w:hAnsi="Arial" w:cs="Arial"/>
          <w:sz w:val="24"/>
          <w:szCs w:val="24"/>
          <w:lang w:val="en-GB"/>
        </w:rPr>
      </w:pPr>
      <w:r w:rsidRPr="00B17C11">
        <w:rPr>
          <w:rFonts w:ascii="Arial" w:hAnsi="Arial" w:cs="Arial"/>
          <w:sz w:val="24"/>
          <w:szCs w:val="24"/>
          <w:lang w:val="en-GB"/>
        </w:rPr>
        <w:lastRenderedPageBreak/>
        <w:t>As such, i</w:t>
      </w:r>
      <w:r w:rsidR="00C05614" w:rsidRPr="00B17C11">
        <w:rPr>
          <w:rFonts w:ascii="Arial" w:hAnsi="Arial" w:cs="Arial"/>
          <w:sz w:val="24"/>
          <w:szCs w:val="24"/>
          <w:lang w:val="en-GB"/>
        </w:rPr>
        <w:t>t</w:t>
      </w:r>
      <w:r w:rsidR="00E76BB2" w:rsidRPr="00B17C11">
        <w:rPr>
          <w:rFonts w:ascii="Arial" w:hAnsi="Arial" w:cs="Arial"/>
          <w:sz w:val="24"/>
          <w:szCs w:val="24"/>
          <w:lang w:val="en-GB"/>
        </w:rPr>
        <w:t xml:space="preserve"> is argued that </w:t>
      </w:r>
      <w:r w:rsidR="004E6C18" w:rsidRPr="00B17C11">
        <w:rPr>
          <w:rFonts w:ascii="Arial" w:hAnsi="Arial" w:cs="Arial"/>
          <w:sz w:val="24"/>
          <w:szCs w:val="24"/>
          <w:lang w:val="en-GB"/>
        </w:rPr>
        <w:t xml:space="preserve">the assertion of the court in </w:t>
      </w:r>
      <w:r w:rsidR="004E6C18" w:rsidRPr="00B17C11">
        <w:rPr>
          <w:rFonts w:ascii="Arial" w:hAnsi="Arial" w:cs="Arial"/>
          <w:i/>
          <w:iCs/>
          <w:sz w:val="24"/>
          <w:szCs w:val="24"/>
          <w:lang w:val="en-GB"/>
        </w:rPr>
        <w:t>Masinda</w:t>
      </w:r>
      <w:r w:rsidR="00D93EB8" w:rsidRPr="00B17C11">
        <w:rPr>
          <w:rFonts w:ascii="Arial" w:hAnsi="Arial" w:cs="Arial"/>
          <w:i/>
          <w:iCs/>
          <w:sz w:val="24"/>
          <w:szCs w:val="24"/>
          <w:lang w:val="en-GB"/>
        </w:rPr>
        <w:t>,</w:t>
      </w:r>
      <w:r w:rsidR="005923E1" w:rsidRPr="00B17C11">
        <w:rPr>
          <w:rFonts w:ascii="Arial" w:hAnsi="Arial" w:cs="Arial"/>
          <w:sz w:val="24"/>
          <w:szCs w:val="24"/>
          <w:lang w:val="en-GB"/>
        </w:rPr>
        <w:t xml:space="preserve"> ‘</w:t>
      </w:r>
      <w:r w:rsidR="00E76BB2" w:rsidRPr="00B17C11">
        <w:rPr>
          <w:rFonts w:ascii="Arial" w:hAnsi="Arial" w:cs="Arial"/>
          <w:sz w:val="24"/>
          <w:szCs w:val="24"/>
          <w:lang w:val="en-GB"/>
        </w:rPr>
        <w:t xml:space="preserve">that the </w:t>
      </w:r>
      <w:r w:rsidR="00E76BB2" w:rsidRPr="00B17C11">
        <w:rPr>
          <w:rFonts w:ascii="Arial" w:hAnsi="Arial" w:cs="Arial"/>
          <w:i/>
          <w:iCs/>
          <w:sz w:val="24"/>
          <w:szCs w:val="24"/>
          <w:lang w:val="en-GB"/>
        </w:rPr>
        <w:t>quasi</w:t>
      </w:r>
      <w:r w:rsidR="00E76BB2" w:rsidRPr="00B17C11">
        <w:rPr>
          <w:rFonts w:ascii="Arial" w:hAnsi="Arial" w:cs="Arial"/>
          <w:sz w:val="24"/>
          <w:szCs w:val="24"/>
          <w:lang w:val="en-GB"/>
        </w:rPr>
        <w:t xml:space="preserve">-possession of the electricity supply does not enjoy protection under </w:t>
      </w:r>
      <w:r w:rsidR="00366B3E" w:rsidRPr="00B17C11">
        <w:rPr>
          <w:rFonts w:ascii="Arial" w:hAnsi="Arial" w:cs="Arial"/>
          <w:sz w:val="24"/>
          <w:szCs w:val="24"/>
          <w:lang w:val="en-GB"/>
        </w:rPr>
        <w:t xml:space="preserve">the </w:t>
      </w:r>
      <w:r w:rsidR="00E76BB2" w:rsidRPr="00B17C11">
        <w:rPr>
          <w:rFonts w:ascii="Arial" w:hAnsi="Arial" w:cs="Arial"/>
          <w:sz w:val="24"/>
          <w:szCs w:val="24"/>
          <w:lang w:val="en-GB"/>
        </w:rPr>
        <w:t>spoliation remedy if sourced from a contract</w:t>
      </w:r>
      <w:r w:rsidR="005923E1" w:rsidRPr="00B17C11">
        <w:rPr>
          <w:rFonts w:ascii="Arial" w:hAnsi="Arial" w:cs="Arial"/>
          <w:sz w:val="24"/>
          <w:szCs w:val="24"/>
          <w:lang w:val="en-GB"/>
        </w:rPr>
        <w:t>,’</w:t>
      </w:r>
      <w:r w:rsidR="00E76BB2" w:rsidRPr="00B17C11">
        <w:rPr>
          <w:rFonts w:ascii="Arial" w:hAnsi="Arial" w:cs="Arial"/>
          <w:sz w:val="24"/>
          <w:szCs w:val="24"/>
          <w:lang w:val="en-GB"/>
        </w:rPr>
        <w:t xml:space="preserve"> contradicts the common law principle</w:t>
      </w:r>
      <w:r w:rsidR="005923E1" w:rsidRPr="00B17C11">
        <w:rPr>
          <w:rFonts w:ascii="Arial" w:hAnsi="Arial" w:cs="Arial"/>
          <w:sz w:val="24"/>
          <w:szCs w:val="24"/>
          <w:lang w:val="en-GB"/>
        </w:rPr>
        <w:t xml:space="preserve"> that </w:t>
      </w:r>
      <w:r w:rsidR="00E76BB2" w:rsidRPr="00B17C11">
        <w:rPr>
          <w:rFonts w:ascii="Arial" w:hAnsi="Arial" w:cs="Arial"/>
          <w:sz w:val="24"/>
          <w:szCs w:val="24"/>
          <w:lang w:val="en-GB"/>
        </w:rPr>
        <w:t>the source of the right should be irrelevant in spoliation proceedings</w:t>
      </w:r>
      <w:r w:rsidR="00D93EB8" w:rsidRPr="00B17C11">
        <w:rPr>
          <w:rFonts w:ascii="Arial" w:hAnsi="Arial" w:cs="Arial"/>
          <w:sz w:val="24"/>
          <w:szCs w:val="24"/>
          <w:lang w:val="en-GB"/>
        </w:rPr>
        <w:t>.</w:t>
      </w:r>
      <w:r w:rsidR="0007248B" w:rsidRPr="00B17C11">
        <w:rPr>
          <w:rStyle w:val="FootnoteReference"/>
          <w:rFonts w:ascii="Arial" w:hAnsi="Arial" w:cs="Arial"/>
          <w:sz w:val="24"/>
          <w:szCs w:val="24"/>
          <w:lang w:val="en-GB"/>
        </w:rPr>
        <w:footnoteReference w:id="28"/>
      </w:r>
      <w:r w:rsidR="0007248B" w:rsidRPr="00B17C11">
        <w:rPr>
          <w:rFonts w:ascii="Arial" w:hAnsi="Arial" w:cs="Arial"/>
          <w:sz w:val="24"/>
          <w:szCs w:val="24"/>
          <w:lang w:val="en-GB"/>
        </w:rPr>
        <w:t xml:space="preserve"> It is</w:t>
      </w:r>
      <w:r w:rsidR="00E76BB2" w:rsidRPr="00B17C11">
        <w:rPr>
          <w:rFonts w:ascii="Arial" w:hAnsi="Arial" w:cs="Arial"/>
          <w:sz w:val="24"/>
          <w:szCs w:val="24"/>
          <w:lang w:val="en-GB"/>
        </w:rPr>
        <w:t xml:space="preserve"> further</w:t>
      </w:r>
      <w:r w:rsidR="0007248B" w:rsidRPr="00B17C11">
        <w:rPr>
          <w:rFonts w:ascii="Arial" w:hAnsi="Arial" w:cs="Arial"/>
          <w:sz w:val="24"/>
          <w:szCs w:val="24"/>
          <w:lang w:val="en-GB"/>
        </w:rPr>
        <w:t xml:space="preserve"> </w:t>
      </w:r>
      <w:r w:rsidR="00F87705" w:rsidRPr="00B17C11">
        <w:rPr>
          <w:rFonts w:ascii="Arial" w:hAnsi="Arial" w:cs="Arial"/>
          <w:sz w:val="24"/>
          <w:szCs w:val="24"/>
          <w:lang w:val="en-GB"/>
        </w:rPr>
        <w:t>suggested</w:t>
      </w:r>
      <w:r w:rsidR="0007248B" w:rsidRPr="00B17C11">
        <w:rPr>
          <w:rFonts w:ascii="Arial" w:hAnsi="Arial" w:cs="Arial"/>
          <w:sz w:val="24"/>
          <w:szCs w:val="24"/>
          <w:lang w:val="en-GB"/>
        </w:rPr>
        <w:t xml:space="preserve"> that this assertion</w:t>
      </w:r>
      <w:r w:rsidR="00E76BB2" w:rsidRPr="00B17C11">
        <w:rPr>
          <w:rFonts w:ascii="Arial" w:hAnsi="Arial" w:cs="Arial"/>
          <w:sz w:val="24"/>
          <w:szCs w:val="24"/>
          <w:lang w:val="en-GB"/>
        </w:rPr>
        <w:t xml:space="preserve"> limits the protective ambits of the spoliation remedy.</w:t>
      </w:r>
      <w:r w:rsidR="00E76BB2" w:rsidRPr="00B17C11">
        <w:rPr>
          <w:rStyle w:val="FootnoteReference"/>
          <w:rFonts w:ascii="Arial" w:hAnsi="Arial" w:cs="Arial"/>
          <w:sz w:val="24"/>
          <w:szCs w:val="24"/>
          <w:lang w:val="en-GB"/>
        </w:rPr>
        <w:footnoteReference w:id="29"/>
      </w:r>
      <w:r w:rsidR="002B4735" w:rsidRPr="00B17C11">
        <w:rPr>
          <w:rFonts w:ascii="Arial" w:hAnsi="Arial" w:cs="Arial"/>
          <w:sz w:val="24"/>
          <w:szCs w:val="24"/>
          <w:lang w:val="en-GB"/>
        </w:rPr>
        <w:t xml:space="preserve"> </w:t>
      </w:r>
      <w:r w:rsidR="00E76BB2" w:rsidRPr="00B17C11">
        <w:rPr>
          <w:rFonts w:ascii="Arial" w:hAnsi="Arial" w:cs="Arial"/>
          <w:sz w:val="24"/>
          <w:szCs w:val="24"/>
          <w:lang w:val="en-GB"/>
        </w:rPr>
        <w:t>For instance, the ‘incident of possession’ requirement is no longer based on whether the applicant</w:t>
      </w:r>
      <w:r w:rsidR="00E76BB2" w:rsidRPr="00B17C11">
        <w:rPr>
          <w:rFonts w:ascii="Arial" w:hAnsi="Arial" w:cs="Arial"/>
          <w:i/>
          <w:sz w:val="24"/>
          <w:szCs w:val="24"/>
          <w:lang w:val="en-GB"/>
        </w:rPr>
        <w:t xml:space="preserve"> </w:t>
      </w:r>
      <w:r w:rsidR="00E76BB2" w:rsidRPr="00B17C11">
        <w:rPr>
          <w:rFonts w:ascii="Arial" w:hAnsi="Arial" w:cs="Arial"/>
          <w:sz w:val="24"/>
          <w:szCs w:val="24"/>
          <w:lang w:val="en-GB"/>
        </w:rPr>
        <w:t>performed acts normally associated with the professed right on land.</w:t>
      </w:r>
      <w:r w:rsidR="00E76BB2" w:rsidRPr="00B17C11">
        <w:rPr>
          <w:rStyle w:val="FootnoteReference"/>
          <w:rFonts w:ascii="Arial" w:hAnsi="Arial" w:cs="Arial"/>
          <w:sz w:val="24"/>
          <w:szCs w:val="24"/>
          <w:lang w:val="en-GB"/>
        </w:rPr>
        <w:footnoteReference w:id="30"/>
      </w:r>
      <w:r w:rsidR="00E76BB2" w:rsidRPr="00B17C11">
        <w:rPr>
          <w:rFonts w:ascii="Arial" w:hAnsi="Arial" w:cs="Arial"/>
          <w:sz w:val="24"/>
          <w:szCs w:val="24"/>
          <w:lang w:val="en-GB"/>
        </w:rPr>
        <w:t xml:space="preserve"> This is in view of Rogers J’s approach in </w:t>
      </w:r>
      <w:r w:rsidR="00E76BB2" w:rsidRPr="00B17C11">
        <w:rPr>
          <w:rFonts w:ascii="Arial" w:hAnsi="Arial" w:cs="Arial"/>
          <w:i/>
          <w:sz w:val="24"/>
          <w:szCs w:val="24"/>
          <w:lang w:val="en-GB"/>
        </w:rPr>
        <w:t>Makeshift</w:t>
      </w:r>
      <w:r w:rsidR="00E76BB2" w:rsidRPr="00B17C11">
        <w:rPr>
          <w:rFonts w:ascii="Arial" w:hAnsi="Arial" w:cs="Arial"/>
          <w:sz w:val="24"/>
          <w:szCs w:val="24"/>
          <w:lang w:val="en-GB"/>
        </w:rPr>
        <w:t>, that if the right is sourced in the contract, the applicant</w:t>
      </w:r>
      <w:r w:rsidR="00E76BB2" w:rsidRPr="00B17C11">
        <w:rPr>
          <w:rFonts w:ascii="Arial" w:hAnsi="Arial" w:cs="Arial"/>
          <w:i/>
          <w:sz w:val="24"/>
          <w:szCs w:val="24"/>
          <w:lang w:val="en-GB"/>
        </w:rPr>
        <w:t xml:space="preserve"> </w:t>
      </w:r>
      <w:r w:rsidR="00E76BB2" w:rsidRPr="00B17C11">
        <w:rPr>
          <w:rFonts w:ascii="Arial" w:hAnsi="Arial" w:cs="Arial"/>
          <w:sz w:val="24"/>
          <w:szCs w:val="24"/>
          <w:lang w:val="en-GB"/>
        </w:rPr>
        <w:t>must also have an alleged agreement against the</w:t>
      </w:r>
      <w:r w:rsidR="00E76BB2" w:rsidRPr="00B17C11">
        <w:rPr>
          <w:rFonts w:ascii="Arial" w:hAnsi="Arial" w:cs="Arial"/>
          <w:iCs/>
          <w:sz w:val="24"/>
          <w:szCs w:val="24"/>
          <w:lang w:val="en-GB"/>
        </w:rPr>
        <w:t xml:space="preserve"> spoliator</w:t>
      </w:r>
      <w:r w:rsidR="00E76BB2" w:rsidRPr="00B17C11">
        <w:rPr>
          <w:rFonts w:ascii="Arial" w:hAnsi="Arial" w:cs="Arial"/>
          <w:sz w:val="24"/>
          <w:szCs w:val="24"/>
          <w:lang w:val="en-GB"/>
        </w:rPr>
        <w:t xml:space="preserve"> to occupy the premises, and it must be the landlord</w:t>
      </w:r>
      <w:r w:rsidR="003F2B12" w:rsidRPr="00B17C11">
        <w:rPr>
          <w:rFonts w:ascii="Arial" w:hAnsi="Arial" w:cs="Arial"/>
          <w:sz w:val="24"/>
          <w:szCs w:val="24"/>
          <w:lang w:val="en-GB"/>
        </w:rPr>
        <w:t xml:space="preserve"> </w:t>
      </w:r>
      <w:r w:rsidR="00E76BB2" w:rsidRPr="00B17C11">
        <w:rPr>
          <w:rFonts w:ascii="Arial" w:hAnsi="Arial" w:cs="Arial"/>
          <w:sz w:val="24"/>
          <w:szCs w:val="24"/>
          <w:lang w:val="en-GB"/>
        </w:rPr>
        <w:t>who severs the electricity supply.</w:t>
      </w:r>
      <w:r w:rsidR="009E6526" w:rsidRPr="00B17C11">
        <w:rPr>
          <w:rStyle w:val="FootnoteReference"/>
          <w:rFonts w:ascii="Arial" w:hAnsi="Arial" w:cs="Arial"/>
          <w:sz w:val="24"/>
          <w:szCs w:val="24"/>
          <w:lang w:val="en-GB"/>
        </w:rPr>
        <w:footnoteReference w:id="31"/>
      </w:r>
      <w:r w:rsidR="00E76BB2" w:rsidRPr="00B17C11">
        <w:rPr>
          <w:rFonts w:ascii="Arial" w:hAnsi="Arial" w:cs="Arial"/>
          <w:sz w:val="24"/>
          <w:szCs w:val="24"/>
          <w:lang w:val="en-GB"/>
        </w:rPr>
        <w:t xml:space="preserve"> Otherwise, the electricity supply is not incidental to the possession of the premises and cannot be restored with the spoliation remedy.</w:t>
      </w:r>
      <w:r w:rsidR="00E76BB2" w:rsidRPr="00B17C11">
        <w:rPr>
          <w:rStyle w:val="FootnoteReference"/>
          <w:rFonts w:ascii="Arial" w:hAnsi="Arial" w:cs="Arial"/>
          <w:sz w:val="24"/>
          <w:szCs w:val="24"/>
          <w:lang w:val="en-GB"/>
        </w:rPr>
        <w:footnoteReference w:id="32"/>
      </w:r>
      <w:r w:rsidR="00E76BB2" w:rsidRPr="00B17C11">
        <w:rPr>
          <w:rFonts w:ascii="Arial" w:hAnsi="Arial" w:cs="Arial"/>
          <w:sz w:val="24"/>
          <w:szCs w:val="24"/>
          <w:lang w:val="en-GB"/>
        </w:rPr>
        <w:t xml:space="preserve"> In other words, without an occupation right and the severance of electricity by the landlord, the </w:t>
      </w:r>
      <w:r w:rsidR="00E76BB2" w:rsidRPr="00B17C11">
        <w:rPr>
          <w:rFonts w:ascii="Arial" w:hAnsi="Arial" w:cs="Arial"/>
          <w:i/>
          <w:iCs/>
          <w:sz w:val="24"/>
          <w:szCs w:val="24"/>
          <w:lang w:val="en-GB"/>
        </w:rPr>
        <w:t>quasi</w:t>
      </w:r>
      <w:r w:rsidR="00E76BB2" w:rsidRPr="00B17C11">
        <w:rPr>
          <w:rFonts w:ascii="Arial" w:hAnsi="Arial" w:cs="Arial"/>
          <w:sz w:val="24"/>
          <w:szCs w:val="24"/>
          <w:lang w:val="en-GB"/>
        </w:rPr>
        <w:t>-possession of the electricity does not enjoy protection under the spoliation remedy.</w:t>
      </w:r>
      <w:r w:rsidR="00E76BB2" w:rsidRPr="00B17C11">
        <w:rPr>
          <w:rStyle w:val="FootnoteReference"/>
          <w:rFonts w:ascii="Arial" w:hAnsi="Arial" w:cs="Arial"/>
          <w:sz w:val="24"/>
          <w:szCs w:val="24"/>
          <w:lang w:val="en-GB"/>
        </w:rPr>
        <w:footnoteReference w:id="33"/>
      </w:r>
      <w:r w:rsidR="00E76BB2" w:rsidRPr="00B17C11">
        <w:rPr>
          <w:rFonts w:ascii="Arial" w:hAnsi="Arial" w:cs="Arial"/>
          <w:sz w:val="24"/>
          <w:szCs w:val="24"/>
          <w:lang w:val="en-GB"/>
        </w:rPr>
        <w:t xml:space="preserve"> This understanding frustrates and undermines persons outside the confines of this application as they would not effectively protect their possession, as would have been the case if they had access to</w:t>
      </w:r>
      <w:r w:rsidR="00D5722C" w:rsidRPr="00B17C11">
        <w:rPr>
          <w:rFonts w:ascii="Arial" w:hAnsi="Arial" w:cs="Arial"/>
          <w:sz w:val="24"/>
          <w:szCs w:val="24"/>
          <w:lang w:val="en-GB"/>
        </w:rPr>
        <w:t xml:space="preserve"> spoliation </w:t>
      </w:r>
      <w:r w:rsidR="008D627D" w:rsidRPr="00B17C11">
        <w:rPr>
          <w:rFonts w:ascii="Arial" w:hAnsi="Arial" w:cs="Arial"/>
          <w:sz w:val="24"/>
          <w:szCs w:val="24"/>
          <w:lang w:val="en-GB"/>
        </w:rPr>
        <w:t>remedy</w:t>
      </w:r>
      <w:r w:rsidR="00E76BB2" w:rsidRPr="00B17C11">
        <w:rPr>
          <w:rFonts w:ascii="Arial" w:hAnsi="Arial" w:cs="Arial"/>
          <w:sz w:val="24"/>
          <w:szCs w:val="24"/>
          <w:lang w:val="en-GB"/>
        </w:rPr>
        <w:t xml:space="preserve">. Even if resort is had to other measures such as an interim relief, such measures are not as speedy and robust as the </w:t>
      </w:r>
      <w:r w:rsidR="00756552" w:rsidRPr="00B17C11">
        <w:rPr>
          <w:rFonts w:ascii="Arial" w:hAnsi="Arial" w:cs="Arial"/>
          <w:sz w:val="24"/>
          <w:szCs w:val="24"/>
          <w:lang w:val="en-GB"/>
        </w:rPr>
        <w:t>s</w:t>
      </w:r>
      <w:r w:rsidR="00E76BB2" w:rsidRPr="00B17C11">
        <w:rPr>
          <w:rFonts w:ascii="Arial" w:hAnsi="Arial" w:cs="Arial"/>
          <w:sz w:val="24"/>
          <w:szCs w:val="24"/>
          <w:lang w:val="en-GB"/>
        </w:rPr>
        <w:t xml:space="preserve">poliation remedy and do not protect against unlawful </w:t>
      </w:r>
      <w:r w:rsidR="00366B3E" w:rsidRPr="00B17C11">
        <w:rPr>
          <w:rFonts w:ascii="Arial" w:hAnsi="Arial" w:cs="Arial"/>
          <w:sz w:val="24"/>
          <w:szCs w:val="24"/>
          <w:lang w:val="en-GB"/>
        </w:rPr>
        <w:t>dis</w:t>
      </w:r>
      <w:r w:rsidR="00E76BB2" w:rsidRPr="00B17C11">
        <w:rPr>
          <w:rFonts w:ascii="Arial" w:hAnsi="Arial" w:cs="Arial"/>
          <w:sz w:val="24"/>
          <w:szCs w:val="24"/>
          <w:lang w:val="en-GB"/>
        </w:rPr>
        <w:t>possession.</w:t>
      </w:r>
    </w:p>
    <w:p w14:paraId="66854503" w14:textId="673AEE8E" w:rsidR="00144700" w:rsidRPr="00B17C11" w:rsidRDefault="00F470E4" w:rsidP="00C72528">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This research will seek to determine the appropriate application of</w:t>
      </w:r>
      <w:r w:rsidR="00366B3E" w:rsidRPr="00B17C11">
        <w:rPr>
          <w:rFonts w:ascii="Arial" w:hAnsi="Arial" w:cs="Arial"/>
          <w:sz w:val="24"/>
          <w:szCs w:val="24"/>
          <w:shd w:val="clear" w:color="auto" w:fill="FFFFFF"/>
        </w:rPr>
        <w:t xml:space="preserve"> the</w:t>
      </w:r>
      <w:r w:rsidRPr="00B17C11">
        <w:rPr>
          <w:rFonts w:ascii="Arial" w:hAnsi="Arial" w:cs="Arial"/>
          <w:sz w:val="24"/>
          <w:szCs w:val="24"/>
          <w:shd w:val="clear" w:color="auto" w:fill="FFFFFF"/>
        </w:rPr>
        <w:t xml:space="preserve"> spoliation remedy in the case of </w:t>
      </w:r>
      <w:proofErr w:type="spellStart"/>
      <w:r w:rsidRPr="00B17C11">
        <w:rPr>
          <w:rFonts w:ascii="Arial" w:hAnsi="Arial" w:cs="Arial"/>
          <w:sz w:val="24"/>
          <w:szCs w:val="24"/>
          <w:shd w:val="clear" w:color="auto" w:fill="FFFFFF"/>
        </w:rPr>
        <w:t>incorporeals</w:t>
      </w:r>
      <w:proofErr w:type="spellEnd"/>
      <w:r w:rsidRPr="00B17C11">
        <w:rPr>
          <w:rFonts w:ascii="Arial" w:hAnsi="Arial" w:cs="Arial"/>
          <w:sz w:val="24"/>
          <w:szCs w:val="24"/>
          <w:shd w:val="clear" w:color="auto" w:fill="FFFFFF"/>
        </w:rPr>
        <w:t xml:space="preserve">, particularly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electricity and water supply. This will be done by studying its development as applied in Roman-Dutch Law, its reception into South African Law, the recognition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and its current application today as seen in case law.</w:t>
      </w:r>
    </w:p>
    <w:p w14:paraId="5DE80A79" w14:textId="77777777" w:rsidR="00EB34DC" w:rsidRPr="00B17C11" w:rsidRDefault="00EB34DC" w:rsidP="00C72528">
      <w:pPr>
        <w:spacing w:line="360" w:lineRule="auto"/>
        <w:jc w:val="both"/>
        <w:rPr>
          <w:rFonts w:ascii="Arial" w:hAnsi="Arial" w:cs="Arial"/>
          <w:sz w:val="24"/>
          <w:szCs w:val="24"/>
          <w:shd w:val="clear" w:color="auto" w:fill="FFFFFF"/>
        </w:rPr>
      </w:pPr>
    </w:p>
    <w:p w14:paraId="390B9E86" w14:textId="77777777" w:rsidR="00F93AF9" w:rsidRPr="00B17C11" w:rsidRDefault="00F93AF9" w:rsidP="00A14E4D">
      <w:pPr>
        <w:pStyle w:val="Heading2"/>
        <w:rPr>
          <w:shd w:val="clear" w:color="auto" w:fill="FFFFFF"/>
        </w:rPr>
      </w:pPr>
      <w:bookmarkStart w:id="3" w:name="_Toc181339530"/>
      <w:r w:rsidRPr="00B17C11">
        <w:rPr>
          <w:shd w:val="clear" w:color="auto" w:fill="FFFFFF"/>
        </w:rPr>
        <w:t>1.2 Research Problem</w:t>
      </w:r>
      <w:bookmarkEnd w:id="3"/>
    </w:p>
    <w:p w14:paraId="43B521A9" w14:textId="7D6A6041" w:rsidR="003338A4" w:rsidRPr="00B17C11" w:rsidRDefault="003338A4" w:rsidP="003338A4">
      <w:pPr>
        <w:spacing w:line="360" w:lineRule="auto"/>
        <w:jc w:val="both"/>
        <w:rPr>
          <w:rFonts w:ascii="Arial" w:hAnsi="Arial" w:cs="Arial"/>
          <w:sz w:val="24"/>
          <w:szCs w:val="24"/>
          <w:shd w:val="clear" w:color="auto" w:fill="FFFFFF"/>
        </w:rPr>
      </w:pPr>
      <w:r w:rsidRPr="00B17C11">
        <w:rPr>
          <w:rFonts w:ascii="Arial" w:hAnsi="Arial" w:cs="Arial"/>
          <w:sz w:val="24"/>
          <w:szCs w:val="24"/>
          <w:lang w:val="en-GB"/>
        </w:rPr>
        <w:t>The spoliation remedy is a speedy and robust remedy used to protect the peaceful and undisturbed possession of a thing without reference to the merits of the case</w:t>
      </w:r>
      <w:r w:rsidRPr="00B17C11">
        <w:rPr>
          <w:rFonts w:ascii="Arial" w:hAnsi="Arial" w:cs="Arial"/>
          <w:sz w:val="24"/>
          <w:szCs w:val="24"/>
          <w:shd w:val="clear" w:color="auto" w:fill="FFFFFF"/>
        </w:rPr>
        <w:t>.</w:t>
      </w:r>
      <w:r w:rsidR="002B4735" w:rsidRPr="00B17C11">
        <w:rPr>
          <w:rFonts w:ascii="Arial" w:hAnsi="Arial" w:cs="Arial"/>
          <w:sz w:val="24"/>
          <w:szCs w:val="24"/>
          <w:shd w:val="clear" w:color="auto" w:fill="FFFFFF"/>
        </w:rPr>
        <w:t xml:space="preserve"> </w:t>
      </w:r>
      <w:r w:rsidRPr="00B17C11">
        <w:rPr>
          <w:rFonts w:ascii="Arial" w:hAnsi="Arial" w:cs="Arial"/>
          <w:sz w:val="24"/>
          <w:szCs w:val="24"/>
          <w:lang w:val="en-GB"/>
        </w:rPr>
        <w:t xml:space="preserve">It </w:t>
      </w:r>
      <w:r w:rsidRPr="00B17C11">
        <w:rPr>
          <w:rFonts w:ascii="Arial" w:hAnsi="Arial" w:cs="Arial"/>
          <w:sz w:val="24"/>
          <w:szCs w:val="24"/>
          <w:lang w:val="en-GB"/>
        </w:rPr>
        <w:lastRenderedPageBreak/>
        <w:t>preserves law and order by encouraging persons to approach the court for due legal process instead of taking the law into their own hands and resorting to unlawful self-help.</w:t>
      </w:r>
      <w:r w:rsidRPr="00B17C11">
        <w:rPr>
          <w:rStyle w:val="FootnoteReference"/>
          <w:rFonts w:ascii="Arial" w:hAnsi="Arial" w:cs="Arial"/>
          <w:sz w:val="24"/>
          <w:szCs w:val="24"/>
          <w:lang w:val="en-GB"/>
        </w:rPr>
        <w:footnoteReference w:id="34"/>
      </w:r>
      <w:r w:rsidRPr="00B17C11">
        <w:rPr>
          <w:rFonts w:ascii="Arial" w:hAnsi="Arial" w:cs="Arial"/>
          <w:sz w:val="24"/>
          <w:szCs w:val="24"/>
          <w:lang w:val="en-GB"/>
        </w:rPr>
        <w:t xml:space="preserve"> </w:t>
      </w:r>
      <w:r w:rsidRPr="00B17C11">
        <w:rPr>
          <w:rFonts w:ascii="Arial" w:hAnsi="Arial" w:cs="Arial"/>
          <w:sz w:val="24"/>
          <w:szCs w:val="24"/>
          <w:shd w:val="clear" w:color="auto" w:fill="FFFFFF"/>
        </w:rPr>
        <w:t xml:space="preserve">However, in recent years, especially with the development of metaphysics, the application of the spoliation remedy has been extended to apply to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of property.</w:t>
      </w:r>
      <w:r w:rsidRPr="00B17C11">
        <w:rPr>
          <w:rStyle w:val="FootnoteReference"/>
          <w:rFonts w:ascii="Arial" w:hAnsi="Arial" w:cs="Arial"/>
          <w:sz w:val="24"/>
          <w:szCs w:val="24"/>
          <w:shd w:val="clear" w:color="auto" w:fill="FFFFFF"/>
        </w:rPr>
        <w:footnoteReference w:id="35"/>
      </w:r>
      <w:r w:rsidR="00E5255F"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This position brings legal uncertainty with regard to the development of the application of the spoliation remedy. It is not clear, especially in the case of water and electricity supply, when and how the spoliation remedy will be applied.</w:t>
      </w:r>
    </w:p>
    <w:p w14:paraId="16D9272A" w14:textId="598A7396" w:rsidR="003338A4" w:rsidRPr="00B17C11" w:rsidRDefault="003338A4" w:rsidP="003338A4">
      <w:pPr>
        <w:spacing w:before="240" w:line="360" w:lineRule="auto"/>
        <w:jc w:val="both"/>
        <w:rPr>
          <w:rFonts w:ascii="Arial" w:hAnsi="Arial" w:cs="Arial"/>
          <w:sz w:val="24"/>
          <w:szCs w:val="24"/>
          <w:lang w:val="en-GB"/>
        </w:rPr>
      </w:pPr>
      <w:r w:rsidRPr="00B17C11">
        <w:rPr>
          <w:rFonts w:ascii="Arial" w:hAnsi="Arial" w:cs="Arial"/>
          <w:sz w:val="24"/>
          <w:szCs w:val="24"/>
          <w:lang w:val="en-GB"/>
        </w:rPr>
        <w:t xml:space="preserve">For instance, while it is trite law that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w:t>
      </w:r>
      <w:r w:rsidRPr="00B17C11">
        <w:rPr>
          <w:rFonts w:ascii="Arial" w:hAnsi="Arial" w:cs="Arial"/>
          <w:i/>
          <w:sz w:val="24"/>
          <w:szCs w:val="24"/>
          <w:lang w:val="en-GB"/>
        </w:rPr>
        <w:t xml:space="preserve"> </w:t>
      </w:r>
      <w:r w:rsidR="00366B3E" w:rsidRPr="00B17C11">
        <w:rPr>
          <w:rFonts w:ascii="Arial" w:hAnsi="Arial" w:cs="Arial"/>
          <w:i/>
          <w:sz w:val="24"/>
          <w:szCs w:val="24"/>
          <w:lang w:val="en-GB"/>
        </w:rPr>
        <w:t>“</w:t>
      </w:r>
      <w:proofErr w:type="spellStart"/>
      <w:r w:rsidRPr="00B17C11">
        <w:rPr>
          <w:rFonts w:ascii="Arial" w:hAnsi="Arial" w:cs="Arial"/>
          <w:i/>
          <w:sz w:val="24"/>
          <w:szCs w:val="24"/>
          <w:lang w:val="en-GB"/>
        </w:rPr>
        <w:t>gebruiksregte</w:t>
      </w:r>
      <w:proofErr w:type="spellEnd"/>
      <w:r w:rsidR="00366B3E" w:rsidRPr="00B17C11">
        <w:rPr>
          <w:rFonts w:ascii="Arial" w:hAnsi="Arial" w:cs="Arial"/>
          <w:i/>
          <w:sz w:val="24"/>
          <w:szCs w:val="24"/>
          <w:lang w:val="en-GB"/>
        </w:rPr>
        <w:t>”</w:t>
      </w:r>
      <w:r w:rsidRPr="00B17C11">
        <w:rPr>
          <w:rFonts w:ascii="Arial" w:hAnsi="Arial" w:cs="Arial"/>
          <w:i/>
          <w:sz w:val="24"/>
          <w:szCs w:val="24"/>
          <w:lang w:val="en-GB"/>
        </w:rPr>
        <w:t xml:space="preserve"> </w:t>
      </w:r>
      <w:r w:rsidRPr="00B17C11">
        <w:rPr>
          <w:rFonts w:ascii="Arial" w:hAnsi="Arial" w:cs="Arial"/>
          <w:sz w:val="24"/>
          <w:szCs w:val="24"/>
          <w:lang w:val="en-GB"/>
        </w:rPr>
        <w:t xml:space="preserve">enjoys protection under </w:t>
      </w:r>
      <w:r w:rsidR="009B682D" w:rsidRPr="00B17C11">
        <w:rPr>
          <w:rFonts w:ascii="Arial" w:hAnsi="Arial" w:cs="Arial"/>
          <w:sz w:val="24"/>
          <w:szCs w:val="24"/>
          <w:lang w:val="en-GB"/>
        </w:rPr>
        <w:t xml:space="preserve">the </w:t>
      </w:r>
      <w:r w:rsidRPr="00B17C11">
        <w:rPr>
          <w:rFonts w:ascii="Arial" w:hAnsi="Arial" w:cs="Arial"/>
          <w:sz w:val="24"/>
          <w:szCs w:val="24"/>
          <w:lang w:val="en-GB"/>
        </w:rPr>
        <w:t>spoliation</w:t>
      </w:r>
      <w:r w:rsidR="009B682D" w:rsidRPr="00B17C11">
        <w:rPr>
          <w:rFonts w:ascii="Arial" w:hAnsi="Arial" w:cs="Arial"/>
          <w:sz w:val="24"/>
          <w:szCs w:val="24"/>
          <w:lang w:val="en-GB"/>
        </w:rPr>
        <w:t xml:space="preserve"> remedy</w:t>
      </w:r>
      <w:r w:rsidRPr="00B17C11">
        <w:rPr>
          <w:rFonts w:ascii="Arial" w:hAnsi="Arial" w:cs="Arial"/>
          <w:sz w:val="24"/>
          <w:szCs w:val="24"/>
          <w:lang w:val="en-GB"/>
        </w:rPr>
        <w:t xml:space="preserve">, the court in </w:t>
      </w:r>
      <w:r w:rsidRPr="00B17C11">
        <w:rPr>
          <w:rFonts w:ascii="Arial" w:hAnsi="Arial" w:cs="Arial"/>
          <w:i/>
          <w:sz w:val="24"/>
          <w:szCs w:val="24"/>
          <w:lang w:val="en-GB"/>
        </w:rPr>
        <w:t>Makeshift</w:t>
      </w:r>
      <w:r w:rsidR="003E18E4" w:rsidRPr="00B17C11">
        <w:rPr>
          <w:rFonts w:ascii="Arial" w:hAnsi="Arial" w:cs="Arial"/>
          <w:i/>
          <w:sz w:val="24"/>
          <w:szCs w:val="24"/>
          <w:lang w:val="en-GB"/>
        </w:rPr>
        <w:t>,</w:t>
      </w:r>
      <w:r w:rsidRPr="00B17C11">
        <w:rPr>
          <w:rFonts w:ascii="Arial" w:hAnsi="Arial" w:cs="Arial"/>
          <w:i/>
          <w:sz w:val="24"/>
          <w:szCs w:val="24"/>
          <w:lang w:val="en-GB"/>
        </w:rPr>
        <w:t xml:space="preserve"> </w:t>
      </w:r>
      <w:r w:rsidRPr="00B17C11">
        <w:rPr>
          <w:rFonts w:ascii="Arial" w:hAnsi="Arial" w:cs="Arial"/>
          <w:sz w:val="24"/>
          <w:szCs w:val="24"/>
          <w:lang w:val="en-GB"/>
        </w:rPr>
        <w:t>with reference to</w:t>
      </w:r>
      <w:r w:rsidR="004E28A6" w:rsidRPr="00B17C11">
        <w:rPr>
          <w:rFonts w:ascii="Arial" w:hAnsi="Arial" w:cs="Arial"/>
          <w:sz w:val="24"/>
          <w:szCs w:val="24"/>
          <w:lang w:val="en-GB"/>
        </w:rPr>
        <w:t xml:space="preserve"> </w:t>
      </w:r>
      <w:r w:rsidRPr="00B17C11">
        <w:rPr>
          <w:rFonts w:ascii="Arial" w:hAnsi="Arial" w:cs="Arial"/>
          <w:i/>
          <w:sz w:val="24"/>
          <w:szCs w:val="24"/>
          <w:lang w:val="en-GB"/>
        </w:rPr>
        <w:t>Masinda</w:t>
      </w:r>
      <w:r w:rsidRPr="00B17C11">
        <w:rPr>
          <w:rFonts w:ascii="Arial" w:hAnsi="Arial" w:cs="Arial"/>
          <w:sz w:val="24"/>
          <w:szCs w:val="24"/>
          <w:lang w:val="en-GB"/>
        </w:rPr>
        <w:t>, held that the fact that electricity supply is used at residential premises does not automatically mean it is incidental to the possession of the property.</w:t>
      </w:r>
      <w:r w:rsidRPr="00B17C11">
        <w:rPr>
          <w:rStyle w:val="FootnoteReference"/>
          <w:rFonts w:ascii="Arial" w:hAnsi="Arial" w:cs="Arial"/>
          <w:sz w:val="24"/>
          <w:szCs w:val="24"/>
          <w:lang w:val="en-GB"/>
        </w:rPr>
        <w:footnoteReference w:id="36"/>
      </w:r>
      <w:r w:rsidRPr="00B17C11">
        <w:rPr>
          <w:rFonts w:ascii="Arial" w:hAnsi="Arial" w:cs="Arial"/>
          <w:sz w:val="24"/>
          <w:szCs w:val="24"/>
          <w:lang w:val="en-GB"/>
        </w:rPr>
        <w:t xml:space="preserve"> According to the court,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the electricity supply enjoys protection under </w:t>
      </w:r>
      <w:r w:rsidR="00F26378" w:rsidRPr="00B17C11">
        <w:rPr>
          <w:rFonts w:ascii="Arial" w:hAnsi="Arial" w:cs="Arial"/>
          <w:sz w:val="24"/>
          <w:szCs w:val="24"/>
          <w:lang w:val="en-GB"/>
        </w:rPr>
        <w:t xml:space="preserve">the </w:t>
      </w:r>
      <w:r w:rsidRPr="00B17C11">
        <w:rPr>
          <w:rFonts w:ascii="Arial" w:hAnsi="Arial" w:cs="Arial"/>
          <w:sz w:val="24"/>
          <w:szCs w:val="24"/>
          <w:lang w:val="en-GB"/>
        </w:rPr>
        <w:t>spoliation</w:t>
      </w:r>
      <w:r w:rsidR="00F26378" w:rsidRPr="00B17C11">
        <w:rPr>
          <w:rFonts w:ascii="Arial" w:hAnsi="Arial" w:cs="Arial"/>
          <w:sz w:val="24"/>
          <w:szCs w:val="24"/>
          <w:lang w:val="en-GB"/>
        </w:rPr>
        <w:t xml:space="preserve"> remedy</w:t>
      </w:r>
      <w:r w:rsidRPr="00B17C11">
        <w:rPr>
          <w:rFonts w:ascii="Arial" w:hAnsi="Arial" w:cs="Arial"/>
          <w:sz w:val="24"/>
          <w:szCs w:val="24"/>
          <w:lang w:val="en-GB"/>
        </w:rPr>
        <w:t xml:space="preserve"> only in two instances, namely (</w:t>
      </w:r>
      <w:proofErr w:type="spellStart"/>
      <w:r w:rsidRPr="00B17C11">
        <w:rPr>
          <w:rFonts w:ascii="Arial" w:hAnsi="Arial" w:cs="Arial"/>
          <w:sz w:val="24"/>
          <w:szCs w:val="24"/>
          <w:lang w:val="en-GB"/>
        </w:rPr>
        <w:t>i</w:t>
      </w:r>
      <w:proofErr w:type="spellEnd"/>
      <w:r w:rsidRPr="00B17C11">
        <w:rPr>
          <w:rFonts w:ascii="Arial" w:hAnsi="Arial" w:cs="Arial"/>
          <w:sz w:val="24"/>
          <w:szCs w:val="24"/>
          <w:lang w:val="en-GB"/>
        </w:rPr>
        <w:t xml:space="preserve">) when the alleged right is a servitude or a registered statutory right and (ii) in exceptional cases where the claimant is not </w:t>
      </w:r>
      <w:r w:rsidRPr="00B17C11">
        <w:rPr>
          <w:rFonts w:ascii="Arial" w:hAnsi="Arial" w:cs="Arial"/>
          <w:i/>
          <w:sz w:val="24"/>
          <w:szCs w:val="24"/>
          <w:lang w:val="en-GB"/>
        </w:rPr>
        <w:t>per se</w:t>
      </w:r>
      <w:r w:rsidRPr="00B17C11">
        <w:rPr>
          <w:rFonts w:ascii="Arial" w:hAnsi="Arial" w:cs="Arial"/>
          <w:sz w:val="24"/>
          <w:szCs w:val="24"/>
          <w:lang w:val="en-GB"/>
        </w:rPr>
        <w:t xml:space="preserve"> complaining about the cutting </w:t>
      </w:r>
      <w:r w:rsidR="00366B3E" w:rsidRPr="00B17C11">
        <w:rPr>
          <w:rFonts w:ascii="Arial" w:hAnsi="Arial" w:cs="Arial"/>
          <w:sz w:val="24"/>
          <w:szCs w:val="24"/>
          <w:lang w:val="en-GB"/>
        </w:rPr>
        <w:t xml:space="preserve">off </w:t>
      </w:r>
      <w:r w:rsidRPr="00B17C11">
        <w:rPr>
          <w:rFonts w:ascii="Arial" w:hAnsi="Arial" w:cs="Arial"/>
          <w:sz w:val="24"/>
          <w:szCs w:val="24"/>
          <w:lang w:val="en-GB"/>
        </w:rPr>
        <w:t>of water or electricity, but the adverse impact of such disconnection on his right to the possession of the premises.</w:t>
      </w:r>
      <w:r w:rsidRPr="00B17C11">
        <w:rPr>
          <w:rStyle w:val="FootnoteReference"/>
          <w:rFonts w:ascii="Arial" w:hAnsi="Arial" w:cs="Arial"/>
          <w:sz w:val="24"/>
          <w:szCs w:val="24"/>
          <w:lang w:val="en-GB"/>
        </w:rPr>
        <w:footnoteReference w:id="37"/>
      </w:r>
      <w:r w:rsidRPr="00B17C11">
        <w:rPr>
          <w:rFonts w:ascii="Arial" w:hAnsi="Arial" w:cs="Arial"/>
          <w:sz w:val="24"/>
          <w:szCs w:val="24"/>
          <w:lang w:val="en-GB"/>
        </w:rPr>
        <w:t xml:space="preserve"> The court observed that the difference between cases where the right to services is purely personal in nature and cases where </w:t>
      </w:r>
      <w:r w:rsidR="00366B3E" w:rsidRPr="00B17C11">
        <w:rPr>
          <w:rFonts w:ascii="Arial" w:hAnsi="Arial" w:cs="Arial"/>
          <w:sz w:val="24"/>
          <w:szCs w:val="24"/>
          <w:lang w:val="en-GB"/>
        </w:rPr>
        <w:t xml:space="preserve">the </w:t>
      </w:r>
      <w:r w:rsidRPr="00B17C11">
        <w:rPr>
          <w:rFonts w:ascii="Arial" w:hAnsi="Arial" w:cs="Arial"/>
          <w:sz w:val="24"/>
          <w:szCs w:val="24"/>
          <w:lang w:val="en-GB"/>
        </w:rPr>
        <w:t>spoliation</w:t>
      </w:r>
      <w:r w:rsidR="005D5C90" w:rsidRPr="00B17C11">
        <w:rPr>
          <w:rFonts w:ascii="Arial" w:hAnsi="Arial" w:cs="Arial"/>
          <w:sz w:val="24"/>
          <w:szCs w:val="24"/>
          <w:lang w:val="en-GB"/>
        </w:rPr>
        <w:t xml:space="preserve"> remedy</w:t>
      </w:r>
      <w:r w:rsidRPr="00B17C11">
        <w:rPr>
          <w:rFonts w:ascii="Arial" w:hAnsi="Arial" w:cs="Arial"/>
          <w:sz w:val="24"/>
          <w:szCs w:val="24"/>
          <w:lang w:val="en-GB"/>
        </w:rPr>
        <w:t xml:space="preserve"> is extended to protect the possession of the premises is that in the latter case, the alleged right to electricity supply is an incident of the right to occupation of the premises.</w:t>
      </w:r>
      <w:r w:rsidRPr="00B17C11">
        <w:rPr>
          <w:rStyle w:val="FootnoteReference"/>
          <w:rFonts w:ascii="Arial" w:hAnsi="Arial" w:cs="Arial"/>
          <w:sz w:val="24"/>
          <w:szCs w:val="24"/>
          <w:lang w:val="en-GB"/>
        </w:rPr>
        <w:footnoteReference w:id="38"/>
      </w:r>
      <w:r w:rsidRPr="00B17C11">
        <w:rPr>
          <w:rFonts w:ascii="Arial" w:hAnsi="Arial" w:cs="Arial"/>
          <w:sz w:val="24"/>
          <w:szCs w:val="24"/>
          <w:lang w:val="en-GB"/>
        </w:rPr>
        <w:t xml:space="preserve"> Given that the same may be said about cases where the right to water or electricity is purely personal, the court went on to explain that in cases such as </w:t>
      </w:r>
      <w:r w:rsidRPr="00B17C11">
        <w:rPr>
          <w:rFonts w:ascii="Arial" w:hAnsi="Arial" w:cs="Arial"/>
          <w:i/>
          <w:sz w:val="24"/>
          <w:szCs w:val="24"/>
          <w:lang w:val="en-GB"/>
        </w:rPr>
        <w:t>Masinda</w:t>
      </w:r>
      <w:r w:rsidRPr="00B17C11">
        <w:rPr>
          <w:rFonts w:ascii="Arial" w:hAnsi="Arial" w:cs="Arial"/>
          <w:sz w:val="24"/>
          <w:szCs w:val="24"/>
          <w:lang w:val="en-GB"/>
        </w:rPr>
        <w:t xml:space="preserve">, the </w:t>
      </w:r>
      <w:r w:rsidRPr="00B17C11">
        <w:rPr>
          <w:rFonts w:ascii="Arial" w:hAnsi="Arial" w:cs="Arial"/>
          <w:iCs/>
          <w:sz w:val="24"/>
          <w:szCs w:val="24"/>
          <w:lang w:val="en-GB"/>
        </w:rPr>
        <w:t>spoliator</w:t>
      </w:r>
      <w:r w:rsidRPr="00B17C11">
        <w:rPr>
          <w:rFonts w:ascii="Arial" w:hAnsi="Arial" w:cs="Arial"/>
          <w:sz w:val="24"/>
          <w:szCs w:val="24"/>
          <w:lang w:val="en-GB"/>
        </w:rPr>
        <w:t xml:space="preserve"> has no interest in the possession of the land. Whereas in cases such as </w:t>
      </w:r>
      <w:r w:rsidRPr="00B17C11">
        <w:rPr>
          <w:rFonts w:ascii="Arial" w:hAnsi="Arial" w:cs="Arial"/>
          <w:i/>
          <w:sz w:val="24"/>
          <w:szCs w:val="24"/>
          <w:lang w:val="en-GB"/>
        </w:rPr>
        <w:t>Makeshift</w:t>
      </w:r>
      <w:r w:rsidRPr="00B17C11">
        <w:rPr>
          <w:rFonts w:ascii="Arial" w:hAnsi="Arial" w:cs="Arial"/>
          <w:sz w:val="24"/>
          <w:szCs w:val="24"/>
          <w:lang w:val="en-GB"/>
        </w:rPr>
        <w:t xml:space="preserve"> or category (ii) above, the </w:t>
      </w:r>
      <w:r w:rsidRPr="00B17C11">
        <w:rPr>
          <w:rFonts w:ascii="Arial" w:hAnsi="Arial" w:cs="Arial"/>
          <w:iCs/>
          <w:sz w:val="24"/>
          <w:szCs w:val="24"/>
          <w:lang w:val="en-GB"/>
        </w:rPr>
        <w:t>spoliator</w:t>
      </w:r>
      <w:r w:rsidRPr="00B17C11">
        <w:rPr>
          <w:rFonts w:ascii="Arial" w:hAnsi="Arial" w:cs="Arial"/>
          <w:i/>
          <w:sz w:val="24"/>
          <w:szCs w:val="24"/>
          <w:lang w:val="en-GB"/>
        </w:rPr>
        <w:t xml:space="preserve"> </w:t>
      </w:r>
      <w:r w:rsidRPr="00B17C11">
        <w:rPr>
          <w:rFonts w:ascii="Arial" w:hAnsi="Arial" w:cs="Arial"/>
          <w:sz w:val="24"/>
          <w:szCs w:val="24"/>
          <w:lang w:val="en-GB"/>
        </w:rPr>
        <w:t xml:space="preserve">severs the supply to evict the </w:t>
      </w:r>
      <w:proofErr w:type="spellStart"/>
      <w:r w:rsidRPr="00B17C11">
        <w:rPr>
          <w:rFonts w:ascii="Arial" w:hAnsi="Arial" w:cs="Arial"/>
          <w:i/>
          <w:sz w:val="24"/>
          <w:szCs w:val="24"/>
          <w:lang w:val="en-GB"/>
        </w:rPr>
        <w:t>spoliatus</w:t>
      </w:r>
      <w:proofErr w:type="spellEnd"/>
      <w:r w:rsidRPr="00B17C11">
        <w:rPr>
          <w:rFonts w:ascii="Arial" w:hAnsi="Arial" w:cs="Arial"/>
          <w:sz w:val="24"/>
          <w:szCs w:val="24"/>
          <w:lang w:val="en-GB"/>
        </w:rPr>
        <w:t xml:space="preserve"> without following a due legal process.</w:t>
      </w:r>
      <w:r w:rsidRPr="00B17C11">
        <w:rPr>
          <w:rStyle w:val="FootnoteReference"/>
          <w:rFonts w:ascii="Arial" w:hAnsi="Arial" w:cs="Arial"/>
          <w:sz w:val="24"/>
          <w:szCs w:val="24"/>
          <w:lang w:val="en-GB"/>
        </w:rPr>
        <w:footnoteReference w:id="39"/>
      </w:r>
    </w:p>
    <w:p w14:paraId="23C036C6" w14:textId="7D7E205E" w:rsidR="003338A4" w:rsidRPr="00B17C11" w:rsidRDefault="00537D4B" w:rsidP="003338A4">
      <w:pPr>
        <w:spacing w:before="240" w:line="360" w:lineRule="auto"/>
        <w:jc w:val="both"/>
        <w:rPr>
          <w:rFonts w:ascii="Arial" w:hAnsi="Arial" w:cs="Arial"/>
          <w:i/>
          <w:iCs/>
          <w:sz w:val="24"/>
          <w:szCs w:val="24"/>
          <w:lang w:val="en-GB"/>
        </w:rPr>
      </w:pPr>
      <w:r w:rsidRPr="00B17C11">
        <w:rPr>
          <w:rFonts w:ascii="Arial" w:hAnsi="Arial" w:cs="Arial"/>
          <w:sz w:val="24"/>
          <w:szCs w:val="24"/>
          <w:lang w:val="en-GB"/>
        </w:rPr>
        <w:t>Additionally, i</w:t>
      </w:r>
      <w:r w:rsidR="003338A4" w:rsidRPr="00B17C11">
        <w:rPr>
          <w:rFonts w:ascii="Arial" w:hAnsi="Arial" w:cs="Arial"/>
          <w:sz w:val="24"/>
          <w:szCs w:val="24"/>
          <w:lang w:val="en-GB"/>
        </w:rPr>
        <w:t>n</w:t>
      </w:r>
      <w:r w:rsidR="003338A4" w:rsidRPr="00B17C11">
        <w:rPr>
          <w:rFonts w:ascii="Arial" w:hAnsi="Arial" w:cs="Arial"/>
          <w:i/>
          <w:sz w:val="24"/>
          <w:szCs w:val="24"/>
          <w:lang w:val="en-GB"/>
        </w:rPr>
        <w:t xml:space="preserve"> </w:t>
      </w:r>
      <w:proofErr w:type="spellStart"/>
      <w:r w:rsidR="003338A4" w:rsidRPr="00B17C11">
        <w:rPr>
          <w:rFonts w:ascii="Arial" w:hAnsi="Arial" w:cs="Arial"/>
          <w:i/>
          <w:sz w:val="24"/>
          <w:szCs w:val="24"/>
          <w:lang w:val="en-GB"/>
        </w:rPr>
        <w:t>Lateovista</w:t>
      </w:r>
      <w:proofErr w:type="spellEnd"/>
      <w:r w:rsidR="003338A4" w:rsidRPr="00B17C11">
        <w:rPr>
          <w:rFonts w:ascii="Arial" w:hAnsi="Arial" w:cs="Arial"/>
          <w:i/>
          <w:sz w:val="24"/>
          <w:szCs w:val="24"/>
          <w:lang w:val="en-GB"/>
        </w:rPr>
        <w:t xml:space="preserve"> </w:t>
      </w:r>
      <w:r w:rsidR="003338A4" w:rsidRPr="00B17C11">
        <w:rPr>
          <w:rFonts w:ascii="Arial" w:hAnsi="Arial" w:cs="Arial"/>
          <w:i/>
          <w:sz w:val="24"/>
          <w:szCs w:val="24"/>
          <w:shd w:val="clear" w:color="auto" w:fill="FFFFFF"/>
        </w:rPr>
        <w:t>(Pty) Ltd v Ekurhuleni Metropolitan Municipality</w:t>
      </w:r>
      <w:r w:rsidR="003338A4" w:rsidRPr="00B17C11">
        <w:rPr>
          <w:rFonts w:ascii="Arial" w:hAnsi="Arial" w:cs="Arial"/>
          <w:sz w:val="24"/>
          <w:szCs w:val="24"/>
          <w:lang w:val="en-GB"/>
        </w:rPr>
        <w:t xml:space="preserve">, the court held that the City did not intend to evict applicants by cutting off the electricity supply </w:t>
      </w:r>
      <w:r w:rsidR="003338A4" w:rsidRPr="00B17C11">
        <w:rPr>
          <w:rFonts w:ascii="Arial" w:hAnsi="Arial" w:cs="Arial"/>
          <w:sz w:val="24"/>
          <w:szCs w:val="24"/>
          <w:lang w:val="en-GB"/>
        </w:rPr>
        <w:lastRenderedPageBreak/>
        <w:t>and had no commercial or legal interest in evicting them.</w:t>
      </w:r>
      <w:r w:rsidR="003338A4" w:rsidRPr="00B17C11">
        <w:rPr>
          <w:rStyle w:val="FootnoteReference"/>
          <w:rFonts w:ascii="Arial" w:hAnsi="Arial" w:cs="Arial"/>
          <w:sz w:val="24"/>
          <w:szCs w:val="24"/>
          <w:lang w:val="en-GB"/>
        </w:rPr>
        <w:footnoteReference w:id="40"/>
      </w:r>
      <w:r w:rsidR="003338A4" w:rsidRPr="00B17C11">
        <w:rPr>
          <w:rFonts w:ascii="Arial" w:hAnsi="Arial" w:cs="Arial"/>
          <w:sz w:val="24"/>
          <w:szCs w:val="24"/>
          <w:lang w:val="en-GB"/>
        </w:rPr>
        <w:t xml:space="preserve"> It was further held that the applicants could not claim an incidental right as they did not even have a personal right against the City in terms of the contract because the contract was between the City and the landlord.</w:t>
      </w:r>
      <w:r w:rsidR="00C87A35">
        <w:rPr>
          <w:rFonts w:ascii="Arial" w:hAnsi="Arial" w:cs="Arial"/>
          <w:sz w:val="24"/>
          <w:szCs w:val="24"/>
          <w:lang w:val="en-GB"/>
        </w:rPr>
        <w:t xml:space="preserve"> </w:t>
      </w:r>
      <w:r w:rsidR="003338A4" w:rsidRPr="00B17C11">
        <w:rPr>
          <w:rStyle w:val="FootnoteReference"/>
          <w:rFonts w:ascii="Arial" w:hAnsi="Arial" w:cs="Arial"/>
          <w:sz w:val="24"/>
          <w:szCs w:val="24"/>
          <w:lang w:val="en-GB"/>
        </w:rPr>
        <w:footnoteReference w:id="41"/>
      </w:r>
      <w:r w:rsidR="003338A4" w:rsidRPr="00B17C11">
        <w:rPr>
          <w:rFonts w:ascii="Arial" w:hAnsi="Arial" w:cs="Arial"/>
          <w:sz w:val="24"/>
          <w:szCs w:val="24"/>
          <w:lang w:val="en-GB"/>
        </w:rPr>
        <w:t xml:space="preserve"> The problem here is that when the City cuts off the electricity supply because the landlord is in arrears, the residents are left without recourse and are excluded from the benefits of instituting the</w:t>
      </w:r>
      <w:r w:rsidR="006E6E99" w:rsidRPr="00B17C11">
        <w:rPr>
          <w:rFonts w:ascii="Arial" w:hAnsi="Arial" w:cs="Arial"/>
          <w:sz w:val="24"/>
          <w:szCs w:val="24"/>
          <w:lang w:val="en-GB"/>
        </w:rPr>
        <w:t xml:space="preserve"> spoliation remedy.</w:t>
      </w:r>
    </w:p>
    <w:p w14:paraId="20020C78" w14:textId="376D48DF" w:rsidR="003338A4" w:rsidRPr="00B17C11" w:rsidRDefault="003338A4" w:rsidP="003338A4">
      <w:pPr>
        <w:spacing w:before="240" w:line="360" w:lineRule="auto"/>
        <w:jc w:val="both"/>
        <w:rPr>
          <w:rFonts w:ascii="Arial" w:hAnsi="Arial" w:cs="Arial"/>
          <w:sz w:val="24"/>
          <w:szCs w:val="24"/>
          <w:lang w:val="en-GB"/>
        </w:rPr>
      </w:pPr>
      <w:r w:rsidRPr="00B17C11">
        <w:rPr>
          <w:rFonts w:ascii="Arial" w:hAnsi="Arial" w:cs="Arial"/>
          <w:sz w:val="24"/>
          <w:szCs w:val="24"/>
          <w:lang w:val="en-GB"/>
        </w:rPr>
        <w:t xml:space="preserve">From the above, in cases such as </w:t>
      </w:r>
      <w:r w:rsidRPr="00B17C11">
        <w:rPr>
          <w:rFonts w:ascii="Arial" w:hAnsi="Arial" w:cs="Arial"/>
          <w:i/>
          <w:sz w:val="24"/>
          <w:szCs w:val="24"/>
          <w:lang w:val="en-GB"/>
        </w:rPr>
        <w:t>Masinda</w:t>
      </w:r>
      <w:r w:rsidRPr="00B17C11">
        <w:rPr>
          <w:rFonts w:ascii="Arial" w:hAnsi="Arial" w:cs="Arial"/>
          <w:sz w:val="24"/>
          <w:szCs w:val="24"/>
          <w:lang w:val="en-GB"/>
        </w:rPr>
        <w:t xml:space="preserve"> and</w:t>
      </w:r>
      <w:r w:rsidRPr="00B17C11">
        <w:rPr>
          <w:rFonts w:ascii="Arial" w:hAnsi="Arial" w:cs="Arial"/>
          <w:i/>
          <w:sz w:val="24"/>
          <w:szCs w:val="24"/>
          <w:lang w:val="en-GB"/>
        </w:rPr>
        <w:t xml:space="preserve"> </w:t>
      </w:r>
      <w:proofErr w:type="spellStart"/>
      <w:r w:rsidRPr="00B17C11">
        <w:rPr>
          <w:rFonts w:ascii="Arial" w:hAnsi="Arial" w:cs="Arial"/>
          <w:i/>
          <w:sz w:val="24"/>
          <w:szCs w:val="24"/>
          <w:lang w:val="en-GB"/>
        </w:rPr>
        <w:t>Lateovista</w:t>
      </w:r>
      <w:proofErr w:type="spellEnd"/>
      <w:r w:rsidRPr="00B17C11">
        <w:rPr>
          <w:rFonts w:ascii="Arial" w:hAnsi="Arial" w:cs="Arial"/>
          <w:sz w:val="24"/>
          <w:szCs w:val="24"/>
          <w:lang w:val="en-GB"/>
        </w:rPr>
        <w:t>, the court</w:t>
      </w:r>
      <w:r w:rsidR="00595CE3" w:rsidRPr="00B17C11">
        <w:rPr>
          <w:rFonts w:ascii="Arial" w:hAnsi="Arial" w:cs="Arial"/>
          <w:sz w:val="24"/>
          <w:szCs w:val="24"/>
          <w:lang w:val="en-GB"/>
        </w:rPr>
        <w:t>s</w:t>
      </w:r>
      <w:r w:rsidRPr="00B17C11">
        <w:rPr>
          <w:rFonts w:ascii="Arial" w:hAnsi="Arial" w:cs="Arial"/>
          <w:sz w:val="24"/>
          <w:szCs w:val="24"/>
          <w:lang w:val="en-GB"/>
        </w:rPr>
        <w:t xml:space="preserve"> </w:t>
      </w:r>
      <w:r w:rsidR="00C608FC" w:rsidRPr="00B17C11">
        <w:rPr>
          <w:rFonts w:ascii="Arial" w:hAnsi="Arial" w:cs="Arial"/>
          <w:sz w:val="24"/>
          <w:szCs w:val="24"/>
          <w:lang w:val="en-GB"/>
        </w:rPr>
        <w:t xml:space="preserve">appear to </w:t>
      </w:r>
      <w:r w:rsidRPr="00B17C11">
        <w:rPr>
          <w:rFonts w:ascii="Arial" w:hAnsi="Arial" w:cs="Arial"/>
          <w:sz w:val="24"/>
          <w:szCs w:val="24"/>
          <w:lang w:val="en-GB"/>
        </w:rPr>
        <w:t>ignore</w:t>
      </w:r>
      <w:r w:rsidR="00C608FC" w:rsidRPr="00B17C11">
        <w:rPr>
          <w:rFonts w:ascii="Arial" w:hAnsi="Arial" w:cs="Arial"/>
          <w:sz w:val="24"/>
          <w:szCs w:val="24"/>
          <w:lang w:val="en-GB"/>
        </w:rPr>
        <w:t xml:space="preserve"> </w:t>
      </w:r>
      <w:r w:rsidRPr="00B17C11">
        <w:rPr>
          <w:rFonts w:ascii="Arial" w:hAnsi="Arial" w:cs="Arial"/>
          <w:sz w:val="24"/>
          <w:szCs w:val="24"/>
          <w:lang w:val="en-GB"/>
        </w:rPr>
        <w:t>the peacekeeping function of the spoliation remedy</w:t>
      </w:r>
      <w:r w:rsidR="002668E2" w:rsidRPr="00B17C11">
        <w:rPr>
          <w:rFonts w:ascii="Arial" w:hAnsi="Arial" w:cs="Arial"/>
          <w:sz w:val="24"/>
          <w:szCs w:val="24"/>
          <w:lang w:val="en-GB"/>
        </w:rPr>
        <w:t xml:space="preserve"> </w:t>
      </w:r>
      <w:r w:rsidR="00451115" w:rsidRPr="00B17C11">
        <w:rPr>
          <w:rFonts w:ascii="Arial" w:hAnsi="Arial" w:cs="Arial"/>
          <w:sz w:val="24"/>
          <w:szCs w:val="24"/>
          <w:lang w:val="en-GB"/>
        </w:rPr>
        <w:t>because of the limi</w:t>
      </w:r>
      <w:r w:rsidR="00323BE9" w:rsidRPr="00B17C11">
        <w:rPr>
          <w:rFonts w:ascii="Arial" w:hAnsi="Arial" w:cs="Arial"/>
          <w:sz w:val="24"/>
          <w:szCs w:val="24"/>
          <w:lang w:val="en-GB"/>
        </w:rPr>
        <w:t>ts set by the interpretation of an incident of possession requirement</w:t>
      </w:r>
      <w:r w:rsidRPr="00B17C11">
        <w:rPr>
          <w:rFonts w:ascii="Arial" w:hAnsi="Arial" w:cs="Arial"/>
          <w:sz w:val="24"/>
          <w:szCs w:val="24"/>
          <w:lang w:val="en-GB"/>
        </w:rPr>
        <w:t>. This is apparent from the view that a spoliation remedy is not available if the person alleged to be responsible for providing services, for example, Eskom, First Rand, Telkom, and the Irrigation Board, was not the person who granted the alleged right to occupy premises to which the service was supplied and had no interest in the possession of the property.</w:t>
      </w:r>
      <w:r w:rsidRPr="00B17C11">
        <w:rPr>
          <w:rStyle w:val="FootnoteReference"/>
          <w:rFonts w:ascii="Arial" w:hAnsi="Arial" w:cs="Arial"/>
          <w:sz w:val="24"/>
          <w:szCs w:val="24"/>
          <w:lang w:val="en-GB"/>
        </w:rPr>
        <w:footnoteReference w:id="42"/>
      </w:r>
      <w:r w:rsidRPr="00B17C11">
        <w:rPr>
          <w:rFonts w:ascii="Arial" w:hAnsi="Arial" w:cs="Arial"/>
          <w:sz w:val="24"/>
          <w:szCs w:val="24"/>
          <w:lang w:val="en-GB"/>
        </w:rPr>
        <w:t xml:space="preserve"> </w:t>
      </w:r>
      <w:r w:rsidR="0047711D" w:rsidRPr="00B17C11">
        <w:rPr>
          <w:rFonts w:ascii="Arial" w:hAnsi="Arial" w:cs="Arial"/>
          <w:sz w:val="24"/>
          <w:szCs w:val="24"/>
          <w:lang w:val="en-GB"/>
        </w:rPr>
        <w:t>T</w:t>
      </w:r>
      <w:r w:rsidRPr="00B17C11">
        <w:rPr>
          <w:rFonts w:ascii="Arial" w:hAnsi="Arial" w:cs="Arial"/>
          <w:sz w:val="24"/>
          <w:szCs w:val="24"/>
          <w:lang w:val="en-GB"/>
        </w:rPr>
        <w:t xml:space="preserve">his </w:t>
      </w:r>
      <w:r w:rsidR="0077749D" w:rsidRPr="00B17C11">
        <w:rPr>
          <w:rFonts w:ascii="Arial" w:hAnsi="Arial" w:cs="Arial"/>
          <w:sz w:val="24"/>
          <w:szCs w:val="24"/>
          <w:lang w:val="en-GB"/>
        </w:rPr>
        <w:t xml:space="preserve">interpretation </w:t>
      </w:r>
      <w:r w:rsidRPr="00B17C11">
        <w:rPr>
          <w:rFonts w:ascii="Arial" w:hAnsi="Arial" w:cs="Arial"/>
          <w:sz w:val="24"/>
          <w:szCs w:val="24"/>
          <w:lang w:val="en-GB"/>
        </w:rPr>
        <w:t xml:space="preserve">implies that unless the spoliation remedy is developed to extend to cases where service providers </w:t>
      </w:r>
      <w:r w:rsidR="006B7C24" w:rsidRPr="00B17C11">
        <w:rPr>
          <w:rFonts w:ascii="Arial" w:hAnsi="Arial" w:cs="Arial"/>
          <w:sz w:val="24"/>
          <w:szCs w:val="24"/>
          <w:lang w:val="en-GB"/>
        </w:rPr>
        <w:t xml:space="preserve">commit acts of self-help </w:t>
      </w:r>
      <w:r w:rsidR="00294A4B" w:rsidRPr="00B17C11">
        <w:rPr>
          <w:rFonts w:ascii="Arial" w:hAnsi="Arial" w:cs="Arial"/>
          <w:sz w:val="24"/>
          <w:szCs w:val="24"/>
          <w:lang w:val="en-GB"/>
        </w:rPr>
        <w:t xml:space="preserve">by </w:t>
      </w:r>
      <w:r w:rsidRPr="00B17C11">
        <w:rPr>
          <w:rFonts w:ascii="Arial" w:hAnsi="Arial" w:cs="Arial"/>
          <w:sz w:val="24"/>
          <w:szCs w:val="24"/>
          <w:lang w:val="en-GB"/>
        </w:rPr>
        <w:t xml:space="preserve">unlawfully </w:t>
      </w:r>
      <w:r w:rsidR="00294A4B" w:rsidRPr="00B17C11">
        <w:rPr>
          <w:rFonts w:ascii="Arial" w:hAnsi="Arial" w:cs="Arial"/>
          <w:sz w:val="24"/>
          <w:szCs w:val="24"/>
          <w:lang w:val="en-GB"/>
        </w:rPr>
        <w:t>discontinuing</w:t>
      </w:r>
      <w:r w:rsidRPr="00B17C11">
        <w:rPr>
          <w:rFonts w:ascii="Arial" w:hAnsi="Arial" w:cs="Arial"/>
          <w:sz w:val="24"/>
          <w:szCs w:val="24"/>
          <w:lang w:val="en-GB"/>
        </w:rPr>
        <w:t xml:space="preserve"> the supply of services without following the due legal process, then the spoliation remedy cannot fully serve its function of restoring peaceful and undisturbed possession, as well as the maintenance of law and order.</w:t>
      </w:r>
    </w:p>
    <w:p w14:paraId="31121B8F" w14:textId="14F69BCD" w:rsidR="009053C6" w:rsidRPr="00B17C11" w:rsidRDefault="004B7BC9" w:rsidP="009053C6">
      <w:pPr>
        <w:spacing w:before="240" w:line="360" w:lineRule="auto"/>
        <w:jc w:val="both"/>
        <w:rPr>
          <w:rFonts w:ascii="Arial" w:hAnsi="Arial" w:cs="Arial"/>
          <w:sz w:val="24"/>
          <w:szCs w:val="24"/>
          <w:lang w:val="en-GB"/>
        </w:rPr>
      </w:pPr>
      <w:r w:rsidRPr="00B17C11">
        <w:rPr>
          <w:rFonts w:ascii="Arial" w:hAnsi="Arial" w:cs="Arial"/>
          <w:sz w:val="24"/>
          <w:szCs w:val="24"/>
          <w:lang w:val="en-GB"/>
        </w:rPr>
        <w:t>T</w:t>
      </w:r>
      <w:r w:rsidR="009053C6" w:rsidRPr="00B17C11">
        <w:rPr>
          <w:rFonts w:ascii="Arial" w:hAnsi="Arial" w:cs="Arial"/>
          <w:sz w:val="24"/>
          <w:szCs w:val="24"/>
          <w:lang w:val="en-GB"/>
        </w:rPr>
        <w:t xml:space="preserve">his </w:t>
      </w:r>
      <w:r w:rsidR="00366B3E" w:rsidRPr="00B17C11">
        <w:rPr>
          <w:rFonts w:ascii="Arial" w:hAnsi="Arial" w:cs="Arial"/>
          <w:sz w:val="24"/>
          <w:szCs w:val="24"/>
          <w:lang w:val="en-GB"/>
        </w:rPr>
        <w:t>mini-</w:t>
      </w:r>
      <w:r w:rsidR="009053C6" w:rsidRPr="00B17C11">
        <w:rPr>
          <w:rFonts w:ascii="Arial" w:hAnsi="Arial" w:cs="Arial"/>
          <w:sz w:val="24"/>
          <w:szCs w:val="24"/>
          <w:lang w:val="en-GB"/>
        </w:rPr>
        <w:t xml:space="preserve">dissertation will investigate whether the extension of the spoliation remedy to instances where the </w:t>
      </w:r>
      <w:r w:rsidR="009053C6" w:rsidRPr="00B17C11">
        <w:rPr>
          <w:rFonts w:ascii="Arial" w:hAnsi="Arial" w:cs="Arial"/>
          <w:iCs/>
          <w:sz w:val="24"/>
          <w:szCs w:val="24"/>
          <w:lang w:val="en-GB"/>
        </w:rPr>
        <w:t>spoliator</w:t>
      </w:r>
      <w:r w:rsidR="009053C6" w:rsidRPr="00B17C11">
        <w:rPr>
          <w:rFonts w:ascii="Arial" w:hAnsi="Arial" w:cs="Arial"/>
          <w:i/>
          <w:sz w:val="24"/>
          <w:szCs w:val="24"/>
          <w:lang w:val="en-GB"/>
        </w:rPr>
        <w:t xml:space="preserve"> </w:t>
      </w:r>
      <w:r w:rsidR="009053C6" w:rsidRPr="00B17C11">
        <w:rPr>
          <w:rFonts w:ascii="Arial" w:hAnsi="Arial" w:cs="Arial"/>
          <w:sz w:val="24"/>
          <w:szCs w:val="24"/>
          <w:lang w:val="en-GB"/>
        </w:rPr>
        <w:t xml:space="preserve">is not the landlord or building owner is possible in terms of common law principles, case law, and constitutional values. This will ensure that the spoliation remedy in the context of </w:t>
      </w:r>
      <w:r w:rsidR="009053C6" w:rsidRPr="00B17C11">
        <w:rPr>
          <w:rFonts w:ascii="Arial" w:hAnsi="Arial" w:cs="Arial"/>
          <w:i/>
          <w:iCs/>
          <w:sz w:val="24"/>
          <w:szCs w:val="24"/>
          <w:lang w:val="en-GB"/>
        </w:rPr>
        <w:t>quasi</w:t>
      </w:r>
      <w:r w:rsidR="009053C6" w:rsidRPr="00B17C11">
        <w:rPr>
          <w:rFonts w:ascii="Arial" w:hAnsi="Arial" w:cs="Arial"/>
          <w:sz w:val="24"/>
          <w:szCs w:val="24"/>
          <w:lang w:val="en-GB"/>
        </w:rPr>
        <w:t>-possession is not only limited to severance by the landlord but also includes municipalities and Eskom in cases where the law was not properly followed.</w:t>
      </w:r>
    </w:p>
    <w:p w14:paraId="72853449" w14:textId="77777777" w:rsidR="003243AF" w:rsidRPr="00B17C11" w:rsidRDefault="003243AF" w:rsidP="00A55D70">
      <w:pPr>
        <w:rPr>
          <w:shd w:val="clear" w:color="auto" w:fill="FFFFFF"/>
        </w:rPr>
      </w:pPr>
    </w:p>
    <w:p w14:paraId="22F656A7" w14:textId="3A65E815" w:rsidR="00F93AF9" w:rsidRPr="00B17C11" w:rsidRDefault="00F93AF9" w:rsidP="00A14E4D">
      <w:pPr>
        <w:pStyle w:val="Heading2"/>
        <w:rPr>
          <w:shd w:val="clear" w:color="auto" w:fill="FFFFFF"/>
        </w:rPr>
      </w:pPr>
      <w:bookmarkStart w:id="4" w:name="_Toc181339531"/>
      <w:r w:rsidRPr="00B17C11">
        <w:rPr>
          <w:shd w:val="clear" w:color="auto" w:fill="FFFFFF"/>
        </w:rPr>
        <w:t>1.3 Main Research Question</w:t>
      </w:r>
      <w:bookmarkEnd w:id="4"/>
    </w:p>
    <w:p w14:paraId="5F67058E" w14:textId="2F811B8F"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1.3.1 How did the application of the </w:t>
      </w:r>
      <w:r w:rsidR="001353FF" w:rsidRPr="00B17C11">
        <w:rPr>
          <w:rFonts w:ascii="Arial" w:hAnsi="Arial" w:cs="Arial"/>
          <w:sz w:val="24"/>
          <w:szCs w:val="24"/>
          <w:shd w:val="clear" w:color="auto" w:fill="FFFFFF"/>
        </w:rPr>
        <w:t xml:space="preserve">spoliation </w:t>
      </w:r>
      <w:r w:rsidRPr="00B17C11">
        <w:rPr>
          <w:rFonts w:ascii="Arial" w:hAnsi="Arial" w:cs="Arial"/>
          <w:sz w:val="24"/>
          <w:szCs w:val="24"/>
          <w:shd w:val="clear" w:color="auto" w:fill="FFFFFF"/>
        </w:rPr>
        <w:t xml:space="preserve">remedy develop in the constitutional era with specific reference to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of water and electricity supply?</w:t>
      </w:r>
    </w:p>
    <w:p w14:paraId="0E4D0978" w14:textId="29FB9787"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1.3.</w:t>
      </w:r>
      <w:r w:rsidR="005B0918" w:rsidRPr="00B17C11">
        <w:rPr>
          <w:rFonts w:ascii="Arial" w:hAnsi="Arial" w:cs="Arial"/>
          <w:sz w:val="24"/>
          <w:szCs w:val="24"/>
          <w:shd w:val="clear" w:color="auto" w:fill="FFFFFF"/>
        </w:rPr>
        <w:t>2</w:t>
      </w:r>
      <w:r w:rsidRPr="00B17C11">
        <w:rPr>
          <w:rFonts w:ascii="Arial" w:hAnsi="Arial" w:cs="Arial"/>
          <w:sz w:val="24"/>
          <w:szCs w:val="24"/>
          <w:shd w:val="clear" w:color="auto" w:fill="FFFFFF"/>
        </w:rPr>
        <w:t xml:space="preserve"> Subsidiary Research Questions</w:t>
      </w:r>
    </w:p>
    <w:p w14:paraId="3C70F98A" w14:textId="070AFD2B"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1.3.</w:t>
      </w:r>
      <w:r w:rsidR="005B0918" w:rsidRPr="00B17C11">
        <w:rPr>
          <w:rFonts w:ascii="Arial" w:hAnsi="Arial" w:cs="Arial"/>
          <w:sz w:val="24"/>
          <w:szCs w:val="24"/>
          <w:shd w:val="clear" w:color="auto" w:fill="FFFFFF"/>
        </w:rPr>
        <w:t>2.1</w:t>
      </w:r>
      <w:r w:rsidRPr="00B17C11">
        <w:rPr>
          <w:rFonts w:ascii="Arial" w:hAnsi="Arial" w:cs="Arial"/>
          <w:sz w:val="24"/>
          <w:szCs w:val="24"/>
          <w:shd w:val="clear" w:color="auto" w:fill="FFFFFF"/>
        </w:rPr>
        <w:t xml:space="preserve"> What is the essence of the </w:t>
      </w:r>
      <w:r w:rsidR="007B2260" w:rsidRPr="00B17C11">
        <w:rPr>
          <w:rFonts w:ascii="Arial" w:hAnsi="Arial" w:cs="Arial"/>
          <w:sz w:val="24"/>
          <w:szCs w:val="24"/>
          <w:shd w:val="clear" w:color="auto" w:fill="FFFFFF"/>
        </w:rPr>
        <w:t>s</w:t>
      </w:r>
      <w:r w:rsidRPr="00B17C11">
        <w:rPr>
          <w:rFonts w:ascii="Arial" w:hAnsi="Arial" w:cs="Arial"/>
          <w:sz w:val="24"/>
          <w:szCs w:val="24"/>
          <w:shd w:val="clear" w:color="auto" w:fill="FFFFFF"/>
        </w:rPr>
        <w:t>poliation remedy?</w:t>
      </w:r>
    </w:p>
    <w:p w14:paraId="5521FEC5" w14:textId="3CF8E53B"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1.3.</w:t>
      </w:r>
      <w:r w:rsidR="005B0918" w:rsidRPr="00B17C11">
        <w:rPr>
          <w:rFonts w:ascii="Arial" w:hAnsi="Arial" w:cs="Arial"/>
          <w:sz w:val="24"/>
          <w:szCs w:val="24"/>
          <w:shd w:val="clear" w:color="auto" w:fill="FFFFFF"/>
        </w:rPr>
        <w:t>2.2</w:t>
      </w:r>
      <w:r w:rsidRPr="00B17C11">
        <w:rPr>
          <w:rFonts w:ascii="Arial" w:hAnsi="Arial" w:cs="Arial"/>
          <w:sz w:val="24"/>
          <w:szCs w:val="24"/>
          <w:shd w:val="clear" w:color="auto" w:fill="FFFFFF"/>
        </w:rPr>
        <w:t xml:space="preserve"> What is meant by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t>
      </w:r>
      <w:proofErr w:type="spellStart"/>
      <w:r w:rsidRPr="00B17C11">
        <w:rPr>
          <w:rFonts w:ascii="Arial" w:hAnsi="Arial" w:cs="Arial"/>
          <w:sz w:val="24"/>
          <w:szCs w:val="24"/>
          <w:shd w:val="clear" w:color="auto" w:fill="FFFFFF"/>
        </w:rPr>
        <w:t>incorporeals</w:t>
      </w:r>
      <w:proofErr w:type="spellEnd"/>
      <w:r w:rsidR="003E18E4"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how has </w:t>
      </w:r>
      <w:r w:rsidR="003E18E4" w:rsidRPr="00B17C11">
        <w:rPr>
          <w:rFonts w:ascii="Arial" w:hAnsi="Arial" w:cs="Arial"/>
          <w:sz w:val="24"/>
          <w:szCs w:val="24"/>
          <w:shd w:val="clear" w:color="auto" w:fill="FFFFFF"/>
        </w:rPr>
        <w:t>the spoliation remedy protected it</w:t>
      </w:r>
      <w:r w:rsidRPr="00B17C11">
        <w:rPr>
          <w:rFonts w:ascii="Arial" w:hAnsi="Arial" w:cs="Arial"/>
          <w:sz w:val="24"/>
          <w:szCs w:val="24"/>
          <w:shd w:val="clear" w:color="auto" w:fill="FFFFFF"/>
        </w:rPr>
        <w:t>?</w:t>
      </w:r>
    </w:p>
    <w:p w14:paraId="1437AB07" w14:textId="2E011CDF"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1.3.</w:t>
      </w:r>
      <w:r w:rsidR="005B0918" w:rsidRPr="00B17C11">
        <w:rPr>
          <w:rFonts w:ascii="Arial" w:hAnsi="Arial" w:cs="Arial"/>
          <w:sz w:val="24"/>
          <w:szCs w:val="24"/>
          <w:shd w:val="clear" w:color="auto" w:fill="FFFFFF"/>
        </w:rPr>
        <w:t>2.3</w:t>
      </w:r>
      <w:r w:rsidRPr="00B17C11">
        <w:rPr>
          <w:rFonts w:ascii="Arial" w:hAnsi="Arial" w:cs="Arial"/>
          <w:sz w:val="24"/>
          <w:szCs w:val="24"/>
          <w:shd w:val="clear" w:color="auto" w:fill="FFFFFF"/>
        </w:rPr>
        <w:t xml:space="preserve"> How did the application of the </w:t>
      </w:r>
      <w:r w:rsidR="007B2260" w:rsidRPr="00B17C11">
        <w:rPr>
          <w:rFonts w:ascii="Arial" w:hAnsi="Arial" w:cs="Arial"/>
          <w:sz w:val="24"/>
          <w:szCs w:val="24"/>
          <w:shd w:val="clear" w:color="auto" w:fill="FFFFFF"/>
        </w:rPr>
        <w:t>s</w:t>
      </w:r>
      <w:r w:rsidRPr="00B17C11">
        <w:rPr>
          <w:rFonts w:ascii="Arial" w:hAnsi="Arial" w:cs="Arial"/>
          <w:sz w:val="24"/>
          <w:szCs w:val="24"/>
          <w:shd w:val="clear" w:color="auto" w:fill="FFFFFF"/>
        </w:rPr>
        <w:t xml:space="preserve">poliation remedy </w:t>
      </w:r>
      <w:r w:rsidR="00366B3E" w:rsidRPr="00B17C11">
        <w:rPr>
          <w:rFonts w:ascii="Arial" w:hAnsi="Arial" w:cs="Arial"/>
          <w:sz w:val="24"/>
          <w:szCs w:val="24"/>
          <w:shd w:val="clear" w:color="auto" w:fill="FFFFFF"/>
        </w:rPr>
        <w:t>pertaining to</w:t>
      </w:r>
      <w:r w:rsidRPr="00B17C11">
        <w:rPr>
          <w:rFonts w:ascii="Arial" w:hAnsi="Arial" w:cs="Arial"/>
          <w:sz w:val="24"/>
          <w:szCs w:val="24"/>
          <w:shd w:val="clear" w:color="auto" w:fill="FFFFFF"/>
        </w:rPr>
        <w:t xml:space="preserve"> the use of electricity and water develop after the implementation of the </w:t>
      </w:r>
      <w:r w:rsidRPr="00B17C11">
        <w:rPr>
          <w:rFonts w:ascii="Arial" w:hAnsi="Arial" w:cs="Arial"/>
          <w:i/>
          <w:iCs/>
          <w:sz w:val="24"/>
          <w:szCs w:val="24"/>
          <w:shd w:val="clear" w:color="auto" w:fill="FFFFFF"/>
        </w:rPr>
        <w:t>Constitution</w:t>
      </w:r>
      <w:r w:rsidRPr="00B17C11">
        <w:rPr>
          <w:rFonts w:ascii="Arial" w:hAnsi="Arial" w:cs="Arial"/>
          <w:sz w:val="24"/>
          <w:szCs w:val="24"/>
          <w:shd w:val="clear" w:color="auto" w:fill="FFFFFF"/>
        </w:rPr>
        <w:t>?</w:t>
      </w:r>
    </w:p>
    <w:p w14:paraId="5CF452F2" w14:textId="77777777" w:rsidR="0090339A" w:rsidRPr="00B17C11" w:rsidRDefault="0090339A" w:rsidP="00F93AF9">
      <w:pPr>
        <w:spacing w:before="240" w:line="360" w:lineRule="auto"/>
        <w:jc w:val="both"/>
        <w:rPr>
          <w:rFonts w:ascii="Arial" w:hAnsi="Arial" w:cs="Arial"/>
          <w:sz w:val="24"/>
          <w:szCs w:val="24"/>
          <w:shd w:val="clear" w:color="auto" w:fill="FFFFFF"/>
        </w:rPr>
      </w:pPr>
    </w:p>
    <w:p w14:paraId="36A8EEC1" w14:textId="7B366195" w:rsidR="00F93AF9" w:rsidRPr="00B17C11" w:rsidRDefault="00F93AF9" w:rsidP="00A14E4D">
      <w:pPr>
        <w:pStyle w:val="Heading2"/>
        <w:rPr>
          <w:shd w:val="clear" w:color="auto" w:fill="FFFFFF"/>
        </w:rPr>
      </w:pPr>
      <w:bookmarkStart w:id="5" w:name="_Toc181339532"/>
      <w:r w:rsidRPr="00B17C11">
        <w:rPr>
          <w:shd w:val="clear" w:color="auto" w:fill="FFFFFF"/>
        </w:rPr>
        <w:t>1.4 Research Methodology</w:t>
      </w:r>
      <w:bookmarkEnd w:id="5"/>
    </w:p>
    <w:p w14:paraId="09DC3955" w14:textId="42B9CF5D"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research </w:t>
      </w:r>
      <w:r w:rsidR="003C707B" w:rsidRPr="00B17C11">
        <w:rPr>
          <w:rFonts w:ascii="Arial" w:hAnsi="Arial" w:cs="Arial"/>
          <w:sz w:val="24"/>
          <w:szCs w:val="24"/>
          <w:shd w:val="clear" w:color="auto" w:fill="FFFFFF"/>
        </w:rPr>
        <w:t xml:space="preserve">primarily </w:t>
      </w:r>
      <w:r w:rsidRPr="00B17C11">
        <w:rPr>
          <w:rFonts w:ascii="Arial" w:hAnsi="Arial" w:cs="Arial"/>
          <w:sz w:val="24"/>
          <w:szCs w:val="24"/>
          <w:shd w:val="clear" w:color="auto" w:fill="FFFFFF"/>
        </w:rPr>
        <w:t xml:space="preserve">employs qualitative literature. This means that it will be carried out through the analysis of literature comprising the study of case law, legislation, textbooks, academic articles, and legal doctrines on how the spoliation remedy has developed over time and how it is applied today. This research will further reflect on the influence of the </w:t>
      </w:r>
      <w:r w:rsidRPr="00B17C11">
        <w:rPr>
          <w:rFonts w:ascii="Arial" w:hAnsi="Arial" w:cs="Arial"/>
          <w:i/>
          <w:iCs/>
          <w:sz w:val="24"/>
          <w:szCs w:val="24"/>
          <w:shd w:val="clear" w:color="auto" w:fill="FFFFFF"/>
        </w:rPr>
        <w:t>Constitution</w:t>
      </w:r>
      <w:r w:rsidRPr="00B17C11">
        <w:rPr>
          <w:rFonts w:ascii="Arial" w:hAnsi="Arial" w:cs="Arial"/>
          <w:sz w:val="24"/>
          <w:szCs w:val="24"/>
          <w:shd w:val="clear" w:color="auto" w:fill="FFFFFF"/>
        </w:rPr>
        <w:t xml:space="preserve"> on the spoliation remedy and contemporary arguments in relation to its scope and application. However,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hapters </w:t>
      </w:r>
      <w:r w:rsidR="003C707B" w:rsidRPr="00B17C11">
        <w:rPr>
          <w:rFonts w:ascii="Arial" w:hAnsi="Arial" w:cs="Arial"/>
          <w:sz w:val="24"/>
          <w:szCs w:val="24"/>
          <w:shd w:val="clear" w:color="auto" w:fill="FFFFFF"/>
        </w:rPr>
        <w:t>t</w:t>
      </w:r>
      <w:r w:rsidR="008F059C" w:rsidRPr="00B17C11">
        <w:rPr>
          <w:rFonts w:ascii="Arial" w:hAnsi="Arial" w:cs="Arial"/>
          <w:sz w:val="24"/>
          <w:szCs w:val="24"/>
          <w:shd w:val="clear" w:color="auto" w:fill="FFFFFF"/>
        </w:rPr>
        <w:t>hree</w:t>
      </w:r>
      <w:r w:rsidRPr="00B17C11">
        <w:rPr>
          <w:rFonts w:ascii="Arial" w:hAnsi="Arial" w:cs="Arial"/>
          <w:sz w:val="24"/>
          <w:szCs w:val="24"/>
          <w:shd w:val="clear" w:color="auto" w:fill="FFFFFF"/>
        </w:rPr>
        <w:t xml:space="preserve"> and </w:t>
      </w:r>
      <w:r w:rsidR="003C707B" w:rsidRPr="00B17C11">
        <w:rPr>
          <w:rFonts w:ascii="Arial" w:hAnsi="Arial" w:cs="Arial"/>
          <w:sz w:val="24"/>
          <w:szCs w:val="24"/>
          <w:shd w:val="clear" w:color="auto" w:fill="FFFFFF"/>
        </w:rPr>
        <w:t>f</w:t>
      </w:r>
      <w:r w:rsidR="008F059C" w:rsidRPr="00B17C11">
        <w:rPr>
          <w:rFonts w:ascii="Arial" w:hAnsi="Arial" w:cs="Arial"/>
          <w:sz w:val="24"/>
          <w:szCs w:val="24"/>
          <w:shd w:val="clear" w:color="auto" w:fill="FFFFFF"/>
        </w:rPr>
        <w:t>our</w:t>
      </w:r>
      <w:r w:rsidRPr="00B17C11">
        <w:rPr>
          <w:rFonts w:ascii="Arial" w:hAnsi="Arial" w:cs="Arial"/>
          <w:sz w:val="24"/>
          <w:szCs w:val="24"/>
          <w:shd w:val="clear" w:color="auto" w:fill="FFFFFF"/>
        </w:rPr>
        <w:t xml:space="preserve"> will embrace the analytical study of existing concepts on </w:t>
      </w:r>
      <w:r w:rsidR="003E18E4" w:rsidRPr="00B17C11">
        <w:rPr>
          <w:rFonts w:ascii="Arial" w:hAnsi="Arial" w:cs="Arial"/>
          <w:sz w:val="24"/>
          <w:szCs w:val="24"/>
          <w:shd w:val="clear" w:color="auto" w:fill="FFFFFF"/>
        </w:rPr>
        <w:t xml:space="preserve">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t>
      </w:r>
      <w:proofErr w:type="spellStart"/>
      <w:r w:rsidRPr="00B17C11">
        <w:rPr>
          <w:rFonts w:ascii="Arial" w:hAnsi="Arial" w:cs="Arial"/>
          <w:sz w:val="24"/>
          <w:szCs w:val="24"/>
          <w:shd w:val="clear" w:color="auto" w:fill="FFFFFF"/>
        </w:rPr>
        <w:t>incorporeals</w:t>
      </w:r>
      <w:proofErr w:type="spellEnd"/>
      <w:r w:rsidRPr="00B17C11">
        <w:rPr>
          <w:rFonts w:ascii="Arial" w:hAnsi="Arial" w:cs="Arial"/>
          <w:sz w:val="24"/>
          <w:szCs w:val="24"/>
          <w:shd w:val="clear" w:color="auto" w:fill="FFFFFF"/>
        </w:rPr>
        <w:t>, particularly the disconnection of water and electricity supply</w:t>
      </w:r>
      <w:r w:rsidR="002146B4"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to find a more flexible context to realise the social function of the law in the overall promotion of justice.</w:t>
      </w:r>
    </w:p>
    <w:p w14:paraId="3705B899" w14:textId="77777777" w:rsidR="0090339A" w:rsidRPr="00B17C11" w:rsidRDefault="0090339A" w:rsidP="00F93AF9">
      <w:pPr>
        <w:spacing w:before="240" w:line="360" w:lineRule="auto"/>
        <w:jc w:val="both"/>
        <w:rPr>
          <w:rFonts w:ascii="Arial" w:hAnsi="Arial" w:cs="Arial"/>
          <w:sz w:val="24"/>
          <w:szCs w:val="24"/>
          <w:shd w:val="clear" w:color="auto" w:fill="FFFFFF"/>
        </w:rPr>
      </w:pPr>
    </w:p>
    <w:p w14:paraId="609035D6" w14:textId="77777777" w:rsidR="00F93AF9" w:rsidRPr="00B17C11" w:rsidRDefault="00F93AF9" w:rsidP="00A14E4D">
      <w:pPr>
        <w:pStyle w:val="Heading2"/>
        <w:rPr>
          <w:shd w:val="clear" w:color="auto" w:fill="FFFFFF"/>
        </w:rPr>
      </w:pPr>
      <w:bookmarkStart w:id="6" w:name="_Toc181339533"/>
      <w:r w:rsidRPr="00B17C11">
        <w:rPr>
          <w:shd w:val="clear" w:color="auto" w:fill="FFFFFF"/>
        </w:rPr>
        <w:t>1.5 Rationale</w:t>
      </w:r>
      <w:bookmarkEnd w:id="6"/>
    </w:p>
    <w:p w14:paraId="176E4948" w14:textId="6D550C0F"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research will investigate the theoretical basis of the spoliation remedy as well as how it has developed, especially regarding the protection of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t>
      </w:r>
      <w:proofErr w:type="spellStart"/>
      <w:r w:rsidRPr="00B17C11">
        <w:rPr>
          <w:rFonts w:ascii="Arial" w:hAnsi="Arial" w:cs="Arial"/>
          <w:sz w:val="24"/>
          <w:szCs w:val="24"/>
          <w:shd w:val="clear" w:color="auto" w:fill="FFFFFF"/>
        </w:rPr>
        <w:t>incorporeals</w:t>
      </w:r>
      <w:proofErr w:type="spellEnd"/>
      <w:r w:rsidRPr="00B17C11">
        <w:rPr>
          <w:rFonts w:ascii="Arial" w:hAnsi="Arial" w:cs="Arial"/>
          <w:sz w:val="24"/>
          <w:szCs w:val="24"/>
          <w:shd w:val="clear" w:color="auto" w:fill="FFFFFF"/>
        </w:rPr>
        <w:t xml:space="preserve">. This research aims to shed light on the application of the spoliation remedy with specific reference to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of water and electricity to bring more legal certainty in this area where case law does not provide it.</w:t>
      </w:r>
    </w:p>
    <w:p w14:paraId="442EBCFD" w14:textId="77777777" w:rsidR="0090339A" w:rsidRPr="00B17C11" w:rsidRDefault="0090339A" w:rsidP="00F93AF9">
      <w:pPr>
        <w:spacing w:before="240" w:line="360" w:lineRule="auto"/>
        <w:jc w:val="both"/>
        <w:rPr>
          <w:rFonts w:ascii="Arial" w:hAnsi="Arial" w:cs="Arial"/>
          <w:sz w:val="24"/>
          <w:szCs w:val="24"/>
          <w:shd w:val="clear" w:color="auto" w:fill="FFFFFF"/>
        </w:rPr>
      </w:pPr>
    </w:p>
    <w:p w14:paraId="7CFE1044" w14:textId="77777777" w:rsidR="00F93AF9" w:rsidRPr="00B17C11" w:rsidRDefault="00F93AF9" w:rsidP="00A14E4D">
      <w:pPr>
        <w:pStyle w:val="Heading2"/>
        <w:rPr>
          <w:shd w:val="clear" w:color="auto" w:fill="FFFFFF"/>
        </w:rPr>
      </w:pPr>
      <w:bookmarkStart w:id="7" w:name="_Toc181339534"/>
      <w:r w:rsidRPr="00B17C11">
        <w:rPr>
          <w:shd w:val="clear" w:color="auto" w:fill="FFFFFF"/>
        </w:rPr>
        <w:lastRenderedPageBreak/>
        <w:t>1.6 CHAPTER OUTLINE</w:t>
      </w:r>
      <w:bookmarkEnd w:id="7"/>
    </w:p>
    <w:p w14:paraId="39C2FAFD" w14:textId="7E450506"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dissertation consists of </w:t>
      </w:r>
      <w:r w:rsidR="002146B4" w:rsidRPr="00B17C11">
        <w:rPr>
          <w:rFonts w:ascii="Arial" w:hAnsi="Arial" w:cs="Arial"/>
          <w:sz w:val="24"/>
          <w:szCs w:val="24"/>
          <w:shd w:val="clear" w:color="auto" w:fill="FFFFFF"/>
        </w:rPr>
        <w:t xml:space="preserve">five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hapter</w:t>
      </w:r>
      <w:r w:rsidR="002146B4" w:rsidRPr="00B17C11">
        <w:rPr>
          <w:rFonts w:ascii="Arial" w:hAnsi="Arial" w:cs="Arial"/>
          <w:sz w:val="24"/>
          <w:szCs w:val="24"/>
          <w:shd w:val="clear" w:color="auto" w:fill="FFFFFF"/>
        </w:rPr>
        <w:t>s</w:t>
      </w:r>
      <w:r w:rsidRPr="00B17C11">
        <w:rPr>
          <w:rFonts w:ascii="Arial" w:hAnsi="Arial" w:cs="Arial"/>
          <w:sz w:val="24"/>
          <w:szCs w:val="24"/>
          <w:shd w:val="clear" w:color="auto" w:fill="FFFFFF"/>
        </w:rPr>
        <w:t xml:space="preserve">, including the current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 Chapter </w:t>
      </w:r>
      <w:r w:rsidR="003C707B" w:rsidRPr="00B17C11">
        <w:rPr>
          <w:rFonts w:ascii="Arial" w:hAnsi="Arial" w:cs="Arial"/>
          <w:sz w:val="24"/>
          <w:szCs w:val="24"/>
          <w:shd w:val="clear" w:color="auto" w:fill="FFFFFF"/>
        </w:rPr>
        <w:t>t</w:t>
      </w:r>
      <w:r w:rsidRPr="00B17C11">
        <w:rPr>
          <w:rFonts w:ascii="Arial" w:hAnsi="Arial" w:cs="Arial"/>
          <w:sz w:val="24"/>
          <w:szCs w:val="24"/>
          <w:shd w:val="clear" w:color="auto" w:fill="FFFFFF"/>
        </w:rPr>
        <w:t>wo will discuss the historical overview of the spoliation remedy to determine its main function and underlying philosophy</w:t>
      </w:r>
      <w:r w:rsidR="003C707B"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whether it serves to uphold the rule of law by discouraging acts of self-help or</w:t>
      </w:r>
      <w:r w:rsidR="00D46937"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 xml:space="preserve">to restore possession that was unlawfully dispossessed. This means that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 </w:t>
      </w:r>
      <w:r w:rsidR="003C707B" w:rsidRPr="00B17C11">
        <w:rPr>
          <w:rFonts w:ascii="Arial" w:hAnsi="Arial" w:cs="Arial"/>
          <w:sz w:val="24"/>
          <w:szCs w:val="24"/>
          <w:shd w:val="clear" w:color="auto" w:fill="FFFFFF"/>
        </w:rPr>
        <w:t>t</w:t>
      </w:r>
      <w:r w:rsidRPr="00B17C11">
        <w:rPr>
          <w:rFonts w:ascii="Arial" w:hAnsi="Arial" w:cs="Arial"/>
          <w:sz w:val="24"/>
          <w:szCs w:val="24"/>
          <w:shd w:val="clear" w:color="auto" w:fill="FFFFFF"/>
        </w:rPr>
        <w:t>wo will investigate how the spoliation remedy was received into South African law and how the courts have contributed towards its development and present application.</w:t>
      </w:r>
    </w:p>
    <w:p w14:paraId="0823802C" w14:textId="53DD5462"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Chapter </w:t>
      </w:r>
      <w:r w:rsidR="003C707B" w:rsidRPr="00B17C11">
        <w:rPr>
          <w:rFonts w:ascii="Arial" w:hAnsi="Arial" w:cs="Arial"/>
          <w:sz w:val="24"/>
          <w:szCs w:val="24"/>
          <w:shd w:val="clear" w:color="auto" w:fill="FFFFFF"/>
        </w:rPr>
        <w:t>t</w:t>
      </w:r>
      <w:r w:rsidRPr="00B17C11">
        <w:rPr>
          <w:rFonts w:ascii="Arial" w:hAnsi="Arial" w:cs="Arial"/>
          <w:sz w:val="24"/>
          <w:szCs w:val="24"/>
          <w:shd w:val="clear" w:color="auto" w:fill="FFFFFF"/>
        </w:rPr>
        <w:t xml:space="preserve">hree will discuss the development of the application of </w:t>
      </w:r>
      <w:r w:rsidR="003C707B" w:rsidRPr="00B17C11">
        <w:rPr>
          <w:rFonts w:ascii="Arial" w:hAnsi="Arial" w:cs="Arial"/>
          <w:sz w:val="24"/>
          <w:szCs w:val="24"/>
          <w:shd w:val="clear" w:color="auto" w:fill="FFFFFF"/>
        </w:rPr>
        <w:t xml:space="preserve">the </w:t>
      </w:r>
      <w:r w:rsidRPr="00B17C11">
        <w:rPr>
          <w:rFonts w:ascii="Arial" w:hAnsi="Arial" w:cs="Arial"/>
          <w:sz w:val="24"/>
          <w:szCs w:val="24"/>
          <w:shd w:val="clear" w:color="auto" w:fill="FFFFFF"/>
        </w:rPr>
        <w:t xml:space="preserve">spoliation remedy in the case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before the 1996 </w:t>
      </w:r>
      <w:r w:rsidRPr="00B17C11">
        <w:rPr>
          <w:rFonts w:ascii="Arial" w:hAnsi="Arial" w:cs="Arial"/>
          <w:i/>
          <w:iCs/>
          <w:sz w:val="24"/>
          <w:szCs w:val="24"/>
          <w:shd w:val="clear" w:color="auto" w:fill="FFFFFF"/>
        </w:rPr>
        <w:t>Constitution</w:t>
      </w:r>
      <w:r w:rsidRPr="00B17C11">
        <w:rPr>
          <w:rFonts w:ascii="Arial" w:hAnsi="Arial" w:cs="Arial"/>
          <w:sz w:val="24"/>
          <w:szCs w:val="24"/>
          <w:shd w:val="clear" w:color="auto" w:fill="FFFFFF"/>
        </w:rPr>
        <w:t xml:space="preserve">. It will narrow the scope of the spoliation remedy by focusing mainly on the concept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and how it was adopted into South Africa</w:t>
      </w:r>
      <w:r w:rsidR="006F6B80" w:rsidRPr="00B17C11">
        <w:rPr>
          <w:rFonts w:ascii="Arial" w:hAnsi="Arial" w:cs="Arial"/>
          <w:sz w:val="24"/>
          <w:szCs w:val="24"/>
          <w:shd w:val="clear" w:color="auto" w:fill="FFFFFF"/>
        </w:rPr>
        <w:t>n</w:t>
      </w:r>
      <w:r w:rsidRPr="00B17C11">
        <w:rPr>
          <w:rFonts w:ascii="Arial" w:hAnsi="Arial" w:cs="Arial"/>
          <w:sz w:val="24"/>
          <w:szCs w:val="24"/>
          <w:shd w:val="clear" w:color="auto" w:fill="FFFFFF"/>
        </w:rPr>
        <w:t xml:space="preserve"> law. This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 will further tackle what seems to be the major problem in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cases - the determination of the peaceful and undisturbed element of control in the case of </w:t>
      </w:r>
      <w:proofErr w:type="spellStart"/>
      <w:r w:rsidRPr="00B17C11">
        <w:rPr>
          <w:rFonts w:ascii="Arial" w:hAnsi="Arial" w:cs="Arial"/>
          <w:sz w:val="24"/>
          <w:szCs w:val="24"/>
          <w:shd w:val="clear" w:color="auto" w:fill="FFFFFF"/>
        </w:rPr>
        <w:t>incorporeals</w:t>
      </w:r>
      <w:proofErr w:type="spellEnd"/>
      <w:r w:rsidRPr="00B17C11">
        <w:rPr>
          <w:rFonts w:ascii="Arial" w:hAnsi="Arial" w:cs="Arial"/>
          <w:sz w:val="24"/>
          <w:szCs w:val="24"/>
          <w:shd w:val="clear" w:color="auto" w:fill="FFFFFF"/>
        </w:rPr>
        <w:t xml:space="preserve"> as well as the kind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rights protectable under the spoliation remedy.</w:t>
      </w:r>
    </w:p>
    <w:p w14:paraId="54F8DDAB" w14:textId="4F79A343" w:rsidR="00F93AF9" w:rsidRPr="00B17C11" w:rsidRDefault="00F93AF9" w:rsidP="00F93AF9">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Chapter </w:t>
      </w:r>
      <w:r w:rsidR="003C707B" w:rsidRPr="00B17C11">
        <w:rPr>
          <w:rFonts w:ascii="Arial" w:hAnsi="Arial" w:cs="Arial"/>
          <w:sz w:val="24"/>
          <w:szCs w:val="24"/>
          <w:shd w:val="clear" w:color="auto" w:fill="FFFFFF"/>
        </w:rPr>
        <w:t>f</w:t>
      </w:r>
      <w:r w:rsidRPr="00B17C11">
        <w:rPr>
          <w:rFonts w:ascii="Arial" w:hAnsi="Arial" w:cs="Arial"/>
          <w:sz w:val="24"/>
          <w:szCs w:val="24"/>
          <w:shd w:val="clear" w:color="auto" w:fill="FFFFFF"/>
        </w:rPr>
        <w:t xml:space="preserve">our will continue the theme set in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 </w:t>
      </w:r>
      <w:r w:rsidR="003C707B" w:rsidRPr="00B17C11">
        <w:rPr>
          <w:rFonts w:ascii="Arial" w:hAnsi="Arial" w:cs="Arial"/>
          <w:sz w:val="24"/>
          <w:szCs w:val="24"/>
          <w:shd w:val="clear" w:color="auto" w:fill="FFFFFF"/>
        </w:rPr>
        <w:t>t</w:t>
      </w:r>
      <w:r w:rsidRPr="00B17C11">
        <w:rPr>
          <w:rFonts w:ascii="Arial" w:hAnsi="Arial" w:cs="Arial"/>
          <w:sz w:val="24"/>
          <w:szCs w:val="24"/>
          <w:shd w:val="clear" w:color="auto" w:fill="FFFFFF"/>
        </w:rPr>
        <w:t>hree but with a specific focus on</w:t>
      </w:r>
      <w:r w:rsidR="003F6A9A" w:rsidRPr="00B17C11">
        <w:rPr>
          <w:rFonts w:ascii="Arial" w:hAnsi="Arial" w:cs="Arial"/>
          <w:sz w:val="24"/>
          <w:szCs w:val="24"/>
          <w:shd w:val="clear" w:color="auto" w:fill="FFFFFF"/>
        </w:rPr>
        <w:t xml:space="preserve"> the</w:t>
      </w:r>
      <w:r w:rsidRPr="00B17C11">
        <w:rPr>
          <w:rFonts w:ascii="Arial" w:hAnsi="Arial" w:cs="Arial"/>
          <w:sz w:val="24"/>
          <w:szCs w:val="24"/>
          <w:shd w:val="clear" w:color="auto" w:fill="FFFFFF"/>
        </w:rPr>
        <w:t xml:space="preserv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water and electricity supply after the 1996 </w:t>
      </w:r>
      <w:r w:rsidRPr="00B17C11">
        <w:rPr>
          <w:rFonts w:ascii="Arial" w:hAnsi="Arial" w:cs="Arial"/>
          <w:i/>
          <w:iCs/>
          <w:sz w:val="24"/>
          <w:szCs w:val="24"/>
          <w:shd w:val="clear" w:color="auto" w:fill="FFFFFF"/>
        </w:rPr>
        <w:t>Constitution</w:t>
      </w:r>
      <w:r w:rsidRPr="00B17C11">
        <w:rPr>
          <w:rFonts w:ascii="Arial" w:hAnsi="Arial" w:cs="Arial"/>
          <w:sz w:val="24"/>
          <w:szCs w:val="24"/>
          <w:shd w:val="clear" w:color="auto" w:fill="FFFFFF"/>
        </w:rPr>
        <w:t xml:space="preserve">. This </w:t>
      </w:r>
      <w:r w:rsidR="003C707B" w:rsidRPr="00B17C11">
        <w:rPr>
          <w:rFonts w:ascii="Arial" w:hAnsi="Arial" w:cs="Arial"/>
          <w:sz w:val="24"/>
          <w:szCs w:val="24"/>
          <w:shd w:val="clear" w:color="auto" w:fill="FFFFFF"/>
        </w:rPr>
        <w:t>c</w:t>
      </w:r>
      <w:r w:rsidRPr="00B17C11">
        <w:rPr>
          <w:rFonts w:ascii="Arial" w:hAnsi="Arial" w:cs="Arial"/>
          <w:sz w:val="24"/>
          <w:szCs w:val="24"/>
          <w:shd w:val="clear" w:color="auto" w:fill="FFFFFF"/>
        </w:rPr>
        <w:t>hapter will explore the implications of determining the nature of the</w:t>
      </w:r>
      <w:r w:rsidR="003C707B" w:rsidRPr="00B17C11">
        <w:rPr>
          <w:rFonts w:ascii="Arial" w:hAnsi="Arial" w:cs="Arial"/>
          <w:sz w:val="24"/>
          <w:szCs w:val="24"/>
          <w:shd w:val="clear" w:color="auto" w:fill="FFFFFF"/>
        </w:rPr>
        <w:t xml:space="preserve"> use</w:t>
      </w:r>
      <w:r w:rsidRPr="00B17C11">
        <w:rPr>
          <w:rFonts w:ascii="Arial" w:hAnsi="Arial" w:cs="Arial"/>
          <w:sz w:val="24"/>
          <w:szCs w:val="24"/>
          <w:shd w:val="clear" w:color="auto" w:fill="FFFFFF"/>
        </w:rPr>
        <w:t xml:space="preserve"> right to ensure that </w:t>
      </w:r>
      <w:r w:rsidR="003C707B" w:rsidRPr="00B17C11">
        <w:rPr>
          <w:rFonts w:ascii="Arial" w:hAnsi="Arial" w:cs="Arial"/>
          <w:sz w:val="24"/>
          <w:szCs w:val="24"/>
          <w:shd w:val="clear" w:color="auto" w:fill="FFFFFF"/>
        </w:rPr>
        <w:t>they</w:t>
      </w:r>
      <w:r w:rsidRPr="00B17C11">
        <w:rPr>
          <w:rFonts w:ascii="Arial" w:hAnsi="Arial" w:cs="Arial"/>
          <w:sz w:val="24"/>
          <w:szCs w:val="24"/>
          <w:shd w:val="clear" w:color="auto" w:fill="FFFFFF"/>
        </w:rPr>
        <w:t xml:space="preserve"> are not derived from</w:t>
      </w:r>
      <w:r w:rsidR="009F4FEF">
        <w:rPr>
          <w:rFonts w:ascii="Arial" w:hAnsi="Arial" w:cs="Arial"/>
          <w:sz w:val="24"/>
          <w:szCs w:val="24"/>
          <w:shd w:val="clear" w:color="auto" w:fill="FFFFFF"/>
        </w:rPr>
        <w:t xml:space="preserve"> </w:t>
      </w:r>
      <w:r w:rsidRPr="00B17C11">
        <w:rPr>
          <w:rFonts w:ascii="Arial" w:hAnsi="Arial" w:cs="Arial"/>
          <w:sz w:val="24"/>
          <w:szCs w:val="24"/>
          <w:shd w:val="clear" w:color="auto" w:fill="FFFFFF"/>
        </w:rPr>
        <w:t xml:space="preserve">contract and further consider the influence of the </w:t>
      </w:r>
      <w:r w:rsidR="00BF300B" w:rsidRPr="00B17C11">
        <w:rPr>
          <w:rFonts w:ascii="Arial" w:hAnsi="Arial" w:cs="Arial"/>
          <w:i/>
          <w:iCs/>
          <w:sz w:val="24"/>
          <w:szCs w:val="24"/>
          <w:shd w:val="clear" w:color="auto" w:fill="FFFFFF"/>
        </w:rPr>
        <w:t>Constitution</w:t>
      </w:r>
      <w:r w:rsidR="00BF300B"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 xml:space="preserve">on the application of the spoliation remedy as well as recent judgments on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of water and electricity supply.</w:t>
      </w:r>
    </w:p>
    <w:p w14:paraId="26B6B7C8" w14:textId="13F8B24D" w:rsidR="008F4AA6" w:rsidRPr="00B17C11" w:rsidRDefault="00F93AF9" w:rsidP="00050E1A">
      <w:pPr>
        <w:spacing w:before="24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Chapter </w:t>
      </w:r>
      <w:r w:rsidR="003C707B" w:rsidRPr="00B17C11">
        <w:rPr>
          <w:rFonts w:ascii="Arial" w:hAnsi="Arial" w:cs="Arial"/>
          <w:sz w:val="24"/>
          <w:szCs w:val="24"/>
          <w:shd w:val="clear" w:color="auto" w:fill="FFFFFF"/>
        </w:rPr>
        <w:t>f</w:t>
      </w:r>
      <w:r w:rsidRPr="00B17C11">
        <w:rPr>
          <w:rFonts w:ascii="Arial" w:hAnsi="Arial" w:cs="Arial"/>
          <w:sz w:val="24"/>
          <w:szCs w:val="24"/>
          <w:shd w:val="clear" w:color="auto" w:fill="FFFFFF"/>
        </w:rPr>
        <w:t xml:space="preserve">ive will conclude this research by </w:t>
      </w:r>
      <w:r w:rsidR="002324E3" w:rsidRPr="00B17C11">
        <w:rPr>
          <w:rFonts w:ascii="Arial" w:hAnsi="Arial" w:cs="Arial"/>
          <w:sz w:val="24"/>
          <w:szCs w:val="24"/>
          <w:shd w:val="clear" w:color="auto" w:fill="FFFFFF"/>
        </w:rPr>
        <w:t>providing recommendation</w:t>
      </w:r>
      <w:r w:rsidR="009B33F7" w:rsidRPr="00B17C11">
        <w:rPr>
          <w:rFonts w:ascii="Arial" w:hAnsi="Arial" w:cs="Arial"/>
          <w:sz w:val="24"/>
          <w:szCs w:val="24"/>
          <w:shd w:val="clear" w:color="auto" w:fill="FFFFFF"/>
        </w:rPr>
        <w:t>s on</w:t>
      </w:r>
      <w:r w:rsidR="002324E3"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existing problems</w:t>
      </w:r>
      <w:r w:rsidR="00357EE0" w:rsidRPr="00B17C11">
        <w:rPr>
          <w:rFonts w:ascii="Arial" w:hAnsi="Arial" w:cs="Arial"/>
          <w:sz w:val="24"/>
          <w:szCs w:val="24"/>
          <w:shd w:val="clear" w:color="auto" w:fill="FFFFFF"/>
        </w:rPr>
        <w:t xml:space="preserve"> </w:t>
      </w:r>
      <w:r w:rsidR="00680384" w:rsidRPr="00B17C11">
        <w:rPr>
          <w:rFonts w:ascii="Arial" w:hAnsi="Arial" w:cs="Arial"/>
          <w:sz w:val="24"/>
          <w:szCs w:val="24"/>
          <w:shd w:val="clear" w:color="auto" w:fill="FFFFFF"/>
        </w:rPr>
        <w:t>associated with applying</w:t>
      </w:r>
      <w:r w:rsidRPr="00B17C11">
        <w:rPr>
          <w:rFonts w:ascii="Arial" w:hAnsi="Arial" w:cs="Arial"/>
          <w:sz w:val="24"/>
          <w:szCs w:val="24"/>
          <w:shd w:val="clear" w:color="auto" w:fill="FFFFFF"/>
        </w:rPr>
        <w:t xml:space="preserve"> the spoliation remedy </w:t>
      </w:r>
      <w:r w:rsidR="00050E1A" w:rsidRPr="00B17C11">
        <w:rPr>
          <w:rFonts w:ascii="Arial" w:hAnsi="Arial" w:cs="Arial"/>
          <w:sz w:val="24"/>
          <w:szCs w:val="24"/>
          <w:shd w:val="clear" w:color="auto" w:fill="FFFFFF"/>
        </w:rPr>
        <w:t>to the</w:t>
      </w:r>
      <w:r w:rsidRPr="00B17C11">
        <w:rPr>
          <w:rFonts w:ascii="Arial" w:hAnsi="Arial" w:cs="Arial"/>
          <w:sz w:val="24"/>
          <w:szCs w:val="24"/>
          <w:shd w:val="clear" w:color="auto" w:fill="FFFFFF"/>
        </w:rPr>
        <w:t xml:space="preserv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of water and electricity supply.</w:t>
      </w:r>
    </w:p>
    <w:p w14:paraId="22AD4756" w14:textId="77777777" w:rsidR="004B01B5" w:rsidRPr="00B17C11" w:rsidRDefault="004B01B5" w:rsidP="00C72528">
      <w:pPr>
        <w:spacing w:line="360" w:lineRule="auto"/>
        <w:jc w:val="both"/>
        <w:rPr>
          <w:rFonts w:ascii="Arial" w:hAnsi="Arial" w:cs="Arial"/>
          <w:b/>
          <w:sz w:val="24"/>
          <w:szCs w:val="24"/>
          <w:lang w:val="en-GB"/>
        </w:rPr>
      </w:pPr>
    </w:p>
    <w:p w14:paraId="3061382C" w14:textId="0C80A38A" w:rsidR="00865510" w:rsidRPr="00B17C11" w:rsidRDefault="00865510">
      <w:pPr>
        <w:rPr>
          <w:rFonts w:ascii="Arial" w:hAnsi="Arial" w:cs="Arial"/>
          <w:sz w:val="24"/>
          <w:szCs w:val="24"/>
        </w:rPr>
      </w:pPr>
      <w:r w:rsidRPr="00B17C11">
        <w:rPr>
          <w:rFonts w:ascii="Arial" w:hAnsi="Arial" w:cs="Arial"/>
          <w:sz w:val="24"/>
          <w:szCs w:val="24"/>
        </w:rPr>
        <w:br w:type="page"/>
      </w:r>
    </w:p>
    <w:p w14:paraId="5417F908" w14:textId="590C58A5" w:rsidR="004E3EF9" w:rsidRPr="00B17C11" w:rsidRDefault="004E3EF9" w:rsidP="004714BB">
      <w:pPr>
        <w:pStyle w:val="Heading1"/>
        <w:rPr>
          <w:shd w:val="clear" w:color="auto" w:fill="FFFFFF"/>
        </w:rPr>
      </w:pPr>
      <w:bookmarkStart w:id="8" w:name="_Toc181339535"/>
      <w:r w:rsidRPr="00B17C11">
        <w:rPr>
          <w:shd w:val="clear" w:color="auto" w:fill="FFFFFF"/>
        </w:rPr>
        <w:lastRenderedPageBreak/>
        <w:t>: A historical overview of the spoliation remedy</w:t>
      </w:r>
      <w:bookmarkEnd w:id="8"/>
    </w:p>
    <w:p w14:paraId="00EA7CFD" w14:textId="77777777" w:rsidR="004714BB" w:rsidRPr="00B17C11" w:rsidRDefault="004714BB" w:rsidP="004714BB">
      <w:pPr>
        <w:rPr>
          <w:lang w:val="en-GB"/>
        </w:rPr>
      </w:pPr>
    </w:p>
    <w:p w14:paraId="36B9868B" w14:textId="26870E61" w:rsidR="004E3EF9" w:rsidRPr="00B17C11" w:rsidRDefault="004E3EF9" w:rsidP="004714BB">
      <w:pPr>
        <w:pStyle w:val="Heading2"/>
        <w:numPr>
          <w:ilvl w:val="0"/>
          <w:numId w:val="0"/>
        </w:numPr>
        <w:rPr>
          <w:shd w:val="clear" w:color="auto" w:fill="FFFFFF"/>
        </w:rPr>
      </w:pPr>
      <w:bookmarkStart w:id="9" w:name="_Toc181339536"/>
      <w:r w:rsidRPr="00B17C11">
        <w:rPr>
          <w:shd w:val="clear" w:color="auto" w:fill="FFFFFF"/>
        </w:rPr>
        <w:t>2.1</w:t>
      </w:r>
      <w:r w:rsidR="008C0076" w:rsidRPr="00B17C11">
        <w:rPr>
          <w:shd w:val="clear" w:color="auto" w:fill="FFFFFF"/>
        </w:rPr>
        <w:tab/>
      </w:r>
      <w:r w:rsidRPr="00B17C11">
        <w:rPr>
          <w:shd w:val="clear" w:color="auto" w:fill="FFFFFF"/>
        </w:rPr>
        <w:t>Introduction</w:t>
      </w:r>
      <w:bookmarkEnd w:id="9"/>
      <w:r w:rsidRPr="00B17C11">
        <w:rPr>
          <w:shd w:val="clear" w:color="auto" w:fill="FFFFFF"/>
        </w:rPr>
        <w:t xml:space="preserve"> </w:t>
      </w:r>
    </w:p>
    <w:p w14:paraId="066B45C9" w14:textId="46DCE2F4"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w:t>
      </w:r>
      <w:r w:rsidR="00222950" w:rsidRPr="00B17C11">
        <w:rPr>
          <w:rFonts w:ascii="Arial" w:hAnsi="Arial" w:cs="Arial"/>
          <w:sz w:val="24"/>
          <w:szCs w:val="24"/>
          <w:shd w:val="clear" w:color="auto" w:fill="FFFFFF"/>
        </w:rPr>
        <w:t>c</w:t>
      </w:r>
      <w:r w:rsidRPr="00B17C11">
        <w:rPr>
          <w:rFonts w:ascii="Arial" w:hAnsi="Arial" w:cs="Arial"/>
          <w:sz w:val="24"/>
          <w:szCs w:val="24"/>
          <w:shd w:val="clear" w:color="auto" w:fill="FFFFFF"/>
        </w:rPr>
        <w:t xml:space="preserve">hapter </w:t>
      </w:r>
      <w:r w:rsidR="00FE6327" w:rsidRPr="00B17C11">
        <w:rPr>
          <w:rFonts w:ascii="Arial" w:hAnsi="Arial" w:cs="Arial"/>
          <w:sz w:val="24"/>
          <w:szCs w:val="24"/>
          <w:shd w:val="clear" w:color="auto" w:fill="FFFFFF"/>
        </w:rPr>
        <w:t xml:space="preserve">will focus </w:t>
      </w:r>
      <w:r w:rsidRPr="00B17C11">
        <w:rPr>
          <w:rFonts w:ascii="Arial" w:hAnsi="Arial" w:cs="Arial"/>
          <w:sz w:val="24"/>
          <w:szCs w:val="24"/>
          <w:shd w:val="clear" w:color="auto" w:fill="FFFFFF"/>
        </w:rPr>
        <w:t xml:space="preserve">on the historical background of the spoliation remedy. It is intended to investigate the underlying philosophy behind the spoliation remedy and its origins to determine whether its main purpose is to uphold the rule of law by prohibiting acts </w:t>
      </w:r>
      <w:r w:rsidR="004A7962" w:rsidRPr="00B17C11">
        <w:rPr>
          <w:rFonts w:ascii="Arial" w:hAnsi="Arial" w:cs="Arial"/>
          <w:sz w:val="24"/>
          <w:szCs w:val="24"/>
          <w:shd w:val="clear" w:color="auto" w:fill="FFFFFF"/>
        </w:rPr>
        <w:t xml:space="preserve">of </w:t>
      </w:r>
      <w:r w:rsidRPr="00B17C11">
        <w:rPr>
          <w:rFonts w:ascii="Arial" w:hAnsi="Arial" w:cs="Arial"/>
          <w:sz w:val="24"/>
          <w:szCs w:val="24"/>
          <w:shd w:val="clear" w:color="auto" w:fill="FFFFFF"/>
        </w:rPr>
        <w:t>self-help or to restore possession that was taken otherwise than in accordance with the law. This part of the research is important as it seek</w:t>
      </w:r>
      <w:r w:rsidR="00CC1F5E" w:rsidRPr="00B17C11">
        <w:rPr>
          <w:rFonts w:ascii="Arial" w:hAnsi="Arial" w:cs="Arial"/>
          <w:sz w:val="24"/>
          <w:szCs w:val="24"/>
          <w:shd w:val="clear" w:color="auto" w:fill="FFFFFF"/>
        </w:rPr>
        <w:t>s</w:t>
      </w:r>
      <w:r w:rsidRPr="00B17C11">
        <w:rPr>
          <w:rFonts w:ascii="Arial" w:hAnsi="Arial" w:cs="Arial"/>
          <w:sz w:val="24"/>
          <w:szCs w:val="24"/>
          <w:shd w:val="clear" w:color="auto" w:fill="FFFFFF"/>
        </w:rPr>
        <w:t xml:space="preserve"> to address the developing controversies regarding its primary function and to resolve complications in court proceedings arising from the failure to </w:t>
      </w:r>
      <w:r w:rsidR="00FD7661" w:rsidRPr="00B17C11">
        <w:rPr>
          <w:rFonts w:ascii="Arial" w:hAnsi="Arial" w:cs="Arial"/>
          <w:sz w:val="24"/>
          <w:szCs w:val="24"/>
          <w:shd w:val="clear" w:color="auto" w:fill="FFFFFF"/>
        </w:rPr>
        <w:t>determine</w:t>
      </w:r>
      <w:r w:rsidR="002B4735"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 xml:space="preserve">the true essence of the spoliation order. Firstly, it discusses what the term ‘possession’ means and then explains how </w:t>
      </w:r>
      <w:r w:rsidR="00F67D80" w:rsidRPr="00B17C11">
        <w:rPr>
          <w:rFonts w:ascii="Arial" w:hAnsi="Arial" w:cs="Arial"/>
          <w:sz w:val="24"/>
          <w:szCs w:val="24"/>
          <w:shd w:val="clear" w:color="auto" w:fill="FFFFFF"/>
        </w:rPr>
        <w:t xml:space="preserve">the use of </w:t>
      </w:r>
      <w:r w:rsidR="003C707B" w:rsidRPr="00B17C11">
        <w:rPr>
          <w:rFonts w:ascii="Arial" w:hAnsi="Arial" w:cs="Arial"/>
          <w:sz w:val="24"/>
          <w:szCs w:val="24"/>
          <w:shd w:val="clear" w:color="auto" w:fill="FFFFFF"/>
        </w:rPr>
        <w:t>the</w:t>
      </w:r>
      <w:r w:rsidR="00F67D80" w:rsidRPr="00B17C11">
        <w:rPr>
          <w:rFonts w:ascii="Arial" w:hAnsi="Arial" w:cs="Arial"/>
          <w:sz w:val="24"/>
          <w:szCs w:val="24"/>
          <w:shd w:val="clear" w:color="auto" w:fill="FFFFFF"/>
        </w:rPr>
        <w:t xml:space="preserve"> spoliation remedy protects possession</w:t>
      </w:r>
      <w:r w:rsidRPr="00B17C11">
        <w:rPr>
          <w:rFonts w:ascii="Arial" w:hAnsi="Arial" w:cs="Arial"/>
          <w:sz w:val="24"/>
          <w:szCs w:val="24"/>
          <w:shd w:val="clear" w:color="auto" w:fill="FFFFFF"/>
        </w:rPr>
        <w:t xml:space="preserve">. Secondly, this chapter </w:t>
      </w:r>
      <w:r w:rsidR="00D17AE3" w:rsidRPr="00B17C11">
        <w:rPr>
          <w:rFonts w:ascii="Arial" w:hAnsi="Arial" w:cs="Arial"/>
          <w:sz w:val="24"/>
          <w:szCs w:val="24"/>
          <w:shd w:val="clear" w:color="auto" w:fill="FFFFFF"/>
        </w:rPr>
        <w:t>investigates</w:t>
      </w:r>
      <w:r w:rsidRPr="00B17C11">
        <w:rPr>
          <w:rFonts w:ascii="Arial" w:hAnsi="Arial" w:cs="Arial"/>
          <w:sz w:val="24"/>
          <w:szCs w:val="24"/>
          <w:shd w:val="clear" w:color="auto" w:fill="FFFFFF"/>
        </w:rPr>
        <w:t xml:space="preserve"> how the spoliation remedy was received in South African law and how the South African courts have contributed to its development and present application</w:t>
      </w:r>
      <w:r w:rsidR="006774FB" w:rsidRPr="00B17C11">
        <w:rPr>
          <w:rFonts w:ascii="Arial" w:hAnsi="Arial" w:cs="Arial"/>
          <w:sz w:val="24"/>
          <w:szCs w:val="24"/>
          <w:shd w:val="clear" w:color="auto" w:fill="FFFFFF"/>
        </w:rPr>
        <w:t>.</w:t>
      </w:r>
    </w:p>
    <w:p w14:paraId="3ADC2E5F" w14:textId="77777777" w:rsidR="004714BB" w:rsidRPr="00B17C11" w:rsidRDefault="004714BB" w:rsidP="004E3EF9">
      <w:pPr>
        <w:spacing w:line="360" w:lineRule="auto"/>
        <w:jc w:val="both"/>
        <w:rPr>
          <w:rFonts w:ascii="Arial" w:hAnsi="Arial" w:cs="Arial"/>
          <w:sz w:val="24"/>
          <w:szCs w:val="24"/>
          <w:shd w:val="clear" w:color="auto" w:fill="FFFFFF"/>
        </w:rPr>
      </w:pPr>
    </w:p>
    <w:p w14:paraId="5C60E7D7" w14:textId="1FDCE196" w:rsidR="004E3EF9" w:rsidRPr="00B17C11" w:rsidRDefault="004E3EF9" w:rsidP="004714BB">
      <w:pPr>
        <w:pStyle w:val="Heading2"/>
        <w:rPr>
          <w:shd w:val="clear" w:color="auto" w:fill="FFFFFF"/>
        </w:rPr>
      </w:pPr>
      <w:bookmarkStart w:id="10" w:name="_Toc181339537"/>
      <w:r w:rsidRPr="00B17C11">
        <w:rPr>
          <w:shd w:val="clear" w:color="auto" w:fill="FFFFFF"/>
        </w:rPr>
        <w:t>2.2</w:t>
      </w:r>
      <w:r w:rsidR="008C0076" w:rsidRPr="00B17C11">
        <w:rPr>
          <w:shd w:val="clear" w:color="auto" w:fill="FFFFFF"/>
        </w:rPr>
        <w:tab/>
      </w:r>
      <w:r w:rsidRPr="00B17C11">
        <w:rPr>
          <w:shd w:val="clear" w:color="auto" w:fill="FFFFFF"/>
        </w:rPr>
        <w:t>Possession</w:t>
      </w:r>
      <w:bookmarkEnd w:id="10"/>
    </w:p>
    <w:p w14:paraId="0CAB0950" w14:textId="215E5A16" w:rsidR="004E3EF9" w:rsidRPr="00B17C11" w:rsidRDefault="00E8536A"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The first requirement of the spoliation remedy that needs to be proved is peaceful and undisturbed possession of a thing. It is therefore crucial to determine what is meant by possession. </w:t>
      </w:r>
      <w:r w:rsidR="004E3EF9" w:rsidRPr="00B17C11">
        <w:rPr>
          <w:rFonts w:ascii="Arial" w:hAnsi="Arial" w:cs="Arial"/>
          <w:sz w:val="24"/>
          <w:szCs w:val="24"/>
          <w:shd w:val="clear" w:color="auto" w:fill="FFFFFF"/>
        </w:rPr>
        <w:t xml:space="preserve">The term possession is derived from the Latin root </w:t>
      </w:r>
      <w:proofErr w:type="spellStart"/>
      <w:r w:rsidR="004E3EF9" w:rsidRPr="00B17C11">
        <w:rPr>
          <w:rFonts w:ascii="Arial" w:hAnsi="Arial" w:cs="Arial"/>
          <w:i/>
          <w:sz w:val="24"/>
          <w:szCs w:val="24"/>
          <w:shd w:val="clear" w:color="auto" w:fill="FFFFFF"/>
        </w:rPr>
        <w:t>possessio</w:t>
      </w:r>
      <w:proofErr w:type="spellEnd"/>
      <w:r w:rsidR="004E3EF9" w:rsidRPr="00B17C11">
        <w:rPr>
          <w:rFonts w:ascii="Arial" w:hAnsi="Arial" w:cs="Arial"/>
          <w:sz w:val="24"/>
          <w:szCs w:val="24"/>
          <w:shd w:val="clear" w:color="auto" w:fill="FFFFFF"/>
        </w:rPr>
        <w:t>.</w:t>
      </w:r>
      <w:r w:rsidR="004E3EF9" w:rsidRPr="00B17C11">
        <w:rPr>
          <w:rStyle w:val="FootnoteReference"/>
          <w:rFonts w:ascii="Arial" w:hAnsi="Arial" w:cs="Arial"/>
          <w:sz w:val="24"/>
          <w:szCs w:val="24"/>
          <w:shd w:val="clear" w:color="auto" w:fill="FFFFFF"/>
        </w:rPr>
        <w:footnoteReference w:id="43"/>
      </w:r>
      <w:r w:rsidR="004E3EF9" w:rsidRPr="00B17C11">
        <w:rPr>
          <w:rFonts w:ascii="Arial" w:hAnsi="Arial" w:cs="Arial"/>
          <w:sz w:val="24"/>
          <w:szCs w:val="24"/>
          <w:shd w:val="clear" w:color="auto" w:fill="FFFFFF"/>
        </w:rPr>
        <w:t xml:space="preserve"> </w:t>
      </w:r>
      <w:r w:rsidR="00105C7C" w:rsidRPr="00B17C11">
        <w:rPr>
          <w:rFonts w:ascii="Arial" w:hAnsi="Arial" w:cs="Arial"/>
          <w:sz w:val="24"/>
          <w:szCs w:val="24"/>
          <w:shd w:val="clear" w:color="auto" w:fill="FFFFFF"/>
        </w:rPr>
        <w:t>In legal terms</w:t>
      </w:r>
      <w:r w:rsidR="00D37E72" w:rsidRPr="00B17C11">
        <w:rPr>
          <w:rFonts w:ascii="Arial" w:hAnsi="Arial" w:cs="Arial"/>
          <w:sz w:val="24"/>
          <w:szCs w:val="24"/>
          <w:shd w:val="clear" w:color="auto" w:fill="FFFFFF"/>
        </w:rPr>
        <w:t>,</w:t>
      </w:r>
      <w:r w:rsidR="00105C7C" w:rsidRPr="00B17C11">
        <w:rPr>
          <w:rFonts w:ascii="Arial" w:hAnsi="Arial" w:cs="Arial"/>
          <w:sz w:val="24"/>
          <w:szCs w:val="24"/>
          <w:shd w:val="clear" w:color="auto" w:fill="FFFFFF"/>
        </w:rPr>
        <w:t xml:space="preserve"> </w:t>
      </w:r>
      <w:r w:rsidR="0024046F" w:rsidRPr="00B17C11">
        <w:rPr>
          <w:rFonts w:ascii="Arial" w:hAnsi="Arial" w:cs="Arial"/>
          <w:sz w:val="24"/>
          <w:szCs w:val="24"/>
          <w:shd w:val="clear" w:color="auto" w:fill="FFFFFF"/>
        </w:rPr>
        <w:t>p</w:t>
      </w:r>
      <w:r w:rsidR="004E3EF9" w:rsidRPr="00B17C11">
        <w:rPr>
          <w:rFonts w:ascii="Arial" w:hAnsi="Arial" w:cs="Arial"/>
          <w:sz w:val="24"/>
          <w:szCs w:val="24"/>
          <w:shd w:val="clear" w:color="auto" w:fill="FFFFFF"/>
        </w:rPr>
        <w:t>ossession signifies the factual and mental dominion of a thing by a person</w:t>
      </w:r>
      <w:r w:rsidR="00703E3D" w:rsidRPr="00B17C11">
        <w:rPr>
          <w:rFonts w:ascii="Arial" w:hAnsi="Arial" w:cs="Arial"/>
          <w:sz w:val="24"/>
          <w:szCs w:val="24"/>
          <w:shd w:val="clear" w:color="auto" w:fill="FFFFFF"/>
        </w:rPr>
        <w:t>,</w:t>
      </w:r>
      <w:r w:rsidR="00263D04" w:rsidRPr="00B17C11">
        <w:rPr>
          <w:rFonts w:ascii="Arial" w:hAnsi="Arial" w:cs="Arial"/>
          <w:sz w:val="24"/>
          <w:szCs w:val="24"/>
          <w:shd w:val="clear" w:color="auto" w:fill="FFFFFF"/>
        </w:rPr>
        <w:t xml:space="preserve"> i</w:t>
      </w:r>
      <w:r w:rsidR="002146B4" w:rsidRPr="00B17C11">
        <w:rPr>
          <w:rFonts w:ascii="Arial" w:hAnsi="Arial" w:cs="Arial"/>
          <w:sz w:val="24"/>
          <w:szCs w:val="24"/>
          <w:shd w:val="clear" w:color="auto" w:fill="FFFFFF"/>
        </w:rPr>
        <w:t>n the same way</w:t>
      </w:r>
      <w:r w:rsidR="00703E3D" w:rsidRPr="00B17C11">
        <w:rPr>
          <w:rFonts w:ascii="Arial" w:hAnsi="Arial" w:cs="Arial"/>
          <w:sz w:val="24"/>
          <w:szCs w:val="24"/>
          <w:shd w:val="clear" w:color="auto" w:fill="FFFFFF"/>
        </w:rPr>
        <w:t>,</w:t>
      </w:r>
      <w:r w:rsidR="00FF185B" w:rsidRPr="00B17C11">
        <w:rPr>
          <w:rFonts w:ascii="Arial" w:hAnsi="Arial" w:cs="Arial"/>
          <w:sz w:val="24"/>
          <w:szCs w:val="24"/>
          <w:shd w:val="clear" w:color="auto" w:fill="FFFFFF"/>
        </w:rPr>
        <w:t xml:space="preserve"> </w:t>
      </w:r>
      <w:r w:rsidR="004E3EF9" w:rsidRPr="00B17C11">
        <w:rPr>
          <w:rFonts w:ascii="Arial" w:hAnsi="Arial" w:cs="Arial"/>
          <w:sz w:val="24"/>
          <w:szCs w:val="24"/>
          <w:shd w:val="clear" w:color="auto" w:fill="FFFFFF"/>
        </w:rPr>
        <w:t xml:space="preserve">slaves and members of the family were controlled by the </w:t>
      </w:r>
      <w:r w:rsidR="004E3EF9" w:rsidRPr="00B17C11">
        <w:rPr>
          <w:rFonts w:ascii="Arial" w:hAnsi="Arial" w:cs="Arial"/>
          <w:i/>
          <w:iCs/>
          <w:sz w:val="24"/>
          <w:szCs w:val="24"/>
          <w:shd w:val="clear" w:color="auto" w:fill="FFFFFF"/>
        </w:rPr>
        <w:t>paterfamilias</w:t>
      </w:r>
      <w:r w:rsidR="004E3EF9" w:rsidRPr="00B17C11">
        <w:rPr>
          <w:rFonts w:ascii="Arial" w:hAnsi="Arial" w:cs="Arial"/>
          <w:sz w:val="24"/>
          <w:szCs w:val="24"/>
          <w:shd w:val="clear" w:color="auto" w:fill="FFFFFF"/>
        </w:rPr>
        <w:t xml:space="preserve"> in Roman law.</w:t>
      </w:r>
      <w:r w:rsidR="004E3EF9" w:rsidRPr="00B17C11">
        <w:rPr>
          <w:rStyle w:val="FootnoteReference"/>
          <w:rFonts w:ascii="Arial" w:hAnsi="Arial" w:cs="Arial"/>
          <w:sz w:val="24"/>
          <w:szCs w:val="24"/>
          <w:shd w:val="clear" w:color="auto" w:fill="FFFFFF"/>
        </w:rPr>
        <w:footnoteReference w:id="44"/>
      </w:r>
      <w:r w:rsidR="004E3EF9" w:rsidRPr="00B17C11">
        <w:rPr>
          <w:rFonts w:ascii="Arial" w:hAnsi="Arial" w:cs="Arial"/>
          <w:sz w:val="24"/>
          <w:szCs w:val="24"/>
          <w:shd w:val="clear" w:color="auto" w:fill="FFFFFF"/>
        </w:rPr>
        <w:t xml:space="preserve"> Today, the term possession is still defined and understood to constitute a factual physical situation and a mental state consisting </w:t>
      </w:r>
      <w:r w:rsidR="00F67D80" w:rsidRPr="00B17C11">
        <w:rPr>
          <w:rFonts w:ascii="Arial" w:hAnsi="Arial" w:cs="Arial"/>
          <w:sz w:val="24"/>
          <w:szCs w:val="24"/>
          <w:shd w:val="clear" w:color="auto" w:fill="FFFFFF"/>
        </w:rPr>
        <w:t>of</w:t>
      </w:r>
      <w:r w:rsidR="004E3EF9" w:rsidRPr="00B17C11">
        <w:rPr>
          <w:rFonts w:ascii="Arial" w:hAnsi="Arial" w:cs="Arial"/>
          <w:sz w:val="24"/>
          <w:szCs w:val="24"/>
          <w:shd w:val="clear" w:color="auto" w:fill="FFFFFF"/>
        </w:rPr>
        <w:t xml:space="preserve"> the factual </w:t>
      </w:r>
      <w:r w:rsidR="004E3EF9" w:rsidRPr="00B17C11">
        <w:rPr>
          <w:rFonts w:ascii="Arial" w:hAnsi="Arial" w:cs="Arial"/>
          <w:sz w:val="24"/>
          <w:szCs w:val="24"/>
          <w:shd w:val="clear" w:color="auto" w:fill="FFFFFF"/>
        </w:rPr>
        <w:lastRenderedPageBreak/>
        <w:t>control of a thing coupled with the will to possess the thing.</w:t>
      </w:r>
      <w:r w:rsidR="004E3EF9" w:rsidRPr="00B17C11">
        <w:rPr>
          <w:rStyle w:val="FootnoteReference"/>
          <w:rFonts w:ascii="Arial" w:hAnsi="Arial" w:cs="Arial"/>
          <w:sz w:val="24"/>
          <w:szCs w:val="24"/>
          <w:shd w:val="clear" w:color="auto" w:fill="FFFFFF"/>
        </w:rPr>
        <w:footnoteReference w:id="45"/>
      </w:r>
      <w:r w:rsidR="004E3EF9" w:rsidRPr="00B17C11">
        <w:rPr>
          <w:rFonts w:ascii="Arial" w:hAnsi="Arial" w:cs="Arial"/>
          <w:sz w:val="24"/>
          <w:szCs w:val="24"/>
          <w:shd w:val="clear" w:color="auto" w:fill="FFFFFF"/>
        </w:rPr>
        <w:t xml:space="preserve"> The law further recognises the </w:t>
      </w:r>
      <w:r w:rsidR="004E3EF9" w:rsidRPr="00B17C11">
        <w:rPr>
          <w:rFonts w:ascii="Arial" w:hAnsi="Arial" w:cs="Arial"/>
          <w:i/>
          <w:iCs/>
          <w:sz w:val="24"/>
          <w:szCs w:val="24"/>
          <w:shd w:val="clear" w:color="auto" w:fill="FFFFFF"/>
        </w:rPr>
        <w:t>quasi</w:t>
      </w:r>
      <w:r w:rsidR="004E3EF9" w:rsidRPr="00B17C11">
        <w:rPr>
          <w:rFonts w:ascii="Arial" w:hAnsi="Arial" w:cs="Arial"/>
          <w:sz w:val="24"/>
          <w:szCs w:val="24"/>
          <w:shd w:val="clear" w:color="auto" w:fill="FFFFFF"/>
        </w:rPr>
        <w:t>-possession, which consists of an exercise of control over an incorporeal coupled with the intention to exert control.</w:t>
      </w:r>
      <w:r w:rsidR="004E3EF9" w:rsidRPr="00B17C11">
        <w:rPr>
          <w:rStyle w:val="FootnoteReference"/>
          <w:rFonts w:ascii="Arial" w:hAnsi="Arial" w:cs="Arial"/>
          <w:sz w:val="24"/>
          <w:szCs w:val="24"/>
          <w:shd w:val="clear" w:color="auto" w:fill="FFFFFF"/>
        </w:rPr>
        <w:footnoteReference w:id="46"/>
      </w:r>
      <w:r w:rsidR="004E3EF9" w:rsidRPr="00B17C11">
        <w:rPr>
          <w:rFonts w:ascii="Arial" w:hAnsi="Arial" w:cs="Arial"/>
          <w:sz w:val="24"/>
          <w:szCs w:val="24"/>
          <w:shd w:val="clear" w:color="auto" w:fill="FFFFFF"/>
        </w:rPr>
        <w:t xml:space="preserve"> The factual control of an incorporeal is exercised when a thing is utili</w:t>
      </w:r>
      <w:r w:rsidR="00730A6C" w:rsidRPr="00B17C11">
        <w:rPr>
          <w:rFonts w:ascii="Arial" w:hAnsi="Arial" w:cs="Arial"/>
          <w:sz w:val="24"/>
          <w:szCs w:val="24"/>
          <w:shd w:val="clear" w:color="auto" w:fill="FFFFFF"/>
        </w:rPr>
        <w:t>s</w:t>
      </w:r>
      <w:r w:rsidR="004E3EF9" w:rsidRPr="00B17C11">
        <w:rPr>
          <w:rFonts w:ascii="Arial" w:hAnsi="Arial" w:cs="Arial"/>
          <w:sz w:val="24"/>
          <w:szCs w:val="24"/>
          <w:shd w:val="clear" w:color="auto" w:fill="FFFFFF"/>
        </w:rPr>
        <w:t>ed in accordance with the presumed legal right in regard to the thing.</w:t>
      </w:r>
      <w:r w:rsidR="004E3EF9" w:rsidRPr="00B17C11">
        <w:rPr>
          <w:rStyle w:val="FootnoteReference"/>
          <w:rFonts w:ascii="Arial" w:hAnsi="Arial" w:cs="Arial"/>
          <w:sz w:val="24"/>
          <w:szCs w:val="24"/>
          <w:shd w:val="clear" w:color="auto" w:fill="FFFFFF"/>
        </w:rPr>
        <w:footnoteReference w:id="47"/>
      </w:r>
      <w:r w:rsidR="004E3EF9" w:rsidRPr="00B17C11">
        <w:rPr>
          <w:rFonts w:ascii="Arial" w:hAnsi="Arial" w:cs="Arial"/>
          <w:sz w:val="24"/>
          <w:szCs w:val="24"/>
          <w:shd w:val="clear" w:color="auto" w:fill="FFFFFF"/>
        </w:rPr>
        <w:t xml:space="preserve"> In essence, possession consists of the objective physical element and the subjective mental element</w:t>
      </w:r>
      <w:r w:rsidR="00BF5F0A" w:rsidRPr="00B17C11">
        <w:rPr>
          <w:rFonts w:ascii="Arial" w:hAnsi="Arial" w:cs="Arial"/>
          <w:sz w:val="24"/>
          <w:szCs w:val="24"/>
          <w:shd w:val="clear" w:color="auto" w:fill="FFFFFF"/>
        </w:rPr>
        <w:t>,</w:t>
      </w:r>
      <w:r w:rsidR="00785C13" w:rsidRPr="00B17C11">
        <w:rPr>
          <w:rFonts w:ascii="Arial" w:hAnsi="Arial" w:cs="Arial"/>
          <w:sz w:val="24"/>
          <w:szCs w:val="24"/>
          <w:shd w:val="clear" w:color="auto" w:fill="FFFFFF"/>
        </w:rPr>
        <w:t xml:space="preserve"> which means that </w:t>
      </w:r>
      <w:r w:rsidR="004E3EF9" w:rsidRPr="00B17C11">
        <w:rPr>
          <w:rFonts w:ascii="Arial" w:hAnsi="Arial" w:cs="Arial"/>
          <w:sz w:val="24"/>
          <w:szCs w:val="24"/>
          <w:shd w:val="clear" w:color="auto" w:fill="FFFFFF"/>
        </w:rPr>
        <w:t xml:space="preserve">a possessor must exercise control </w:t>
      </w:r>
      <w:r w:rsidR="00F67D80" w:rsidRPr="00B17C11">
        <w:rPr>
          <w:rFonts w:ascii="Arial" w:hAnsi="Arial" w:cs="Arial"/>
          <w:sz w:val="24"/>
          <w:szCs w:val="24"/>
          <w:shd w:val="clear" w:color="auto" w:fill="FFFFFF"/>
        </w:rPr>
        <w:t>of</w:t>
      </w:r>
      <w:r w:rsidR="004E3EF9" w:rsidRPr="00B17C11">
        <w:rPr>
          <w:rFonts w:ascii="Arial" w:hAnsi="Arial" w:cs="Arial"/>
          <w:sz w:val="24"/>
          <w:szCs w:val="24"/>
          <w:shd w:val="clear" w:color="auto" w:fill="FFFFFF"/>
        </w:rPr>
        <w:t xml:space="preserve"> the body and mind.</w:t>
      </w:r>
      <w:r w:rsidR="004E3EF9" w:rsidRPr="00B17C11">
        <w:rPr>
          <w:rStyle w:val="FootnoteReference"/>
          <w:rFonts w:ascii="Arial" w:hAnsi="Arial" w:cs="Arial"/>
          <w:sz w:val="24"/>
          <w:szCs w:val="24"/>
          <w:shd w:val="clear" w:color="auto" w:fill="FFFFFF"/>
        </w:rPr>
        <w:footnoteReference w:id="48"/>
      </w:r>
      <w:r w:rsidR="004E3EF9" w:rsidRPr="00B17C11">
        <w:rPr>
          <w:rFonts w:ascii="Arial" w:hAnsi="Arial" w:cs="Arial"/>
          <w:sz w:val="24"/>
          <w:szCs w:val="24"/>
          <w:shd w:val="clear" w:color="auto" w:fill="FFFFFF"/>
        </w:rPr>
        <w:t xml:space="preserve"> </w:t>
      </w:r>
    </w:p>
    <w:p w14:paraId="3AF66A95" w14:textId="0879327C" w:rsidR="00543FA4" w:rsidRPr="00B17C11" w:rsidRDefault="00543FA4" w:rsidP="00543FA4">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r w:rsidRPr="00B17C11">
        <w:rPr>
          <w:rFonts w:ascii="Arial" w:hAnsi="Arial" w:cs="Arial"/>
          <w:i/>
          <w:iCs/>
          <w:sz w:val="24"/>
          <w:szCs w:val="24"/>
          <w:shd w:val="clear" w:color="auto" w:fill="FFFFFF"/>
        </w:rPr>
        <w:t>G and D Refrigeration CC v JPR Mulder,</w:t>
      </w:r>
      <w:r w:rsidRPr="00B17C11">
        <w:rPr>
          <w:rFonts w:ascii="Arial" w:hAnsi="Arial" w:cs="Arial"/>
          <w:sz w:val="24"/>
          <w:szCs w:val="24"/>
          <w:shd w:val="clear" w:color="auto" w:fill="FFFFFF"/>
        </w:rPr>
        <w:t xml:space="preserve"> the applicant was employed by the respondent to perform general management services.</w:t>
      </w:r>
      <w:r w:rsidRPr="00B17C11">
        <w:rPr>
          <w:rStyle w:val="FootnoteReference"/>
          <w:rFonts w:ascii="Arial" w:hAnsi="Arial" w:cs="Arial"/>
          <w:sz w:val="24"/>
          <w:szCs w:val="24"/>
          <w:shd w:val="clear" w:color="auto" w:fill="FFFFFF"/>
        </w:rPr>
        <w:footnoteReference w:id="49"/>
      </w:r>
      <w:r w:rsidRPr="00B17C11">
        <w:rPr>
          <w:rFonts w:ascii="Arial" w:hAnsi="Arial" w:cs="Arial"/>
          <w:sz w:val="24"/>
          <w:szCs w:val="24"/>
          <w:shd w:val="clear" w:color="auto" w:fill="FFFFFF"/>
        </w:rPr>
        <w:t xml:space="preserve"> Following the respondent’s financial constraints, a verbal agreement was reached between the applicant and respondent in terms of which the applicant would be given possession of a motor vehicle for his use and enjoyment as compensation for services rendered. However, when the applicant took the motor vehicle to panel beaters for repairs after a co</w:t>
      </w:r>
      <w:r w:rsidR="00F90430" w:rsidRPr="00B17C11">
        <w:rPr>
          <w:rFonts w:ascii="Arial" w:hAnsi="Arial" w:cs="Arial"/>
          <w:sz w:val="24"/>
          <w:szCs w:val="24"/>
          <w:shd w:val="clear" w:color="auto" w:fill="FFFFFF"/>
        </w:rPr>
        <w:t>llision</w:t>
      </w:r>
      <w:r w:rsidRPr="00B17C11">
        <w:rPr>
          <w:rFonts w:ascii="Arial" w:hAnsi="Arial" w:cs="Arial"/>
          <w:sz w:val="24"/>
          <w:szCs w:val="24"/>
          <w:shd w:val="clear" w:color="auto" w:fill="FFFFFF"/>
        </w:rPr>
        <w:t xml:space="preserve"> with a stray cow, the respondent took back the motor vehicle</w:t>
      </w:r>
      <w:r w:rsidR="002146B4"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alleging that the applicant was in breach of the verbal agreement.</w:t>
      </w:r>
      <w:r w:rsidRPr="00B17C11">
        <w:rPr>
          <w:rStyle w:val="FootnoteReference"/>
          <w:rFonts w:ascii="Arial" w:hAnsi="Arial" w:cs="Arial"/>
          <w:sz w:val="24"/>
          <w:szCs w:val="24"/>
          <w:shd w:val="clear" w:color="auto" w:fill="FFFFFF"/>
        </w:rPr>
        <w:footnoteReference w:id="50"/>
      </w:r>
      <w:r w:rsidRPr="00B17C11">
        <w:rPr>
          <w:rFonts w:ascii="Arial" w:hAnsi="Arial" w:cs="Arial"/>
          <w:sz w:val="24"/>
          <w:szCs w:val="24"/>
          <w:shd w:val="clear" w:color="auto" w:fill="FFFFFF"/>
        </w:rPr>
        <w:t xml:space="preserve"> The applicant launched a spoliation application arguing that the conduct of the respondent in uplifting the motor vehicle from panel beaters amounted to an act of spoliation.</w:t>
      </w:r>
      <w:r w:rsidRPr="00B17C11">
        <w:rPr>
          <w:rStyle w:val="FootnoteReference"/>
          <w:rFonts w:ascii="Arial" w:hAnsi="Arial" w:cs="Arial"/>
          <w:sz w:val="24"/>
          <w:szCs w:val="24"/>
          <w:shd w:val="clear" w:color="auto" w:fill="FFFFFF"/>
        </w:rPr>
        <w:footnoteReference w:id="51"/>
      </w:r>
      <w:r w:rsidRPr="00B17C11">
        <w:rPr>
          <w:rFonts w:ascii="Arial" w:hAnsi="Arial" w:cs="Arial"/>
          <w:sz w:val="24"/>
          <w:szCs w:val="24"/>
          <w:shd w:val="clear" w:color="auto" w:fill="FFFFFF"/>
        </w:rPr>
        <w:t xml:space="preserve"> The respondent argued that the applicant lost possession of the motor vehicle when he took it for </w:t>
      </w:r>
      <w:r w:rsidR="002146B4" w:rsidRPr="00B17C11">
        <w:rPr>
          <w:rFonts w:ascii="Arial" w:hAnsi="Arial" w:cs="Arial"/>
          <w:sz w:val="24"/>
          <w:szCs w:val="24"/>
          <w:shd w:val="clear" w:color="auto" w:fill="FFFFFF"/>
        </w:rPr>
        <w:t xml:space="preserve">a </w:t>
      </w:r>
      <w:r w:rsidRPr="00B17C11">
        <w:rPr>
          <w:rFonts w:ascii="Arial" w:hAnsi="Arial" w:cs="Arial"/>
          <w:sz w:val="24"/>
          <w:szCs w:val="24"/>
          <w:shd w:val="clear" w:color="auto" w:fill="FFFFFF"/>
        </w:rPr>
        <w:t>panel beating.</w:t>
      </w:r>
      <w:r w:rsidRPr="00B17C11">
        <w:rPr>
          <w:rStyle w:val="FootnoteReference"/>
          <w:rFonts w:ascii="Arial" w:hAnsi="Arial" w:cs="Arial"/>
          <w:sz w:val="24"/>
          <w:szCs w:val="24"/>
          <w:shd w:val="clear" w:color="auto" w:fill="FFFFFF"/>
        </w:rPr>
        <w:footnoteReference w:id="52"/>
      </w:r>
    </w:p>
    <w:p w14:paraId="1A63A34F" w14:textId="3F6268FF" w:rsidR="00543FA4" w:rsidRPr="00B17C11" w:rsidRDefault="00543FA4" w:rsidP="00543FA4">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court had to determine whether the applicant was in peaceful and undisturbed possession at the time when he took the motor vehicle to panel beaters for repairs or whether the removal of a motor vehicle from panel beaters amounted to an unlawful deprivation of possession.</w:t>
      </w:r>
      <w:r w:rsidRPr="00B17C11">
        <w:rPr>
          <w:rStyle w:val="FootnoteReference"/>
          <w:rFonts w:ascii="Arial" w:hAnsi="Arial" w:cs="Arial"/>
          <w:sz w:val="24"/>
          <w:szCs w:val="24"/>
          <w:shd w:val="clear" w:color="auto" w:fill="FFFFFF"/>
        </w:rPr>
        <w:footnoteReference w:id="53"/>
      </w:r>
      <w:r w:rsidRPr="00B17C11">
        <w:rPr>
          <w:rFonts w:ascii="Arial" w:hAnsi="Arial" w:cs="Arial"/>
          <w:sz w:val="24"/>
          <w:szCs w:val="24"/>
          <w:shd w:val="clear" w:color="auto" w:fill="FFFFFF"/>
        </w:rPr>
        <w:t xml:space="preserve"> The court began by providing a brief analysis of old authorities and relevant case law on the notion of possession.</w:t>
      </w:r>
      <w:r w:rsidRPr="00B17C11">
        <w:rPr>
          <w:rStyle w:val="FootnoteReference"/>
          <w:rFonts w:ascii="Arial" w:hAnsi="Arial" w:cs="Arial"/>
          <w:sz w:val="24"/>
          <w:szCs w:val="24"/>
          <w:shd w:val="clear" w:color="auto" w:fill="FFFFFF"/>
        </w:rPr>
        <w:footnoteReference w:id="54"/>
      </w:r>
      <w:r w:rsidRPr="00B17C11">
        <w:rPr>
          <w:rFonts w:ascii="Arial" w:hAnsi="Arial" w:cs="Arial"/>
          <w:sz w:val="24"/>
          <w:szCs w:val="24"/>
          <w:shd w:val="clear" w:color="auto" w:fill="FFFFFF"/>
        </w:rPr>
        <w:t xml:space="preserve"> The court cited Badenhorst </w:t>
      </w:r>
      <w:r w:rsidRPr="00B17C11">
        <w:rPr>
          <w:rFonts w:ascii="Arial" w:hAnsi="Arial" w:cs="Arial"/>
          <w:i/>
          <w:iCs/>
          <w:sz w:val="24"/>
          <w:szCs w:val="24"/>
          <w:shd w:val="clear" w:color="auto" w:fill="FFFFFF"/>
        </w:rPr>
        <w:t>et al</w:t>
      </w:r>
      <w:r w:rsidRPr="00B17C11">
        <w:rPr>
          <w:rFonts w:ascii="Arial" w:hAnsi="Arial" w:cs="Arial"/>
          <w:sz w:val="24"/>
          <w:szCs w:val="24"/>
          <w:shd w:val="clear" w:color="auto" w:fill="FFFFFF"/>
        </w:rPr>
        <w:t xml:space="preserve"> (</w:t>
      </w:r>
      <w:r w:rsidRPr="00B17C11">
        <w:rPr>
          <w:rFonts w:ascii="Arial" w:hAnsi="Arial" w:cs="Arial"/>
          <w:i/>
          <w:iCs/>
          <w:sz w:val="24"/>
          <w:szCs w:val="24"/>
          <w:shd w:val="clear" w:color="auto" w:fill="FFFFFF"/>
        </w:rPr>
        <w:t>The Law of Property</w:t>
      </w:r>
      <w:r w:rsidRPr="00B17C11">
        <w:rPr>
          <w:rFonts w:ascii="Arial" w:hAnsi="Arial" w:cs="Arial"/>
          <w:sz w:val="24"/>
          <w:szCs w:val="24"/>
          <w:shd w:val="clear" w:color="auto" w:fill="FFFFFF"/>
        </w:rPr>
        <w:t xml:space="preserve"> 4</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xml:space="preserve"> ed</w:t>
      </w:r>
      <w:r w:rsidR="00A56F65" w:rsidRPr="00B17C11">
        <w:rPr>
          <w:rFonts w:ascii="Arial" w:hAnsi="Arial" w:cs="Arial"/>
          <w:sz w:val="24"/>
          <w:szCs w:val="24"/>
          <w:shd w:val="clear" w:color="auto" w:fill="FFFFFF"/>
        </w:rPr>
        <w:t>.</w:t>
      </w:r>
      <w:r w:rsidRPr="00B17C11">
        <w:rPr>
          <w:rFonts w:ascii="Arial" w:hAnsi="Arial" w:cs="Arial"/>
          <w:sz w:val="24"/>
          <w:szCs w:val="24"/>
          <w:shd w:val="clear" w:color="auto" w:fill="FFFFFF"/>
        </w:rPr>
        <w:t>)</w:t>
      </w:r>
      <w:r w:rsidR="002146B4"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where possession was described as a ‘compound of physical situation and mental state involving the physical control of a thing by a person and that person’s mental attitude towards the thing’, which </w:t>
      </w:r>
      <w:r w:rsidRPr="00B17C11">
        <w:rPr>
          <w:rFonts w:ascii="Arial" w:hAnsi="Arial" w:cs="Arial"/>
          <w:sz w:val="24"/>
          <w:szCs w:val="24"/>
          <w:shd w:val="clear" w:color="auto" w:fill="FFFFFF"/>
        </w:rPr>
        <w:lastRenderedPageBreak/>
        <w:t>essentially means that physical control must be accompanied by a particular intention to constitute possession.</w:t>
      </w:r>
      <w:r w:rsidRPr="00B17C11">
        <w:rPr>
          <w:rStyle w:val="FootnoteReference"/>
          <w:rFonts w:ascii="Arial" w:hAnsi="Arial" w:cs="Arial"/>
          <w:sz w:val="24"/>
          <w:szCs w:val="24"/>
          <w:shd w:val="clear" w:color="auto" w:fill="FFFFFF"/>
        </w:rPr>
        <w:footnoteReference w:id="55"/>
      </w:r>
    </w:p>
    <w:p w14:paraId="7B7CC49E" w14:textId="2F35CCAE" w:rsidR="00543FA4" w:rsidRPr="00B17C11" w:rsidRDefault="00543FA4" w:rsidP="00543FA4">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The court took the view that physical control should be interpreted in </w:t>
      </w:r>
      <w:r w:rsidR="002146B4" w:rsidRPr="00B17C11">
        <w:rPr>
          <w:rFonts w:ascii="Arial" w:hAnsi="Arial" w:cs="Arial"/>
          <w:sz w:val="24"/>
          <w:szCs w:val="24"/>
          <w:shd w:val="clear" w:color="auto" w:fill="FFFFFF"/>
        </w:rPr>
        <w:t>a</w:t>
      </w:r>
      <w:r w:rsidRPr="00B17C11">
        <w:rPr>
          <w:rFonts w:ascii="Arial" w:hAnsi="Arial" w:cs="Arial"/>
          <w:sz w:val="24"/>
          <w:szCs w:val="24"/>
          <w:shd w:val="clear" w:color="auto" w:fill="FFFFFF"/>
        </w:rPr>
        <w:t xml:space="preserve"> wide sense and not be restricted to the conservative prerequisite of actual physical control. The court suggested the adoption of factual or legal possession in terms of which the mere intention to possess is sufficient to complement the factual possession.</w:t>
      </w:r>
      <w:r w:rsidRPr="00B17C11">
        <w:rPr>
          <w:rStyle w:val="FootnoteReference"/>
          <w:rFonts w:ascii="Arial" w:hAnsi="Arial" w:cs="Arial"/>
          <w:sz w:val="24"/>
          <w:szCs w:val="24"/>
          <w:shd w:val="clear" w:color="auto" w:fill="FFFFFF"/>
        </w:rPr>
        <w:footnoteReference w:id="56"/>
      </w:r>
      <w:r w:rsidRPr="00B17C11">
        <w:rPr>
          <w:rFonts w:ascii="Arial" w:hAnsi="Arial" w:cs="Arial"/>
          <w:sz w:val="24"/>
          <w:szCs w:val="24"/>
          <w:shd w:val="clear" w:color="auto" w:fill="FFFFFF"/>
        </w:rPr>
        <w:t xml:space="preserve"> Thus, according to the court, the applicant did not lose control over the motor vehicle when he took it to panel beaters for repairs because he did not have the intention to give up possession.</w:t>
      </w:r>
      <w:r w:rsidRPr="00B17C11">
        <w:rPr>
          <w:rStyle w:val="FootnoteReference"/>
          <w:rFonts w:ascii="Arial" w:hAnsi="Arial" w:cs="Arial"/>
          <w:sz w:val="24"/>
          <w:szCs w:val="24"/>
          <w:shd w:val="clear" w:color="auto" w:fill="FFFFFF"/>
        </w:rPr>
        <w:footnoteReference w:id="57"/>
      </w:r>
      <w:r w:rsidRPr="00B17C11">
        <w:rPr>
          <w:rFonts w:ascii="Arial" w:hAnsi="Arial" w:cs="Arial"/>
          <w:sz w:val="24"/>
          <w:szCs w:val="24"/>
          <w:shd w:val="clear" w:color="auto" w:fill="FFFFFF"/>
        </w:rPr>
        <w:t xml:space="preserve"> Accordingly, the respondent’s submission that the applicant lost possession when he took the car to panel beaters was rejected and found untenable.</w:t>
      </w:r>
      <w:r w:rsidRPr="00B17C11">
        <w:rPr>
          <w:rStyle w:val="FootnoteReference"/>
          <w:rFonts w:ascii="Arial" w:hAnsi="Arial" w:cs="Arial"/>
          <w:sz w:val="24"/>
          <w:szCs w:val="24"/>
          <w:shd w:val="clear" w:color="auto" w:fill="FFFFFF"/>
        </w:rPr>
        <w:footnoteReference w:id="58"/>
      </w:r>
      <w:r w:rsidRPr="00B17C11">
        <w:rPr>
          <w:rFonts w:ascii="Arial" w:hAnsi="Arial" w:cs="Arial"/>
          <w:sz w:val="24"/>
          <w:szCs w:val="24"/>
          <w:shd w:val="clear" w:color="auto" w:fill="FFFFFF"/>
        </w:rPr>
        <w:t xml:space="preserve"> In the end, it was held </w:t>
      </w:r>
      <w:r w:rsidR="00CF4EDC" w:rsidRPr="00B17C11">
        <w:rPr>
          <w:rFonts w:ascii="Arial" w:hAnsi="Arial" w:cs="Arial"/>
          <w:sz w:val="24"/>
          <w:szCs w:val="24"/>
          <w:shd w:val="clear" w:color="auto" w:fill="FFFFFF"/>
        </w:rPr>
        <w:t xml:space="preserve">that </w:t>
      </w:r>
      <w:r w:rsidRPr="00B17C11">
        <w:rPr>
          <w:rFonts w:ascii="Arial" w:hAnsi="Arial" w:cs="Arial"/>
          <w:sz w:val="24"/>
          <w:szCs w:val="24"/>
          <w:shd w:val="clear" w:color="auto" w:fill="FFFFFF"/>
        </w:rPr>
        <w:t xml:space="preserve">the respondent committed an act of spoliation in uplifting the motor vehicle from </w:t>
      </w:r>
      <w:r w:rsidR="00CF4EDC" w:rsidRPr="00B17C11">
        <w:rPr>
          <w:rFonts w:ascii="Arial" w:hAnsi="Arial" w:cs="Arial"/>
          <w:sz w:val="24"/>
          <w:szCs w:val="24"/>
          <w:shd w:val="clear" w:color="auto" w:fill="FFFFFF"/>
        </w:rPr>
        <w:t xml:space="preserve">the </w:t>
      </w:r>
      <w:r w:rsidRPr="00B17C11">
        <w:rPr>
          <w:rFonts w:ascii="Arial" w:hAnsi="Arial" w:cs="Arial"/>
          <w:sz w:val="24"/>
          <w:szCs w:val="24"/>
          <w:shd w:val="clear" w:color="auto" w:fill="FFFFFF"/>
        </w:rPr>
        <w:t>panel beat</w:t>
      </w:r>
      <w:r w:rsidR="00CF4EDC" w:rsidRPr="00B17C11">
        <w:rPr>
          <w:rFonts w:ascii="Arial" w:hAnsi="Arial" w:cs="Arial"/>
          <w:sz w:val="24"/>
          <w:szCs w:val="24"/>
          <w:shd w:val="clear" w:color="auto" w:fill="FFFFFF"/>
        </w:rPr>
        <w:t>ers</w:t>
      </w:r>
      <w:r w:rsidRPr="00B17C11">
        <w:rPr>
          <w:rFonts w:ascii="Arial" w:hAnsi="Arial" w:cs="Arial"/>
          <w:sz w:val="24"/>
          <w:szCs w:val="24"/>
          <w:shd w:val="clear" w:color="auto" w:fill="FFFFFF"/>
        </w:rPr>
        <w:t xml:space="preserve"> without the knowledge or consent of the applicant and without the intention to restore possession of the motor vehicle to the applicant.</w:t>
      </w:r>
      <w:r w:rsidRPr="00B17C11">
        <w:rPr>
          <w:rStyle w:val="FootnoteReference"/>
          <w:rFonts w:ascii="Arial" w:hAnsi="Arial" w:cs="Arial"/>
          <w:sz w:val="24"/>
          <w:szCs w:val="24"/>
          <w:shd w:val="clear" w:color="auto" w:fill="FFFFFF"/>
        </w:rPr>
        <w:footnoteReference w:id="59"/>
      </w:r>
    </w:p>
    <w:p w14:paraId="1890EC40" w14:textId="3D090015" w:rsidR="004E3EF9" w:rsidRPr="00B17C11" w:rsidRDefault="00543FA4"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As illustrated above,</w:t>
      </w:r>
      <w:r w:rsidR="00970528" w:rsidRPr="00B17C11">
        <w:rPr>
          <w:rFonts w:ascii="Arial" w:hAnsi="Arial" w:cs="Arial"/>
          <w:sz w:val="24"/>
          <w:szCs w:val="24"/>
          <w:shd w:val="clear" w:color="auto" w:fill="FFFFFF"/>
        </w:rPr>
        <w:t xml:space="preserve">  </w:t>
      </w:r>
      <w:r w:rsidR="00FD7661" w:rsidRPr="00B17C11">
        <w:rPr>
          <w:rFonts w:ascii="Arial" w:hAnsi="Arial" w:cs="Arial"/>
          <w:sz w:val="24"/>
          <w:szCs w:val="24"/>
          <w:shd w:val="clear" w:color="auto" w:fill="FFFFFF"/>
        </w:rPr>
        <w:t>a</w:t>
      </w:r>
      <w:r w:rsidR="004E3EF9" w:rsidRPr="00B17C11">
        <w:rPr>
          <w:rFonts w:ascii="Arial" w:hAnsi="Arial" w:cs="Arial"/>
          <w:sz w:val="24"/>
          <w:szCs w:val="24"/>
          <w:shd w:val="clear" w:color="auto" w:fill="FFFFFF"/>
        </w:rPr>
        <w:t>mong the legal consequences arising from ‘possession’ is the protection of possession itself.</w:t>
      </w:r>
      <w:r w:rsidR="004E3EF9" w:rsidRPr="00B17C11">
        <w:rPr>
          <w:rStyle w:val="FootnoteReference"/>
          <w:rFonts w:ascii="Arial" w:hAnsi="Arial" w:cs="Arial"/>
          <w:sz w:val="24"/>
          <w:szCs w:val="24"/>
          <w:shd w:val="clear" w:color="auto" w:fill="FFFFFF"/>
        </w:rPr>
        <w:footnoteReference w:id="60"/>
      </w:r>
      <w:r w:rsidR="004E3EF9" w:rsidRPr="00B17C11">
        <w:rPr>
          <w:rFonts w:ascii="Arial" w:hAnsi="Arial" w:cs="Arial"/>
          <w:sz w:val="24"/>
          <w:szCs w:val="24"/>
          <w:shd w:val="clear" w:color="auto" w:fill="FFFFFF"/>
        </w:rPr>
        <w:t xml:space="preserve"> The historical reasons for the protection of possession began with the need to protect the possession of public land that was not held in private ownership and the need to prevent people from taking matters into their own hands – public policy reasons.</w:t>
      </w:r>
      <w:r w:rsidR="004E3EF9" w:rsidRPr="00B17C11">
        <w:rPr>
          <w:rStyle w:val="FootnoteReference"/>
          <w:rFonts w:ascii="Arial" w:hAnsi="Arial" w:cs="Arial"/>
          <w:sz w:val="24"/>
          <w:szCs w:val="24"/>
          <w:shd w:val="clear" w:color="auto" w:fill="FFFFFF"/>
        </w:rPr>
        <w:footnoteReference w:id="61"/>
      </w:r>
      <w:r w:rsidR="004E3EF9" w:rsidRPr="00B17C11">
        <w:rPr>
          <w:rFonts w:ascii="Arial" w:hAnsi="Arial" w:cs="Arial"/>
          <w:sz w:val="24"/>
          <w:szCs w:val="24"/>
          <w:shd w:val="clear" w:color="auto" w:fill="FFFFFF"/>
        </w:rPr>
        <w:t xml:space="preserve"> The common remedies employed by the law to protect possession are an interdict, possessory actions, and </w:t>
      </w:r>
      <w:proofErr w:type="spellStart"/>
      <w:r w:rsidR="004E3EF9" w:rsidRPr="00B17C11">
        <w:rPr>
          <w:rFonts w:ascii="Arial" w:hAnsi="Arial" w:cs="Arial"/>
          <w:sz w:val="24"/>
          <w:szCs w:val="24"/>
          <w:shd w:val="clear" w:color="auto" w:fill="FFFFFF"/>
        </w:rPr>
        <w:t>spoliatory</w:t>
      </w:r>
      <w:proofErr w:type="spellEnd"/>
      <w:r w:rsidR="004E3EF9" w:rsidRPr="00B17C11">
        <w:rPr>
          <w:rFonts w:ascii="Arial" w:hAnsi="Arial" w:cs="Arial"/>
          <w:sz w:val="24"/>
          <w:szCs w:val="24"/>
          <w:shd w:val="clear" w:color="auto" w:fill="FFFFFF"/>
        </w:rPr>
        <w:t xml:space="preserve"> relief - also known as the </w:t>
      </w:r>
      <w:proofErr w:type="spellStart"/>
      <w:r w:rsidR="004E3EF9" w:rsidRPr="00B17C11">
        <w:rPr>
          <w:rFonts w:ascii="Arial" w:hAnsi="Arial" w:cs="Arial"/>
          <w:i/>
          <w:sz w:val="24"/>
          <w:szCs w:val="24"/>
          <w:shd w:val="clear" w:color="auto" w:fill="FFFFFF"/>
        </w:rPr>
        <w:t>mand</w:t>
      </w:r>
      <w:r w:rsidR="00F67D80" w:rsidRPr="00B17C11">
        <w:rPr>
          <w:rFonts w:ascii="Arial" w:hAnsi="Arial" w:cs="Arial"/>
          <w:i/>
          <w:sz w:val="24"/>
          <w:szCs w:val="24"/>
          <w:shd w:val="clear" w:color="auto" w:fill="FFFFFF"/>
        </w:rPr>
        <w:t>a</w:t>
      </w:r>
      <w:r w:rsidR="004E3EF9" w:rsidRPr="00B17C11">
        <w:rPr>
          <w:rFonts w:ascii="Arial" w:hAnsi="Arial" w:cs="Arial"/>
          <w:i/>
          <w:sz w:val="24"/>
          <w:szCs w:val="24"/>
          <w:shd w:val="clear" w:color="auto" w:fill="FFFFFF"/>
        </w:rPr>
        <w:t>ment</w:t>
      </w:r>
      <w:proofErr w:type="spellEnd"/>
      <w:r w:rsidR="004E3EF9" w:rsidRPr="00B17C11">
        <w:rPr>
          <w:rFonts w:ascii="Arial" w:hAnsi="Arial" w:cs="Arial"/>
          <w:i/>
          <w:sz w:val="24"/>
          <w:szCs w:val="24"/>
          <w:shd w:val="clear" w:color="auto" w:fill="FFFFFF"/>
        </w:rPr>
        <w:t xml:space="preserve"> van </w:t>
      </w:r>
      <w:proofErr w:type="spellStart"/>
      <w:r w:rsidR="004E3EF9" w:rsidRPr="00B17C11">
        <w:rPr>
          <w:rFonts w:ascii="Arial" w:hAnsi="Arial" w:cs="Arial"/>
          <w:i/>
          <w:sz w:val="24"/>
          <w:szCs w:val="24"/>
          <w:shd w:val="clear" w:color="auto" w:fill="FFFFFF"/>
        </w:rPr>
        <w:t>spolie</w:t>
      </w:r>
      <w:proofErr w:type="spellEnd"/>
      <w:r w:rsidR="004E3EF9" w:rsidRPr="00B17C11">
        <w:rPr>
          <w:rFonts w:ascii="Arial" w:hAnsi="Arial" w:cs="Arial"/>
          <w:i/>
          <w:sz w:val="24"/>
          <w:szCs w:val="24"/>
          <w:shd w:val="clear" w:color="auto" w:fill="FFFFFF"/>
        </w:rPr>
        <w:t>.</w:t>
      </w:r>
      <w:r w:rsidR="004E3EF9" w:rsidRPr="00B17C11">
        <w:rPr>
          <w:rStyle w:val="FootnoteReference"/>
          <w:rFonts w:ascii="Arial" w:hAnsi="Arial" w:cs="Arial"/>
          <w:iCs/>
          <w:sz w:val="24"/>
          <w:szCs w:val="24"/>
          <w:shd w:val="clear" w:color="auto" w:fill="FFFFFF"/>
        </w:rPr>
        <w:footnoteReference w:id="62"/>
      </w:r>
      <w:r w:rsidR="004E3EF9" w:rsidRPr="00B17C11">
        <w:rPr>
          <w:rFonts w:ascii="Arial" w:hAnsi="Arial" w:cs="Arial"/>
          <w:iCs/>
          <w:sz w:val="24"/>
          <w:szCs w:val="24"/>
          <w:shd w:val="clear" w:color="auto" w:fill="FFFFFF"/>
        </w:rPr>
        <w:t xml:space="preserve"> </w:t>
      </w:r>
      <w:r w:rsidR="004E3EF9" w:rsidRPr="00B17C11">
        <w:rPr>
          <w:rFonts w:ascii="Arial" w:hAnsi="Arial" w:cs="Arial"/>
          <w:sz w:val="24"/>
          <w:szCs w:val="24"/>
          <w:shd w:val="clear" w:color="auto" w:fill="FFFFFF"/>
        </w:rPr>
        <w:t>This research will only focus on the spoliation remedy/</w:t>
      </w:r>
      <w:proofErr w:type="spellStart"/>
      <w:r w:rsidR="004E3EF9" w:rsidRPr="00B17C11">
        <w:rPr>
          <w:rFonts w:ascii="Arial" w:hAnsi="Arial" w:cs="Arial"/>
          <w:i/>
          <w:sz w:val="24"/>
          <w:szCs w:val="24"/>
          <w:shd w:val="clear" w:color="auto" w:fill="FFFFFF"/>
        </w:rPr>
        <w:t>mandament</w:t>
      </w:r>
      <w:proofErr w:type="spellEnd"/>
      <w:r w:rsidR="004E3EF9" w:rsidRPr="00B17C11">
        <w:rPr>
          <w:rFonts w:ascii="Arial" w:hAnsi="Arial" w:cs="Arial"/>
          <w:i/>
          <w:sz w:val="24"/>
          <w:szCs w:val="24"/>
          <w:shd w:val="clear" w:color="auto" w:fill="FFFFFF"/>
        </w:rPr>
        <w:t xml:space="preserve"> van </w:t>
      </w:r>
      <w:proofErr w:type="spellStart"/>
      <w:r w:rsidR="004E3EF9" w:rsidRPr="00B17C11">
        <w:rPr>
          <w:rFonts w:ascii="Arial" w:hAnsi="Arial" w:cs="Arial"/>
          <w:i/>
          <w:sz w:val="24"/>
          <w:szCs w:val="24"/>
          <w:shd w:val="clear" w:color="auto" w:fill="FFFFFF"/>
        </w:rPr>
        <w:t>spolie</w:t>
      </w:r>
      <w:proofErr w:type="spellEnd"/>
      <w:r w:rsidR="004E3EF9" w:rsidRPr="00B17C11">
        <w:rPr>
          <w:rFonts w:ascii="Arial" w:hAnsi="Arial" w:cs="Arial"/>
          <w:sz w:val="24"/>
          <w:szCs w:val="24"/>
          <w:shd w:val="clear" w:color="auto" w:fill="FFFFFF"/>
        </w:rPr>
        <w:t>.</w:t>
      </w:r>
    </w:p>
    <w:p w14:paraId="6785BA71" w14:textId="77777777" w:rsidR="008C0076" w:rsidRPr="00B17C11" w:rsidRDefault="008C0076" w:rsidP="004E3EF9">
      <w:pPr>
        <w:spacing w:line="360" w:lineRule="auto"/>
        <w:jc w:val="both"/>
        <w:rPr>
          <w:rFonts w:ascii="Arial" w:hAnsi="Arial" w:cs="Arial"/>
          <w:sz w:val="24"/>
          <w:szCs w:val="24"/>
          <w:shd w:val="clear" w:color="auto" w:fill="FFFFFF"/>
        </w:rPr>
      </w:pPr>
    </w:p>
    <w:p w14:paraId="0AC410D8" w14:textId="14680E60" w:rsidR="004E3EF9" w:rsidRPr="00B17C11" w:rsidRDefault="004E3EF9" w:rsidP="008C0076">
      <w:pPr>
        <w:pStyle w:val="Heading2"/>
        <w:rPr>
          <w:shd w:val="clear" w:color="auto" w:fill="FFFFFF"/>
        </w:rPr>
      </w:pPr>
      <w:bookmarkStart w:id="11" w:name="_Toc181339538"/>
      <w:r w:rsidRPr="00B17C11">
        <w:rPr>
          <w:shd w:val="clear" w:color="auto" w:fill="FFFFFF"/>
        </w:rPr>
        <w:lastRenderedPageBreak/>
        <w:t>2.3</w:t>
      </w:r>
      <w:r w:rsidR="008C0076" w:rsidRPr="00B17C11">
        <w:rPr>
          <w:shd w:val="clear" w:color="auto" w:fill="FFFFFF"/>
        </w:rPr>
        <w:tab/>
      </w:r>
      <w:r w:rsidRPr="00B17C11">
        <w:rPr>
          <w:shd w:val="clear" w:color="auto" w:fill="FFFFFF"/>
        </w:rPr>
        <w:t>The reception of the Spoliation remedy into South African Law</w:t>
      </w:r>
      <w:bookmarkEnd w:id="11"/>
    </w:p>
    <w:p w14:paraId="1EC6EDC9" w14:textId="1D550936"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South African modern law is based on the Roman-Dutch Law that was applied in Holland during the 16</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17</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and 18</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xml:space="preserve"> centuries.</w:t>
      </w:r>
      <w:r w:rsidRPr="00B17C11">
        <w:rPr>
          <w:rStyle w:val="FootnoteReference"/>
          <w:rFonts w:ascii="Arial" w:hAnsi="Arial" w:cs="Arial"/>
          <w:sz w:val="24"/>
          <w:szCs w:val="24"/>
          <w:shd w:val="clear" w:color="auto" w:fill="FFFFFF"/>
        </w:rPr>
        <w:footnoteReference w:id="63"/>
      </w:r>
      <w:r w:rsidRPr="00B17C11">
        <w:rPr>
          <w:rFonts w:ascii="Arial" w:hAnsi="Arial" w:cs="Arial"/>
          <w:sz w:val="24"/>
          <w:szCs w:val="24"/>
          <w:shd w:val="clear" w:color="auto" w:fill="FFFFFF"/>
        </w:rPr>
        <w:t xml:space="preserve"> This law found its way to South Africa in 1652 when Jan van Riebeek settled in the Cape of Good Hope. The expression ‘Roman-Dutch Law’ was pioneered by Simon van Leeuwen</w:t>
      </w:r>
      <w:r w:rsidR="00F67D80"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who employed it as the sub-title of his work</w:t>
      </w:r>
      <w:r w:rsidRPr="00B17C11">
        <w:rPr>
          <w:rFonts w:ascii="Arial" w:hAnsi="Arial" w:cs="Arial"/>
          <w:iCs/>
          <w:sz w:val="24"/>
          <w:szCs w:val="24"/>
          <w:shd w:val="clear" w:color="auto" w:fill="FFFFFF"/>
        </w:rPr>
        <w:t xml:space="preserve"> entitled</w:t>
      </w:r>
      <w:r w:rsidRPr="00B17C11">
        <w:rPr>
          <w:rFonts w:ascii="Arial" w:hAnsi="Arial" w:cs="Arial"/>
          <w:i/>
          <w:sz w:val="24"/>
          <w:szCs w:val="24"/>
          <w:shd w:val="clear" w:color="auto" w:fill="FFFFFF"/>
        </w:rPr>
        <w:t xml:space="preserve"> Paratitula Juris </w:t>
      </w:r>
      <w:proofErr w:type="spellStart"/>
      <w:r w:rsidRPr="00B17C11">
        <w:rPr>
          <w:rFonts w:ascii="Arial" w:hAnsi="Arial" w:cs="Arial"/>
          <w:i/>
          <w:sz w:val="24"/>
          <w:szCs w:val="24"/>
          <w:shd w:val="clear" w:color="auto" w:fill="FFFFFF"/>
        </w:rPr>
        <w:t>Novissimi</w:t>
      </w:r>
      <w:proofErr w:type="spellEnd"/>
      <w:r w:rsidRPr="00B17C11">
        <w:rPr>
          <w:rFonts w:ascii="Arial" w:hAnsi="Arial" w:cs="Arial"/>
          <w:sz w:val="24"/>
          <w:szCs w:val="24"/>
          <w:shd w:val="clear" w:color="auto" w:fill="FFFFFF"/>
        </w:rPr>
        <w:t>, which was published in 1652.</w:t>
      </w:r>
      <w:r w:rsidRPr="00B17C11">
        <w:rPr>
          <w:rStyle w:val="FootnoteReference"/>
          <w:rFonts w:ascii="Arial" w:hAnsi="Arial" w:cs="Arial"/>
          <w:sz w:val="24"/>
          <w:szCs w:val="24"/>
          <w:shd w:val="clear" w:color="auto" w:fill="FFFFFF"/>
        </w:rPr>
        <w:footnoteReference w:id="64"/>
      </w:r>
      <w:r w:rsidRPr="00B17C11">
        <w:rPr>
          <w:rFonts w:ascii="Arial" w:hAnsi="Arial" w:cs="Arial"/>
          <w:sz w:val="24"/>
          <w:szCs w:val="24"/>
          <w:shd w:val="clear" w:color="auto" w:fill="FFFFFF"/>
        </w:rPr>
        <w:t xml:space="preserve"> When Roman law made its way to the Netherlands, it was not equally and completely received by all provinces – it was far-reaching in </w:t>
      </w:r>
      <w:r w:rsidR="00CF4EDC" w:rsidRPr="00B17C11">
        <w:rPr>
          <w:rFonts w:ascii="Arial" w:hAnsi="Arial" w:cs="Arial"/>
          <w:sz w:val="24"/>
          <w:szCs w:val="24"/>
          <w:shd w:val="clear" w:color="auto" w:fill="FFFFFF"/>
        </w:rPr>
        <w:t>some</w:t>
      </w:r>
      <w:r w:rsidRPr="00B17C11">
        <w:rPr>
          <w:rFonts w:ascii="Arial" w:hAnsi="Arial" w:cs="Arial"/>
          <w:sz w:val="24"/>
          <w:szCs w:val="24"/>
          <w:shd w:val="clear" w:color="auto" w:fill="FFFFFF"/>
        </w:rPr>
        <w:t xml:space="preserve"> provinces and less so in others. For this reason, references to Roman-Dutch law need not be understood to mean the law common to all</w:t>
      </w:r>
      <w:r w:rsidR="00F67D80"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of the Netherlands but one that was particularly peculiar to the province of Holland.</w:t>
      </w:r>
      <w:r w:rsidRPr="00B17C11">
        <w:rPr>
          <w:rStyle w:val="FootnoteReference"/>
          <w:rFonts w:ascii="Arial" w:hAnsi="Arial" w:cs="Arial"/>
          <w:sz w:val="24"/>
          <w:szCs w:val="24"/>
          <w:shd w:val="clear" w:color="auto" w:fill="FFFFFF"/>
        </w:rPr>
        <w:footnoteReference w:id="65"/>
      </w:r>
    </w:p>
    <w:p w14:paraId="4B1DA0C7" w14:textId="241E78E8" w:rsidR="00F43057"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Roman-Dutch </w:t>
      </w:r>
      <w:r w:rsidR="00CA6A65" w:rsidRPr="00B17C11">
        <w:rPr>
          <w:rFonts w:ascii="Arial" w:hAnsi="Arial" w:cs="Arial"/>
          <w:sz w:val="24"/>
          <w:szCs w:val="24"/>
          <w:shd w:val="clear" w:color="auto" w:fill="FFFFFF"/>
        </w:rPr>
        <w:t>l</w:t>
      </w:r>
      <w:r w:rsidRPr="00B17C11">
        <w:rPr>
          <w:rFonts w:ascii="Arial" w:hAnsi="Arial" w:cs="Arial"/>
          <w:sz w:val="24"/>
          <w:szCs w:val="24"/>
          <w:shd w:val="clear" w:color="auto" w:fill="FFFFFF"/>
        </w:rPr>
        <w:t xml:space="preserve">aw recognised three possessory remedies, 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maintenue</w:t>
      </w:r>
      <w:proofErr w:type="spellEnd"/>
      <w:r w:rsidR="00F67D80"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complainte</w:t>
      </w:r>
      <w:proofErr w:type="spellEnd"/>
      <w:r w:rsidR="00F67D80" w:rsidRPr="00B17C11">
        <w:rPr>
          <w:rFonts w:ascii="Arial" w:hAnsi="Arial" w:cs="Arial"/>
          <w:i/>
          <w:sz w:val="24"/>
          <w:szCs w:val="24"/>
          <w:shd w:val="clear" w:color="auto" w:fill="FFFFFF"/>
        </w:rPr>
        <w:t>,</w:t>
      </w:r>
      <w:r w:rsidRPr="00B17C11">
        <w:rPr>
          <w:rFonts w:ascii="Arial" w:hAnsi="Arial" w:cs="Arial"/>
          <w:i/>
          <w:sz w:val="24"/>
          <w:szCs w:val="24"/>
          <w:shd w:val="clear" w:color="auto" w:fill="FFFFFF"/>
        </w:rPr>
        <w:t xml:space="preserve"> </w:t>
      </w:r>
      <w:r w:rsidRPr="00B17C11">
        <w:rPr>
          <w:rFonts w:ascii="Arial" w:hAnsi="Arial" w:cs="Arial"/>
          <w:sz w:val="24"/>
          <w:szCs w:val="24"/>
          <w:shd w:val="clear" w:color="auto" w:fill="FFFFFF"/>
        </w:rPr>
        <w:t xml:space="preserve">and 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 derived from the Canon </w:t>
      </w:r>
      <w:r w:rsidR="00CA6A65" w:rsidRPr="00B17C11">
        <w:rPr>
          <w:rFonts w:ascii="Arial" w:hAnsi="Arial" w:cs="Arial"/>
          <w:sz w:val="24"/>
          <w:szCs w:val="24"/>
          <w:shd w:val="clear" w:color="auto" w:fill="FFFFFF"/>
        </w:rPr>
        <w:t>l</w:t>
      </w:r>
      <w:r w:rsidRPr="00B17C11">
        <w:rPr>
          <w:rFonts w:ascii="Arial" w:hAnsi="Arial" w:cs="Arial"/>
          <w:sz w:val="24"/>
          <w:szCs w:val="24"/>
          <w:shd w:val="clear" w:color="auto" w:fill="FFFFFF"/>
        </w:rPr>
        <w:t xml:space="preserve">aw </w:t>
      </w:r>
      <w:proofErr w:type="spellStart"/>
      <w:r w:rsidRPr="00B17C11">
        <w:rPr>
          <w:rFonts w:ascii="Arial" w:hAnsi="Arial" w:cs="Arial"/>
          <w:i/>
          <w:sz w:val="24"/>
          <w:szCs w:val="24"/>
          <w:shd w:val="clear" w:color="auto" w:fill="FFFFFF"/>
        </w:rPr>
        <w:t>actio</w:t>
      </w:r>
      <w:proofErr w:type="spellEnd"/>
      <w:r w:rsidRPr="00B17C11">
        <w:rPr>
          <w:rFonts w:ascii="Arial" w:hAnsi="Arial" w:cs="Arial"/>
          <w:i/>
          <w:sz w:val="24"/>
          <w:szCs w:val="24"/>
          <w:shd w:val="clear" w:color="auto" w:fill="FFFFFF"/>
        </w:rPr>
        <w:t xml:space="preserve"> </w:t>
      </w:r>
      <w:proofErr w:type="spellStart"/>
      <w:r w:rsidRPr="00B17C11">
        <w:rPr>
          <w:rFonts w:ascii="Arial" w:hAnsi="Arial" w:cs="Arial"/>
          <w:i/>
          <w:sz w:val="24"/>
          <w:szCs w:val="24"/>
          <w:shd w:val="clear" w:color="auto" w:fill="FFFFFF"/>
        </w:rPr>
        <w:t>spolii</w:t>
      </w:r>
      <w:proofErr w:type="spellEnd"/>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66"/>
      </w:r>
      <w:r w:rsidRPr="00B17C11">
        <w:rPr>
          <w:rFonts w:ascii="Arial" w:hAnsi="Arial" w:cs="Arial"/>
          <w:sz w:val="24"/>
          <w:szCs w:val="24"/>
          <w:shd w:val="clear" w:color="auto" w:fill="FFFFFF"/>
        </w:rPr>
        <w:t xml:space="preserve"> Only the </w:t>
      </w:r>
      <w:proofErr w:type="spellStart"/>
      <w:r w:rsidR="007B2260" w:rsidRPr="00B17C11">
        <w:rPr>
          <w:rFonts w:ascii="Arial" w:hAnsi="Arial" w:cs="Arial"/>
          <w:i/>
          <w:sz w:val="24"/>
          <w:szCs w:val="24"/>
          <w:shd w:val="clear" w:color="auto" w:fill="FFFFFF"/>
        </w:rPr>
        <w:t>m</w:t>
      </w:r>
      <w:r w:rsidRPr="00B17C11">
        <w:rPr>
          <w:rFonts w:ascii="Arial" w:hAnsi="Arial" w:cs="Arial"/>
          <w:i/>
          <w:sz w:val="24"/>
          <w:szCs w:val="24"/>
          <w:shd w:val="clear" w:color="auto" w:fill="FFFFFF"/>
        </w:rPr>
        <w:t>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i/>
          <w:sz w:val="24"/>
          <w:szCs w:val="24"/>
          <w:shd w:val="clear" w:color="auto" w:fill="FFFFFF"/>
        </w:rPr>
        <w:t xml:space="preserve"> </w:t>
      </w:r>
      <w:r w:rsidRPr="00B17C11">
        <w:rPr>
          <w:rFonts w:ascii="Arial" w:hAnsi="Arial" w:cs="Arial"/>
          <w:sz w:val="24"/>
          <w:szCs w:val="24"/>
          <w:shd w:val="clear" w:color="auto" w:fill="FFFFFF"/>
        </w:rPr>
        <w:t xml:space="preserve">remained in South African </w:t>
      </w:r>
      <w:r w:rsidR="00CA6A65" w:rsidRPr="00B17C11">
        <w:rPr>
          <w:rFonts w:ascii="Arial" w:hAnsi="Arial" w:cs="Arial"/>
          <w:sz w:val="24"/>
          <w:szCs w:val="24"/>
          <w:shd w:val="clear" w:color="auto" w:fill="FFFFFF"/>
        </w:rPr>
        <w:t>l</w:t>
      </w:r>
      <w:r w:rsidRPr="00B17C11">
        <w:rPr>
          <w:rFonts w:ascii="Arial" w:hAnsi="Arial" w:cs="Arial"/>
          <w:sz w:val="24"/>
          <w:szCs w:val="24"/>
          <w:shd w:val="clear" w:color="auto" w:fill="FFFFFF"/>
        </w:rPr>
        <w:t>aw.</w:t>
      </w:r>
      <w:r w:rsidRPr="00B17C11">
        <w:rPr>
          <w:rStyle w:val="FootnoteReference"/>
          <w:rFonts w:ascii="Arial" w:hAnsi="Arial" w:cs="Arial"/>
          <w:sz w:val="24"/>
          <w:szCs w:val="24"/>
          <w:shd w:val="clear" w:color="auto" w:fill="FFFFFF"/>
        </w:rPr>
        <w:footnoteReference w:id="67"/>
      </w:r>
    </w:p>
    <w:p w14:paraId="509CFE27" w14:textId="40111B25" w:rsidR="004E3EF9" w:rsidRPr="00B17C11" w:rsidRDefault="00CA6A65" w:rsidP="004E3EF9">
      <w:pPr>
        <w:spacing w:line="360" w:lineRule="auto"/>
        <w:jc w:val="both"/>
        <w:rPr>
          <w:rFonts w:ascii="Arial" w:hAnsi="Arial" w:cs="Arial"/>
          <w:sz w:val="24"/>
          <w:szCs w:val="24"/>
          <w:shd w:val="clear" w:color="auto" w:fill="FFFFFF"/>
        </w:rPr>
      </w:pPr>
      <w:r w:rsidRPr="00B17C11">
        <w:rPr>
          <w:rFonts w:ascii="Arial" w:hAnsi="Arial" w:cs="Arial"/>
          <w:iCs/>
          <w:sz w:val="24"/>
          <w:szCs w:val="24"/>
          <w:shd w:val="clear" w:color="auto" w:fill="FFFFFF"/>
        </w:rPr>
        <w:t>The</w:t>
      </w:r>
      <w:r w:rsidRPr="00B17C11">
        <w:rPr>
          <w:rFonts w:ascii="Arial" w:hAnsi="Arial" w:cs="Arial"/>
          <w:i/>
          <w:sz w:val="24"/>
          <w:szCs w:val="24"/>
          <w:shd w:val="clear" w:color="auto" w:fill="FFFFFF"/>
        </w:rPr>
        <w:t xml:space="preserve"> </w:t>
      </w:r>
      <w:proofErr w:type="spellStart"/>
      <w:r w:rsidR="004E3EF9" w:rsidRPr="00B17C11">
        <w:rPr>
          <w:rFonts w:ascii="Arial" w:hAnsi="Arial" w:cs="Arial"/>
          <w:i/>
          <w:sz w:val="24"/>
          <w:szCs w:val="24"/>
          <w:shd w:val="clear" w:color="auto" w:fill="FFFFFF"/>
        </w:rPr>
        <w:t>Mandament</w:t>
      </w:r>
      <w:proofErr w:type="spellEnd"/>
      <w:r w:rsidR="004E3EF9" w:rsidRPr="00B17C11">
        <w:rPr>
          <w:rFonts w:ascii="Arial" w:hAnsi="Arial" w:cs="Arial"/>
          <w:i/>
          <w:sz w:val="24"/>
          <w:szCs w:val="24"/>
          <w:shd w:val="clear" w:color="auto" w:fill="FFFFFF"/>
        </w:rPr>
        <w:t xml:space="preserve"> van </w:t>
      </w:r>
      <w:proofErr w:type="spellStart"/>
      <w:r w:rsidR="007B2260" w:rsidRPr="00B17C11">
        <w:rPr>
          <w:rFonts w:ascii="Arial" w:hAnsi="Arial" w:cs="Arial"/>
          <w:i/>
          <w:sz w:val="24"/>
          <w:szCs w:val="24"/>
          <w:shd w:val="clear" w:color="auto" w:fill="FFFFFF"/>
        </w:rPr>
        <w:t>m</w:t>
      </w:r>
      <w:r w:rsidR="004E3EF9" w:rsidRPr="00B17C11">
        <w:rPr>
          <w:rFonts w:ascii="Arial" w:hAnsi="Arial" w:cs="Arial"/>
          <w:i/>
          <w:sz w:val="24"/>
          <w:szCs w:val="24"/>
          <w:shd w:val="clear" w:color="auto" w:fill="FFFFFF"/>
        </w:rPr>
        <w:t>aintenue</w:t>
      </w:r>
      <w:proofErr w:type="spellEnd"/>
      <w:r w:rsidR="004E3EF9" w:rsidRPr="00B17C11">
        <w:rPr>
          <w:rFonts w:ascii="Arial" w:hAnsi="Arial" w:cs="Arial"/>
          <w:sz w:val="24"/>
          <w:szCs w:val="24"/>
          <w:shd w:val="clear" w:color="auto" w:fill="FFFFFF"/>
        </w:rPr>
        <w:t xml:space="preserve"> was almost always instituted in conjunction with </w:t>
      </w:r>
      <w:r w:rsidRPr="00B17C11">
        <w:rPr>
          <w:rFonts w:ascii="Arial" w:hAnsi="Arial" w:cs="Arial"/>
          <w:sz w:val="24"/>
          <w:szCs w:val="24"/>
          <w:shd w:val="clear" w:color="auto" w:fill="FFFFFF"/>
        </w:rPr>
        <w:t xml:space="preserve">the </w:t>
      </w:r>
      <w:proofErr w:type="spellStart"/>
      <w:r w:rsidR="004E3EF9" w:rsidRPr="00B17C11">
        <w:rPr>
          <w:rFonts w:ascii="Arial" w:hAnsi="Arial" w:cs="Arial"/>
          <w:i/>
          <w:sz w:val="24"/>
          <w:szCs w:val="24"/>
          <w:shd w:val="clear" w:color="auto" w:fill="FFFFFF"/>
        </w:rPr>
        <w:t>mandament</w:t>
      </w:r>
      <w:proofErr w:type="spellEnd"/>
      <w:r w:rsidR="004E3EF9" w:rsidRPr="00B17C11">
        <w:rPr>
          <w:rFonts w:ascii="Arial" w:hAnsi="Arial" w:cs="Arial"/>
          <w:i/>
          <w:sz w:val="24"/>
          <w:szCs w:val="24"/>
          <w:shd w:val="clear" w:color="auto" w:fill="FFFFFF"/>
        </w:rPr>
        <w:t xml:space="preserve"> van </w:t>
      </w:r>
      <w:proofErr w:type="spellStart"/>
      <w:r w:rsidR="007B2260" w:rsidRPr="00B17C11">
        <w:rPr>
          <w:rFonts w:ascii="Arial" w:hAnsi="Arial" w:cs="Arial"/>
          <w:i/>
          <w:sz w:val="24"/>
          <w:szCs w:val="24"/>
          <w:shd w:val="clear" w:color="auto" w:fill="FFFFFF"/>
        </w:rPr>
        <w:t>i</w:t>
      </w:r>
      <w:r w:rsidR="004E3EF9" w:rsidRPr="00B17C11">
        <w:rPr>
          <w:rFonts w:ascii="Arial" w:hAnsi="Arial" w:cs="Arial"/>
          <w:i/>
          <w:sz w:val="24"/>
          <w:szCs w:val="24"/>
          <w:shd w:val="clear" w:color="auto" w:fill="FFFFFF"/>
        </w:rPr>
        <w:t>mmissie</w:t>
      </w:r>
      <w:proofErr w:type="spellEnd"/>
      <w:r w:rsidR="004E3EF9" w:rsidRPr="00B17C11">
        <w:rPr>
          <w:rFonts w:ascii="Arial" w:hAnsi="Arial" w:cs="Arial"/>
          <w:sz w:val="24"/>
          <w:szCs w:val="24"/>
          <w:shd w:val="clear" w:color="auto" w:fill="FFFFFF"/>
        </w:rPr>
        <w:t xml:space="preserve"> - which was applied in cases where a</w:t>
      </w:r>
      <w:r w:rsidR="00F67D80" w:rsidRPr="00B17C11">
        <w:rPr>
          <w:rFonts w:ascii="Arial" w:hAnsi="Arial" w:cs="Arial"/>
          <w:sz w:val="24"/>
          <w:szCs w:val="24"/>
          <w:shd w:val="clear" w:color="auto" w:fill="FFFFFF"/>
        </w:rPr>
        <w:t>n</w:t>
      </w:r>
      <w:r w:rsidR="004E3EF9" w:rsidRPr="00B17C11">
        <w:rPr>
          <w:rFonts w:ascii="Arial" w:hAnsi="Arial" w:cs="Arial"/>
          <w:sz w:val="24"/>
          <w:szCs w:val="24"/>
          <w:shd w:val="clear" w:color="auto" w:fill="FFFFFF"/>
        </w:rPr>
        <w:t xml:space="preserve"> heir sought possession of the deceased estate.</w:t>
      </w:r>
      <w:r w:rsidR="004E3EF9" w:rsidRPr="00B17C11">
        <w:rPr>
          <w:rStyle w:val="FootnoteReference"/>
          <w:rFonts w:ascii="Arial" w:hAnsi="Arial" w:cs="Arial"/>
          <w:sz w:val="24"/>
          <w:szCs w:val="24"/>
          <w:shd w:val="clear" w:color="auto" w:fill="FFFFFF"/>
        </w:rPr>
        <w:footnoteReference w:id="68"/>
      </w:r>
      <w:r w:rsidR="004E3EF9" w:rsidRPr="00B17C11">
        <w:rPr>
          <w:rFonts w:ascii="Arial" w:hAnsi="Arial" w:cs="Arial"/>
          <w:sz w:val="24"/>
          <w:szCs w:val="24"/>
          <w:shd w:val="clear" w:color="auto" w:fill="FFFFFF"/>
        </w:rPr>
        <w:t xml:space="preserve"> The </w:t>
      </w:r>
      <w:proofErr w:type="spellStart"/>
      <w:r w:rsidR="007B2260" w:rsidRPr="00B17C11">
        <w:rPr>
          <w:rFonts w:ascii="Arial" w:hAnsi="Arial" w:cs="Arial"/>
          <w:i/>
          <w:sz w:val="24"/>
          <w:szCs w:val="24"/>
          <w:shd w:val="clear" w:color="auto" w:fill="FFFFFF"/>
        </w:rPr>
        <w:t>m</w:t>
      </w:r>
      <w:r w:rsidR="004E3EF9" w:rsidRPr="00B17C11">
        <w:rPr>
          <w:rFonts w:ascii="Arial" w:hAnsi="Arial" w:cs="Arial"/>
          <w:i/>
          <w:sz w:val="24"/>
          <w:szCs w:val="24"/>
          <w:shd w:val="clear" w:color="auto" w:fill="FFFFFF"/>
        </w:rPr>
        <w:t>andament</w:t>
      </w:r>
      <w:proofErr w:type="spellEnd"/>
      <w:r w:rsidR="004E3EF9" w:rsidRPr="00B17C11">
        <w:rPr>
          <w:rFonts w:ascii="Arial" w:hAnsi="Arial" w:cs="Arial"/>
          <w:i/>
          <w:sz w:val="24"/>
          <w:szCs w:val="24"/>
          <w:shd w:val="clear" w:color="auto" w:fill="FFFFFF"/>
        </w:rPr>
        <w:t xml:space="preserve"> van </w:t>
      </w:r>
      <w:proofErr w:type="spellStart"/>
      <w:r w:rsidR="004E3EF9" w:rsidRPr="00B17C11">
        <w:rPr>
          <w:rFonts w:ascii="Arial" w:hAnsi="Arial" w:cs="Arial"/>
          <w:i/>
          <w:sz w:val="24"/>
          <w:szCs w:val="24"/>
          <w:shd w:val="clear" w:color="auto" w:fill="FFFFFF"/>
        </w:rPr>
        <w:t>ma</w:t>
      </w:r>
      <w:r w:rsidR="007B2260" w:rsidRPr="00B17C11">
        <w:rPr>
          <w:rFonts w:ascii="Arial" w:hAnsi="Arial" w:cs="Arial"/>
          <w:i/>
          <w:sz w:val="24"/>
          <w:szCs w:val="24"/>
          <w:shd w:val="clear" w:color="auto" w:fill="FFFFFF"/>
        </w:rPr>
        <w:t>i</w:t>
      </w:r>
      <w:r w:rsidR="004E3EF9" w:rsidRPr="00B17C11">
        <w:rPr>
          <w:rFonts w:ascii="Arial" w:hAnsi="Arial" w:cs="Arial"/>
          <w:i/>
          <w:sz w:val="24"/>
          <w:szCs w:val="24"/>
          <w:shd w:val="clear" w:color="auto" w:fill="FFFFFF"/>
        </w:rPr>
        <w:t>ntenue</w:t>
      </w:r>
      <w:proofErr w:type="spellEnd"/>
      <w:r w:rsidR="004E3EF9" w:rsidRPr="00B17C11">
        <w:rPr>
          <w:rFonts w:ascii="Arial" w:hAnsi="Arial" w:cs="Arial"/>
          <w:sz w:val="24"/>
          <w:szCs w:val="24"/>
          <w:shd w:val="clear" w:color="auto" w:fill="FFFFFF"/>
        </w:rPr>
        <w:t xml:space="preserve"> was</w:t>
      </w:r>
      <w:r w:rsidR="00F67D80" w:rsidRPr="00B17C11">
        <w:rPr>
          <w:rFonts w:ascii="Arial" w:hAnsi="Arial" w:cs="Arial"/>
          <w:sz w:val="24"/>
          <w:szCs w:val="24"/>
          <w:shd w:val="clear" w:color="auto" w:fill="FFFFFF"/>
        </w:rPr>
        <w:t>,</w:t>
      </w:r>
      <w:r w:rsidR="004E3EF9" w:rsidRPr="00B17C11">
        <w:rPr>
          <w:rFonts w:ascii="Arial" w:hAnsi="Arial" w:cs="Arial"/>
          <w:sz w:val="24"/>
          <w:szCs w:val="24"/>
          <w:shd w:val="clear" w:color="auto" w:fill="FFFFFF"/>
        </w:rPr>
        <w:t xml:space="preserve"> in a sense</w:t>
      </w:r>
      <w:r w:rsidR="00F67D80" w:rsidRPr="00B17C11">
        <w:rPr>
          <w:rFonts w:ascii="Arial" w:hAnsi="Arial" w:cs="Arial"/>
          <w:sz w:val="24"/>
          <w:szCs w:val="24"/>
          <w:shd w:val="clear" w:color="auto" w:fill="FFFFFF"/>
        </w:rPr>
        <w:t>,</w:t>
      </w:r>
      <w:r w:rsidR="004E3EF9" w:rsidRPr="00B17C11">
        <w:rPr>
          <w:rFonts w:ascii="Arial" w:hAnsi="Arial" w:cs="Arial"/>
          <w:sz w:val="24"/>
          <w:szCs w:val="24"/>
          <w:shd w:val="clear" w:color="auto" w:fill="FFFFFF"/>
        </w:rPr>
        <w:t xml:space="preserve"> applied similarly to a </w:t>
      </w:r>
      <w:proofErr w:type="spellStart"/>
      <w:r w:rsidR="004E3EF9" w:rsidRPr="00B17C11">
        <w:rPr>
          <w:rFonts w:ascii="Arial" w:hAnsi="Arial" w:cs="Arial"/>
          <w:sz w:val="24"/>
          <w:szCs w:val="24"/>
          <w:shd w:val="clear" w:color="auto" w:fill="FFFFFF"/>
        </w:rPr>
        <w:t>prohibitory</w:t>
      </w:r>
      <w:proofErr w:type="spellEnd"/>
      <w:r w:rsidR="004E3EF9" w:rsidRPr="00B17C11">
        <w:rPr>
          <w:rFonts w:ascii="Arial" w:hAnsi="Arial" w:cs="Arial"/>
          <w:sz w:val="24"/>
          <w:szCs w:val="24"/>
          <w:shd w:val="clear" w:color="auto" w:fill="FFFFFF"/>
        </w:rPr>
        <w:t xml:space="preserve"> interdict in that threatened or actual disturbance with possession and any alike in the future could be restored</w:t>
      </w:r>
      <w:r w:rsidR="00F67D80" w:rsidRPr="00B17C11">
        <w:rPr>
          <w:rFonts w:ascii="Arial" w:hAnsi="Arial" w:cs="Arial"/>
          <w:sz w:val="24"/>
          <w:szCs w:val="24"/>
          <w:shd w:val="clear" w:color="auto" w:fill="FFFFFF"/>
        </w:rPr>
        <w:t>,</w:t>
      </w:r>
      <w:r w:rsidR="004E3EF9" w:rsidRPr="00B17C11">
        <w:rPr>
          <w:rFonts w:ascii="Arial" w:hAnsi="Arial" w:cs="Arial"/>
          <w:sz w:val="24"/>
          <w:szCs w:val="24"/>
          <w:shd w:val="clear" w:color="auto" w:fill="FFFFFF"/>
        </w:rPr>
        <w:t xml:space="preserve"> prevented</w:t>
      </w:r>
      <w:r w:rsidR="00F67D80" w:rsidRPr="00B17C11">
        <w:rPr>
          <w:rFonts w:ascii="Arial" w:hAnsi="Arial" w:cs="Arial"/>
          <w:sz w:val="24"/>
          <w:szCs w:val="24"/>
          <w:shd w:val="clear" w:color="auto" w:fill="FFFFFF"/>
        </w:rPr>
        <w:t>,</w:t>
      </w:r>
      <w:r w:rsidR="004E3EF9" w:rsidRPr="00B17C11">
        <w:rPr>
          <w:rFonts w:ascii="Arial" w:hAnsi="Arial" w:cs="Arial"/>
          <w:sz w:val="24"/>
          <w:szCs w:val="24"/>
          <w:shd w:val="clear" w:color="auto" w:fill="FFFFFF"/>
        </w:rPr>
        <w:t xml:space="preserve"> or indemnified.</w:t>
      </w:r>
      <w:r w:rsidR="004E3EF9" w:rsidRPr="00B17C11">
        <w:rPr>
          <w:rStyle w:val="FootnoteReference"/>
          <w:rFonts w:ascii="Arial" w:hAnsi="Arial" w:cs="Arial"/>
          <w:sz w:val="24"/>
          <w:szCs w:val="24"/>
          <w:shd w:val="clear" w:color="auto" w:fill="FFFFFF"/>
        </w:rPr>
        <w:footnoteReference w:id="69"/>
      </w:r>
    </w:p>
    <w:p w14:paraId="31CEF89C" w14:textId="4EDF01A2"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The </w:t>
      </w:r>
      <w:proofErr w:type="spellStart"/>
      <w:r w:rsidR="007B2260" w:rsidRPr="00B17C11">
        <w:rPr>
          <w:rFonts w:ascii="Arial" w:hAnsi="Arial" w:cs="Arial"/>
          <w:i/>
          <w:sz w:val="24"/>
          <w:szCs w:val="24"/>
          <w:shd w:val="clear" w:color="auto" w:fill="FFFFFF"/>
        </w:rPr>
        <w:t>m</w:t>
      </w:r>
      <w:r w:rsidRPr="00B17C11">
        <w:rPr>
          <w:rFonts w:ascii="Arial" w:hAnsi="Arial" w:cs="Arial"/>
          <w:i/>
          <w:sz w:val="24"/>
          <w:szCs w:val="24"/>
          <w:shd w:val="clear" w:color="auto" w:fill="FFFFFF"/>
        </w:rPr>
        <w:t>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w:t>
      </w:r>
      <w:r w:rsidR="0083100D" w:rsidRPr="00B17C11">
        <w:rPr>
          <w:rFonts w:ascii="Arial" w:hAnsi="Arial" w:cs="Arial"/>
          <w:i/>
          <w:sz w:val="24"/>
          <w:szCs w:val="24"/>
          <w:shd w:val="clear" w:color="auto" w:fill="FFFFFF"/>
        </w:rPr>
        <w:t>i</w:t>
      </w:r>
      <w:proofErr w:type="spellEnd"/>
      <w:r w:rsidRPr="00B17C11">
        <w:rPr>
          <w:rFonts w:ascii="Arial" w:hAnsi="Arial" w:cs="Arial"/>
          <w:sz w:val="24"/>
          <w:szCs w:val="24"/>
          <w:shd w:val="clear" w:color="auto" w:fill="FFFFFF"/>
        </w:rPr>
        <w:t xml:space="preserve"> was applied to restore possession</w:t>
      </w:r>
      <w:r w:rsidR="0083100D" w:rsidRPr="00B17C11">
        <w:rPr>
          <w:rFonts w:ascii="Arial" w:hAnsi="Arial" w:cs="Arial"/>
          <w:sz w:val="24"/>
          <w:szCs w:val="24"/>
          <w:shd w:val="clear" w:color="auto" w:fill="FFFFFF"/>
        </w:rPr>
        <w:t>. At the same time,</w:t>
      </w:r>
      <w:r w:rsidRPr="00B17C11">
        <w:rPr>
          <w:rFonts w:ascii="Arial" w:hAnsi="Arial" w:cs="Arial"/>
          <w:sz w:val="24"/>
          <w:szCs w:val="24"/>
          <w:shd w:val="clear" w:color="auto" w:fill="FFFFFF"/>
        </w:rPr>
        <w:t xml:space="preserve"> the </w:t>
      </w:r>
      <w:proofErr w:type="spellStart"/>
      <w:r w:rsidR="007B2260" w:rsidRPr="00B17C11">
        <w:rPr>
          <w:rFonts w:ascii="Arial" w:hAnsi="Arial" w:cs="Arial"/>
          <w:i/>
          <w:sz w:val="24"/>
          <w:szCs w:val="24"/>
          <w:shd w:val="clear" w:color="auto" w:fill="FFFFFF"/>
        </w:rPr>
        <w:t>m</w:t>
      </w:r>
      <w:r w:rsidRPr="00B17C11">
        <w:rPr>
          <w:rFonts w:ascii="Arial" w:hAnsi="Arial" w:cs="Arial"/>
          <w:i/>
          <w:sz w:val="24"/>
          <w:szCs w:val="24"/>
          <w:shd w:val="clear" w:color="auto" w:fill="FFFFFF"/>
        </w:rPr>
        <w:t>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complainte</w:t>
      </w:r>
      <w:proofErr w:type="spellEnd"/>
      <w:r w:rsidRPr="00B17C11">
        <w:rPr>
          <w:rFonts w:ascii="Arial" w:hAnsi="Arial" w:cs="Arial"/>
          <w:sz w:val="24"/>
          <w:szCs w:val="24"/>
          <w:shd w:val="clear" w:color="auto" w:fill="FFFFFF"/>
        </w:rPr>
        <w:t xml:space="preserve"> invaded the province of both </w:t>
      </w:r>
      <w:proofErr w:type="spellStart"/>
      <w:r w:rsidRPr="00B17C11">
        <w:rPr>
          <w:rFonts w:ascii="Arial" w:hAnsi="Arial" w:cs="Arial"/>
          <w:i/>
          <w:sz w:val="24"/>
          <w:szCs w:val="24"/>
          <w:shd w:val="clear" w:color="auto" w:fill="FFFFFF"/>
        </w:rPr>
        <w:t>ma</w:t>
      </w:r>
      <w:r w:rsidR="007B2260" w:rsidRPr="00B17C11">
        <w:rPr>
          <w:rFonts w:ascii="Arial" w:hAnsi="Arial" w:cs="Arial"/>
          <w:i/>
          <w:sz w:val="24"/>
          <w:szCs w:val="24"/>
          <w:shd w:val="clear" w:color="auto" w:fill="FFFFFF"/>
        </w:rPr>
        <w:t>i</w:t>
      </w:r>
      <w:r w:rsidRPr="00B17C11">
        <w:rPr>
          <w:rFonts w:ascii="Arial" w:hAnsi="Arial" w:cs="Arial"/>
          <w:i/>
          <w:sz w:val="24"/>
          <w:szCs w:val="24"/>
          <w:shd w:val="clear" w:color="auto" w:fill="FFFFFF"/>
        </w:rPr>
        <w:t>ntenue</w:t>
      </w:r>
      <w:proofErr w:type="spellEnd"/>
      <w:r w:rsidRPr="00B17C11">
        <w:rPr>
          <w:rFonts w:ascii="Arial" w:hAnsi="Arial" w:cs="Arial"/>
          <w:sz w:val="24"/>
          <w:szCs w:val="24"/>
          <w:shd w:val="clear" w:color="auto" w:fill="FFFFFF"/>
        </w:rPr>
        <w:t xml:space="preserve"> and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in that it was instituted to restore possession that had been deprived or to maintain possession against disturbances.</w:t>
      </w:r>
      <w:r w:rsidRPr="00B17C11">
        <w:rPr>
          <w:rStyle w:val="FootnoteReference"/>
          <w:rFonts w:ascii="Arial" w:hAnsi="Arial" w:cs="Arial"/>
          <w:sz w:val="24"/>
          <w:szCs w:val="24"/>
          <w:shd w:val="clear" w:color="auto" w:fill="FFFFFF"/>
        </w:rPr>
        <w:footnoteReference w:id="70"/>
      </w:r>
    </w:p>
    <w:p w14:paraId="6C24355D" w14:textId="7134D5B9"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The source of the spoliation remedy is the ‘</w:t>
      </w:r>
      <w:r w:rsidRPr="00B17C11">
        <w:rPr>
          <w:rFonts w:ascii="Arial" w:hAnsi="Arial" w:cs="Arial"/>
          <w:i/>
          <w:iCs/>
          <w:sz w:val="24"/>
          <w:szCs w:val="24"/>
          <w:shd w:val="clear" w:color="auto" w:fill="FFFFFF"/>
        </w:rPr>
        <w:t xml:space="preserve">condictio ex </w:t>
      </w:r>
      <w:proofErr w:type="spellStart"/>
      <w:r w:rsidRPr="00B17C11">
        <w:rPr>
          <w:rFonts w:ascii="Arial" w:hAnsi="Arial" w:cs="Arial"/>
          <w:i/>
          <w:iCs/>
          <w:sz w:val="24"/>
          <w:szCs w:val="24"/>
          <w:shd w:val="clear" w:color="auto" w:fill="FFFFFF"/>
        </w:rPr>
        <w:t>canone</w:t>
      </w:r>
      <w:proofErr w:type="spellEnd"/>
      <w:r w:rsidRPr="00B17C11">
        <w:rPr>
          <w:rFonts w:ascii="Arial" w:hAnsi="Arial" w:cs="Arial"/>
          <w:sz w:val="24"/>
          <w:szCs w:val="24"/>
          <w:shd w:val="clear" w:color="auto" w:fill="FFFFFF"/>
        </w:rPr>
        <w:t xml:space="preserve"> </w:t>
      </w:r>
      <w:proofErr w:type="spellStart"/>
      <w:r w:rsidRPr="00B17C11">
        <w:rPr>
          <w:rFonts w:ascii="Arial" w:hAnsi="Arial" w:cs="Arial"/>
          <w:i/>
          <w:sz w:val="24"/>
          <w:szCs w:val="24"/>
          <w:shd w:val="clear" w:color="auto" w:fill="FFFFFF"/>
        </w:rPr>
        <w:t>redintegranda</w:t>
      </w:r>
      <w:proofErr w:type="spellEnd"/>
      <w:r w:rsidRPr="00B17C11">
        <w:rPr>
          <w:rFonts w:ascii="Arial" w:hAnsi="Arial" w:cs="Arial"/>
          <w:sz w:val="24"/>
          <w:szCs w:val="24"/>
          <w:shd w:val="clear" w:color="auto" w:fill="FFFFFF"/>
        </w:rPr>
        <w:t xml:space="preserve">’ found in the glosses of the </w:t>
      </w:r>
      <w:proofErr w:type="spellStart"/>
      <w:r w:rsidRPr="00B17C11">
        <w:rPr>
          <w:rFonts w:ascii="Arial" w:hAnsi="Arial" w:cs="Arial"/>
          <w:sz w:val="24"/>
          <w:szCs w:val="24"/>
          <w:shd w:val="clear" w:color="auto" w:fill="FFFFFF"/>
        </w:rPr>
        <w:t>Drecretum</w:t>
      </w:r>
      <w:proofErr w:type="spellEnd"/>
      <w:r w:rsidRPr="00B17C11">
        <w:rPr>
          <w:rFonts w:ascii="Arial" w:hAnsi="Arial" w:cs="Arial"/>
          <w:sz w:val="24"/>
          <w:szCs w:val="24"/>
          <w:shd w:val="clear" w:color="auto" w:fill="FFFFFF"/>
        </w:rPr>
        <w:t xml:space="preserve"> </w:t>
      </w:r>
      <w:proofErr w:type="spellStart"/>
      <w:r w:rsidRPr="00B17C11">
        <w:rPr>
          <w:rFonts w:ascii="Arial" w:hAnsi="Arial" w:cs="Arial"/>
          <w:sz w:val="24"/>
          <w:szCs w:val="24"/>
          <w:shd w:val="clear" w:color="auto" w:fill="FFFFFF"/>
        </w:rPr>
        <w:t>Gratiani</w:t>
      </w:r>
      <w:proofErr w:type="spellEnd"/>
      <w:r w:rsidRPr="00B17C11">
        <w:rPr>
          <w:rFonts w:ascii="Arial" w:hAnsi="Arial" w:cs="Arial"/>
          <w:sz w:val="24"/>
          <w:szCs w:val="24"/>
          <w:shd w:val="clear" w:color="auto" w:fill="FFFFFF"/>
        </w:rPr>
        <w:t xml:space="preserve">, which enabled a </w:t>
      </w:r>
      <w:r w:rsidR="00CA6A65" w:rsidRPr="00B17C11">
        <w:rPr>
          <w:rFonts w:ascii="Arial" w:hAnsi="Arial" w:cs="Arial"/>
          <w:sz w:val="24"/>
          <w:szCs w:val="24"/>
          <w:shd w:val="clear" w:color="auto" w:fill="FFFFFF"/>
        </w:rPr>
        <w:t xml:space="preserve">bishop </w:t>
      </w:r>
      <w:r w:rsidRPr="00B17C11">
        <w:rPr>
          <w:rFonts w:ascii="Arial" w:hAnsi="Arial" w:cs="Arial"/>
          <w:sz w:val="24"/>
          <w:szCs w:val="24"/>
          <w:shd w:val="clear" w:color="auto" w:fill="FFFFFF"/>
        </w:rPr>
        <w:t>expelled from his seat to be restored to his position before the merits of his expulsion are considered.</w:t>
      </w:r>
      <w:r w:rsidRPr="00B17C11">
        <w:rPr>
          <w:rStyle w:val="FootnoteReference"/>
          <w:rFonts w:ascii="Arial" w:hAnsi="Arial" w:cs="Arial"/>
          <w:sz w:val="24"/>
          <w:szCs w:val="24"/>
          <w:shd w:val="clear" w:color="auto" w:fill="FFFFFF"/>
        </w:rPr>
        <w:footnoteReference w:id="71"/>
      </w:r>
      <w:r w:rsidRPr="00B17C11">
        <w:rPr>
          <w:rFonts w:ascii="Arial" w:hAnsi="Arial" w:cs="Arial"/>
          <w:sz w:val="24"/>
          <w:szCs w:val="24"/>
          <w:shd w:val="clear" w:color="auto" w:fill="FFFFFF"/>
        </w:rPr>
        <w:t xml:space="preserve"> This remedy initially took the form of </w:t>
      </w:r>
      <w:proofErr w:type="spellStart"/>
      <w:r w:rsidRPr="00B17C11">
        <w:rPr>
          <w:rFonts w:ascii="Arial" w:hAnsi="Arial" w:cs="Arial"/>
          <w:i/>
          <w:sz w:val="24"/>
          <w:szCs w:val="24"/>
          <w:shd w:val="clear" w:color="auto" w:fill="FFFFFF"/>
        </w:rPr>
        <w:t>exceptio</w:t>
      </w:r>
      <w:proofErr w:type="spellEnd"/>
      <w:r w:rsidRPr="00B17C11">
        <w:rPr>
          <w:rFonts w:ascii="Arial" w:hAnsi="Arial" w:cs="Arial"/>
          <w:i/>
          <w:sz w:val="24"/>
          <w:szCs w:val="24"/>
          <w:shd w:val="clear" w:color="auto" w:fill="FFFFFF"/>
        </w:rPr>
        <w:t xml:space="preserve">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then </w:t>
      </w:r>
      <w:r w:rsidRPr="00B17C11">
        <w:rPr>
          <w:rFonts w:ascii="Arial" w:hAnsi="Arial" w:cs="Arial"/>
          <w:i/>
          <w:sz w:val="24"/>
          <w:szCs w:val="24"/>
          <w:shd w:val="clear" w:color="auto" w:fill="FFFFFF"/>
        </w:rPr>
        <w:t xml:space="preserve">condictio ex </w:t>
      </w:r>
      <w:proofErr w:type="spellStart"/>
      <w:r w:rsidRPr="00B17C11">
        <w:rPr>
          <w:rFonts w:ascii="Arial" w:hAnsi="Arial" w:cs="Arial"/>
          <w:i/>
          <w:sz w:val="24"/>
          <w:szCs w:val="24"/>
          <w:shd w:val="clear" w:color="auto" w:fill="FFFFFF"/>
        </w:rPr>
        <w:t>conone</w:t>
      </w:r>
      <w:proofErr w:type="spellEnd"/>
      <w:r w:rsidRPr="00B17C11">
        <w:rPr>
          <w:rFonts w:ascii="Arial" w:hAnsi="Arial" w:cs="Arial"/>
          <w:i/>
          <w:sz w:val="24"/>
          <w:szCs w:val="24"/>
          <w:shd w:val="clear" w:color="auto" w:fill="FFFFFF"/>
        </w:rPr>
        <w:t xml:space="preserve"> </w:t>
      </w:r>
      <w:proofErr w:type="spellStart"/>
      <w:r w:rsidRPr="00B17C11">
        <w:rPr>
          <w:rFonts w:ascii="Arial" w:hAnsi="Arial" w:cs="Arial"/>
          <w:i/>
          <w:sz w:val="24"/>
          <w:szCs w:val="24"/>
          <w:shd w:val="clear" w:color="auto" w:fill="FFFFFF"/>
        </w:rPr>
        <w:t>redintegrande</w:t>
      </w:r>
      <w:proofErr w:type="spellEnd"/>
      <w:r w:rsidRPr="00B17C11">
        <w:rPr>
          <w:rFonts w:ascii="Arial" w:hAnsi="Arial" w:cs="Arial"/>
          <w:sz w:val="24"/>
          <w:szCs w:val="24"/>
          <w:shd w:val="clear" w:color="auto" w:fill="FFFFFF"/>
        </w:rPr>
        <w:t xml:space="preserve">, and later </w:t>
      </w:r>
      <w:proofErr w:type="spellStart"/>
      <w:r w:rsidRPr="00B17C11">
        <w:rPr>
          <w:rFonts w:ascii="Arial" w:hAnsi="Arial" w:cs="Arial"/>
          <w:i/>
          <w:sz w:val="24"/>
          <w:szCs w:val="24"/>
          <w:shd w:val="clear" w:color="auto" w:fill="FFFFFF"/>
        </w:rPr>
        <w:t>actio</w:t>
      </w:r>
      <w:proofErr w:type="spellEnd"/>
      <w:r w:rsidRPr="00B17C11">
        <w:rPr>
          <w:rFonts w:ascii="Arial" w:hAnsi="Arial" w:cs="Arial"/>
          <w:i/>
          <w:sz w:val="24"/>
          <w:szCs w:val="24"/>
          <w:shd w:val="clear" w:color="auto" w:fill="FFFFFF"/>
        </w:rPr>
        <w:t xml:space="preserve"> </w:t>
      </w:r>
      <w:proofErr w:type="spellStart"/>
      <w:r w:rsidRPr="00B17C11">
        <w:rPr>
          <w:rFonts w:ascii="Arial" w:hAnsi="Arial" w:cs="Arial"/>
          <w:i/>
          <w:sz w:val="24"/>
          <w:szCs w:val="24"/>
          <w:shd w:val="clear" w:color="auto" w:fill="FFFFFF"/>
        </w:rPr>
        <w:t>spolii</w:t>
      </w:r>
      <w:proofErr w:type="spellEnd"/>
      <w:r w:rsidRPr="00B17C11">
        <w:rPr>
          <w:rFonts w:ascii="Arial" w:hAnsi="Arial" w:cs="Arial"/>
          <w:sz w:val="24"/>
          <w:szCs w:val="24"/>
          <w:shd w:val="clear" w:color="auto" w:fill="FFFFFF"/>
        </w:rPr>
        <w:t xml:space="preserve">. It was finally termed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in Roman-Dutch Law.</w:t>
      </w:r>
      <w:r w:rsidRPr="00B17C11">
        <w:rPr>
          <w:rStyle w:val="FootnoteReference"/>
          <w:rFonts w:ascii="Arial" w:hAnsi="Arial" w:cs="Arial"/>
          <w:sz w:val="24"/>
          <w:szCs w:val="24"/>
          <w:shd w:val="clear" w:color="auto" w:fill="FFFFFF"/>
        </w:rPr>
        <w:footnoteReference w:id="72"/>
      </w:r>
    </w:p>
    <w:p w14:paraId="44200F92" w14:textId="6A13DE23"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 Roman-Dutch Law, this remedy was less developed and applied only seldom.</w:t>
      </w:r>
      <w:r w:rsidRPr="00B17C11">
        <w:rPr>
          <w:rStyle w:val="FootnoteReference"/>
          <w:rFonts w:ascii="Arial" w:hAnsi="Arial" w:cs="Arial"/>
          <w:sz w:val="24"/>
          <w:szCs w:val="24"/>
          <w:shd w:val="clear" w:color="auto" w:fill="FFFFFF"/>
        </w:rPr>
        <w:footnoteReference w:id="73"/>
      </w:r>
      <w:r w:rsidRPr="00B17C11">
        <w:rPr>
          <w:rFonts w:ascii="Arial" w:hAnsi="Arial" w:cs="Arial"/>
          <w:sz w:val="24"/>
          <w:szCs w:val="24"/>
          <w:shd w:val="clear" w:color="auto" w:fill="FFFFFF"/>
        </w:rPr>
        <w:t xml:space="preserve"> This is largely because the law of the time recognised other well-developed possessory remedies that were found convenient.</w:t>
      </w:r>
      <w:r w:rsidRPr="00B17C11">
        <w:rPr>
          <w:rStyle w:val="FootnoteReference"/>
          <w:rFonts w:ascii="Arial" w:hAnsi="Arial" w:cs="Arial"/>
          <w:sz w:val="24"/>
          <w:szCs w:val="24"/>
          <w:shd w:val="clear" w:color="auto" w:fill="FFFFFF"/>
        </w:rPr>
        <w:footnoteReference w:id="74"/>
      </w:r>
      <w:r w:rsidRPr="00B17C11">
        <w:rPr>
          <w:rFonts w:ascii="Arial" w:hAnsi="Arial" w:cs="Arial"/>
          <w:sz w:val="24"/>
          <w:szCs w:val="24"/>
          <w:shd w:val="clear" w:color="auto" w:fill="FFFFFF"/>
        </w:rPr>
        <w:t xml:space="preserve"> For instance, if there was any threat of disturbances with the property</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the </w:t>
      </w:r>
      <w:proofErr w:type="spellStart"/>
      <w:r w:rsidR="007B2260" w:rsidRPr="00B17C11">
        <w:rPr>
          <w:rFonts w:ascii="Arial" w:hAnsi="Arial" w:cs="Arial"/>
          <w:i/>
          <w:sz w:val="24"/>
          <w:szCs w:val="24"/>
          <w:shd w:val="clear" w:color="auto" w:fill="FFFFFF"/>
        </w:rPr>
        <w:t>m</w:t>
      </w:r>
      <w:r w:rsidRPr="00B17C11">
        <w:rPr>
          <w:rFonts w:ascii="Arial" w:hAnsi="Arial" w:cs="Arial"/>
          <w:i/>
          <w:sz w:val="24"/>
          <w:szCs w:val="24"/>
          <w:shd w:val="clear" w:color="auto" w:fill="FFFFFF"/>
        </w:rPr>
        <w:t>aintenue</w:t>
      </w:r>
      <w:proofErr w:type="spellEnd"/>
      <w:r w:rsidRPr="00B17C11">
        <w:rPr>
          <w:rFonts w:ascii="Arial" w:hAnsi="Arial" w:cs="Arial"/>
          <w:sz w:val="24"/>
          <w:szCs w:val="24"/>
          <w:shd w:val="clear" w:color="auto" w:fill="FFFFFF"/>
        </w:rPr>
        <w:t xml:space="preserve"> was instituted</w:t>
      </w:r>
      <w:r w:rsidR="0083100D" w:rsidRPr="00B17C11">
        <w:rPr>
          <w:rFonts w:ascii="Arial" w:hAnsi="Arial" w:cs="Arial"/>
          <w:sz w:val="24"/>
          <w:szCs w:val="24"/>
          <w:shd w:val="clear" w:color="auto" w:fill="FFFFFF"/>
        </w:rPr>
        <w:t>. This</w:t>
      </w:r>
      <w:r w:rsidRPr="00B17C11">
        <w:rPr>
          <w:rFonts w:ascii="Arial" w:hAnsi="Arial" w:cs="Arial"/>
          <w:sz w:val="24"/>
          <w:szCs w:val="24"/>
          <w:shd w:val="clear" w:color="auto" w:fill="FFFFFF"/>
        </w:rPr>
        <w:t xml:space="preserve"> meant that the spoliation remedy could not be used until there was an actual loss of possession or actual disturbance of possession.</w:t>
      </w:r>
      <w:r w:rsidRPr="00B17C11">
        <w:rPr>
          <w:rStyle w:val="FootnoteReference"/>
          <w:rFonts w:ascii="Arial" w:hAnsi="Arial" w:cs="Arial"/>
          <w:sz w:val="24"/>
          <w:szCs w:val="24"/>
          <w:shd w:val="clear" w:color="auto" w:fill="FFFFFF"/>
        </w:rPr>
        <w:footnoteReference w:id="75"/>
      </w:r>
      <w:r w:rsidRPr="00B17C11">
        <w:rPr>
          <w:rFonts w:ascii="Arial" w:hAnsi="Arial" w:cs="Arial"/>
          <w:sz w:val="24"/>
          <w:szCs w:val="24"/>
          <w:shd w:val="clear" w:color="auto" w:fill="FFFFFF"/>
        </w:rPr>
        <w:t xml:space="preserve"> Over</w:t>
      </w:r>
      <w:r w:rsidR="0083100D"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time, the two often-used remedies fell into disuse</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only 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remained.</w:t>
      </w:r>
      <w:r w:rsidRPr="00B17C11">
        <w:rPr>
          <w:rStyle w:val="FootnoteReference"/>
          <w:rFonts w:ascii="Arial" w:hAnsi="Arial" w:cs="Arial"/>
          <w:sz w:val="24"/>
          <w:szCs w:val="24"/>
          <w:shd w:val="clear" w:color="auto" w:fill="FFFFFF"/>
        </w:rPr>
        <w:footnoteReference w:id="76"/>
      </w:r>
      <w:r w:rsidRPr="00B17C11">
        <w:rPr>
          <w:rFonts w:ascii="Arial" w:hAnsi="Arial" w:cs="Arial"/>
          <w:sz w:val="24"/>
          <w:szCs w:val="24"/>
          <w:shd w:val="clear" w:color="auto" w:fill="FFFFFF"/>
        </w:rPr>
        <w:t xml:space="preserve"> However, 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was only ever truly developed by the South African courts.</w:t>
      </w:r>
      <w:r w:rsidRPr="00B17C11">
        <w:rPr>
          <w:rStyle w:val="FootnoteReference"/>
          <w:rFonts w:ascii="Arial" w:hAnsi="Arial" w:cs="Arial"/>
          <w:sz w:val="24"/>
          <w:szCs w:val="24"/>
          <w:shd w:val="clear" w:color="auto" w:fill="FFFFFF"/>
        </w:rPr>
        <w:footnoteReference w:id="77"/>
      </w:r>
      <w:r w:rsidRPr="00B17C11">
        <w:rPr>
          <w:rFonts w:ascii="Arial" w:hAnsi="Arial" w:cs="Arial"/>
          <w:sz w:val="24"/>
          <w:szCs w:val="24"/>
          <w:shd w:val="clear" w:color="auto" w:fill="FFFFFF"/>
        </w:rPr>
        <w:t xml:space="preserve"> This development is discussed in the following section</w:t>
      </w:r>
      <w:r w:rsidR="00DB544E" w:rsidRPr="00B17C11">
        <w:rPr>
          <w:rFonts w:ascii="Arial" w:hAnsi="Arial" w:cs="Arial"/>
          <w:sz w:val="24"/>
          <w:szCs w:val="24"/>
          <w:shd w:val="clear" w:color="auto" w:fill="FFFFFF"/>
        </w:rPr>
        <w:t xml:space="preserve"> under the requirements and scope for the spoliation remedy</w:t>
      </w:r>
      <w:r w:rsidRPr="00B17C11">
        <w:rPr>
          <w:rFonts w:ascii="Arial" w:hAnsi="Arial" w:cs="Arial"/>
          <w:sz w:val="24"/>
          <w:szCs w:val="24"/>
          <w:shd w:val="clear" w:color="auto" w:fill="FFFFFF"/>
        </w:rPr>
        <w:t>.</w:t>
      </w:r>
    </w:p>
    <w:p w14:paraId="6F6EF887" w14:textId="77777777" w:rsidR="008C0076" w:rsidRPr="00B17C11" w:rsidRDefault="008C0076" w:rsidP="004E3EF9">
      <w:pPr>
        <w:spacing w:line="360" w:lineRule="auto"/>
        <w:jc w:val="both"/>
        <w:rPr>
          <w:rFonts w:ascii="Arial" w:hAnsi="Arial" w:cs="Arial"/>
          <w:sz w:val="24"/>
          <w:szCs w:val="24"/>
          <w:shd w:val="clear" w:color="auto" w:fill="FFFFFF"/>
        </w:rPr>
      </w:pPr>
    </w:p>
    <w:p w14:paraId="1D022557" w14:textId="10D6C9EA" w:rsidR="004E3EF9" w:rsidRPr="00B17C11" w:rsidRDefault="004E3EF9" w:rsidP="008C0076">
      <w:pPr>
        <w:pStyle w:val="Heading2"/>
        <w:rPr>
          <w:shd w:val="clear" w:color="auto" w:fill="FFFFFF"/>
        </w:rPr>
      </w:pPr>
      <w:bookmarkStart w:id="12" w:name="_Toc181339539"/>
      <w:r w:rsidRPr="00B17C11">
        <w:rPr>
          <w:shd w:val="clear" w:color="auto" w:fill="FFFFFF"/>
        </w:rPr>
        <w:t>2.4. The requirements and scope for the spoliation remedy</w:t>
      </w:r>
      <w:bookmarkEnd w:id="12"/>
    </w:p>
    <w:p w14:paraId="765F3126" w14:textId="77777777" w:rsidR="004E3EF9" w:rsidRPr="00B17C11" w:rsidRDefault="004E3EF9" w:rsidP="008C0076">
      <w:pPr>
        <w:pStyle w:val="Heading3"/>
      </w:pPr>
      <w:bookmarkStart w:id="13" w:name="_Toc181339540"/>
      <w:r w:rsidRPr="00B17C11">
        <w:t>2.4.1 Requirements</w:t>
      </w:r>
      <w:bookmarkEnd w:id="13"/>
    </w:p>
    <w:p w14:paraId="3CED8800" w14:textId="482051A2"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applicant only needs to show that (</w:t>
      </w:r>
      <w:proofErr w:type="spellStart"/>
      <w:r w:rsidRPr="00B17C11">
        <w:rPr>
          <w:rFonts w:ascii="Arial" w:hAnsi="Arial" w:cs="Arial"/>
          <w:sz w:val="24"/>
          <w:szCs w:val="24"/>
          <w:shd w:val="clear" w:color="auto" w:fill="FFFFFF"/>
        </w:rPr>
        <w:t>i</w:t>
      </w:r>
      <w:proofErr w:type="spellEnd"/>
      <w:r w:rsidRPr="00B17C11">
        <w:rPr>
          <w:rFonts w:ascii="Arial" w:hAnsi="Arial" w:cs="Arial"/>
          <w:sz w:val="24"/>
          <w:szCs w:val="24"/>
          <w:shd w:val="clear" w:color="auto" w:fill="FFFFFF"/>
        </w:rPr>
        <w:t>) he was in peaceful and undisturbed possession of the thing and (ii) that he was unlawfully dispossessed or deprived of such possession, whether it is a movable or immovable thing.</w:t>
      </w:r>
      <w:r w:rsidRPr="00B17C11">
        <w:rPr>
          <w:rStyle w:val="FootnoteReference"/>
          <w:rFonts w:ascii="Arial" w:hAnsi="Arial" w:cs="Arial"/>
          <w:sz w:val="24"/>
          <w:szCs w:val="24"/>
          <w:shd w:val="clear" w:color="auto" w:fill="FFFFFF"/>
        </w:rPr>
        <w:footnoteReference w:id="78"/>
      </w:r>
    </w:p>
    <w:p w14:paraId="78A6B71B" w14:textId="77777777" w:rsidR="008C0076" w:rsidRPr="00B17C11" w:rsidRDefault="008C0076" w:rsidP="004E3EF9">
      <w:pPr>
        <w:spacing w:line="360" w:lineRule="auto"/>
        <w:jc w:val="both"/>
        <w:rPr>
          <w:rFonts w:ascii="Arial" w:hAnsi="Arial" w:cs="Arial"/>
          <w:sz w:val="24"/>
          <w:szCs w:val="24"/>
          <w:shd w:val="clear" w:color="auto" w:fill="FFFFFF"/>
        </w:rPr>
      </w:pPr>
    </w:p>
    <w:p w14:paraId="7F8731F3" w14:textId="77777777" w:rsidR="004E3EF9" w:rsidRPr="00B17C11" w:rsidRDefault="004E3EF9" w:rsidP="008C0076">
      <w:pPr>
        <w:pStyle w:val="Heading4"/>
      </w:pPr>
      <w:r w:rsidRPr="00B17C11">
        <w:t>2.4.1.1 Possession</w:t>
      </w:r>
    </w:p>
    <w:p w14:paraId="00944233" w14:textId="40DC9ADE"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First and foremost, the applicant must show that he had factual control of the thing and the intention to derive benefits. </w:t>
      </w:r>
      <w:r w:rsidR="0083100D" w:rsidRPr="00B17C11">
        <w:rPr>
          <w:rFonts w:ascii="Arial" w:hAnsi="Arial" w:cs="Arial"/>
          <w:sz w:val="24"/>
          <w:szCs w:val="24"/>
          <w:shd w:val="clear" w:color="auto" w:fill="FFFFFF"/>
        </w:rPr>
        <w:t>He does</w:t>
      </w:r>
      <w:r w:rsidR="00DB544E" w:rsidRPr="00B17C11">
        <w:rPr>
          <w:rFonts w:ascii="Arial" w:hAnsi="Arial" w:cs="Arial"/>
          <w:sz w:val="24"/>
          <w:szCs w:val="24"/>
          <w:shd w:val="clear" w:color="auto" w:fill="FFFFFF"/>
        </w:rPr>
        <w:t xml:space="preserve"> not need</w:t>
      </w:r>
      <w:r w:rsidR="0083100D" w:rsidRPr="00B17C11">
        <w:rPr>
          <w:rFonts w:ascii="Arial" w:hAnsi="Arial" w:cs="Arial"/>
          <w:sz w:val="24"/>
          <w:szCs w:val="24"/>
          <w:shd w:val="clear" w:color="auto" w:fill="FFFFFF"/>
        </w:rPr>
        <w:t xml:space="preserve"> to prove</w:t>
      </w:r>
      <w:r w:rsidRPr="00B17C11">
        <w:rPr>
          <w:rFonts w:ascii="Arial" w:hAnsi="Arial" w:cs="Arial"/>
          <w:sz w:val="24"/>
          <w:szCs w:val="24"/>
          <w:shd w:val="clear" w:color="auto" w:fill="FFFFFF"/>
        </w:rPr>
        <w:t xml:space="preserve"> exclusive control </w:t>
      </w:r>
      <w:r w:rsidRPr="00B17C11">
        <w:rPr>
          <w:rFonts w:ascii="Arial" w:hAnsi="Arial" w:cs="Arial"/>
          <w:sz w:val="24"/>
          <w:szCs w:val="24"/>
          <w:shd w:val="clear" w:color="auto" w:fill="FFFFFF"/>
        </w:rPr>
        <w:lastRenderedPageBreak/>
        <w:t>because a thing can be possessed jointly, and more than one person can possess different parts of the thing.</w:t>
      </w:r>
      <w:r w:rsidRPr="00B17C11">
        <w:rPr>
          <w:rStyle w:val="FootnoteReference"/>
          <w:rFonts w:ascii="Arial" w:hAnsi="Arial" w:cs="Arial"/>
          <w:sz w:val="24"/>
          <w:szCs w:val="24"/>
          <w:shd w:val="clear" w:color="auto" w:fill="FFFFFF"/>
        </w:rPr>
        <w:footnoteReference w:id="79"/>
      </w:r>
      <w:r w:rsidRPr="00B17C11">
        <w:rPr>
          <w:rFonts w:ascii="Arial" w:hAnsi="Arial" w:cs="Arial"/>
          <w:sz w:val="24"/>
          <w:szCs w:val="24"/>
          <w:shd w:val="clear" w:color="auto" w:fill="FFFFFF"/>
        </w:rPr>
        <w:t xml:space="preserve"> Secondly, the applicant must show that an act of spoliation has been committed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i.e. that he has been illicitly deprived of possession of a thing.</w:t>
      </w:r>
      <w:r w:rsidRPr="00B17C11">
        <w:rPr>
          <w:rStyle w:val="FootnoteReference"/>
          <w:rFonts w:ascii="Arial" w:hAnsi="Arial" w:cs="Arial"/>
          <w:sz w:val="24"/>
          <w:szCs w:val="24"/>
          <w:shd w:val="clear" w:color="auto" w:fill="FFFFFF"/>
        </w:rPr>
        <w:footnoteReference w:id="80"/>
      </w:r>
    </w:p>
    <w:p w14:paraId="52BC4903" w14:textId="1B0CD7DF"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proofErr w:type="spellStart"/>
      <w:r w:rsidRPr="00B17C11">
        <w:rPr>
          <w:rFonts w:ascii="Arial" w:hAnsi="Arial" w:cs="Arial"/>
          <w:i/>
          <w:sz w:val="24"/>
          <w:szCs w:val="24"/>
          <w:shd w:val="clear" w:color="auto" w:fill="FFFFFF"/>
        </w:rPr>
        <w:t>Mbangi</w:t>
      </w:r>
      <w:proofErr w:type="spellEnd"/>
      <w:r w:rsidRPr="00B17C11">
        <w:rPr>
          <w:rFonts w:ascii="Arial" w:hAnsi="Arial" w:cs="Arial"/>
          <w:i/>
          <w:sz w:val="24"/>
          <w:szCs w:val="24"/>
          <w:shd w:val="clear" w:color="auto" w:fill="FFFFFF"/>
        </w:rPr>
        <w:t xml:space="preserve"> and Others v </w:t>
      </w:r>
      <w:proofErr w:type="spellStart"/>
      <w:r w:rsidRPr="00B17C11">
        <w:rPr>
          <w:rFonts w:ascii="Arial" w:hAnsi="Arial" w:cs="Arial"/>
          <w:i/>
          <w:sz w:val="24"/>
          <w:szCs w:val="24"/>
          <w:shd w:val="clear" w:color="auto" w:fill="FFFFFF"/>
        </w:rPr>
        <w:t>Dobsonville</w:t>
      </w:r>
      <w:proofErr w:type="spellEnd"/>
      <w:r w:rsidRPr="00B17C11">
        <w:rPr>
          <w:rFonts w:ascii="Arial" w:hAnsi="Arial" w:cs="Arial"/>
          <w:i/>
          <w:sz w:val="24"/>
          <w:szCs w:val="24"/>
          <w:shd w:val="clear" w:color="auto" w:fill="FFFFFF"/>
        </w:rPr>
        <w:t xml:space="preserve"> City Council</w:t>
      </w:r>
      <w:r w:rsidRPr="00B17C11">
        <w:rPr>
          <w:rFonts w:ascii="Arial" w:hAnsi="Arial" w:cs="Arial"/>
          <w:sz w:val="24"/>
          <w:szCs w:val="24"/>
          <w:shd w:val="clear" w:color="auto" w:fill="FFFFFF"/>
        </w:rPr>
        <w:t>, the court provided a good explanation of what is meant by peaceful and undisturbed possession.</w:t>
      </w:r>
      <w:r w:rsidRPr="00B17C11">
        <w:rPr>
          <w:rStyle w:val="FootnoteReference"/>
          <w:rFonts w:ascii="Arial" w:hAnsi="Arial" w:cs="Arial"/>
          <w:sz w:val="24"/>
          <w:szCs w:val="24"/>
          <w:shd w:val="clear" w:color="auto" w:fill="FFFFFF"/>
        </w:rPr>
        <w:footnoteReference w:id="81"/>
      </w:r>
      <w:r w:rsidRPr="00B17C11">
        <w:rPr>
          <w:rFonts w:ascii="Arial" w:hAnsi="Arial" w:cs="Arial"/>
          <w:sz w:val="24"/>
          <w:szCs w:val="24"/>
          <w:shd w:val="clear" w:color="auto" w:fill="FFFFFF"/>
        </w:rPr>
        <w:t xml:space="preserve"> In </w:t>
      </w:r>
      <w:proofErr w:type="spellStart"/>
      <w:r w:rsidRPr="00B17C11">
        <w:rPr>
          <w:rFonts w:ascii="Arial" w:hAnsi="Arial" w:cs="Arial"/>
          <w:i/>
          <w:sz w:val="24"/>
          <w:szCs w:val="24"/>
          <w:shd w:val="clear" w:color="auto" w:fill="FFFFFF"/>
        </w:rPr>
        <w:t>casu</w:t>
      </w:r>
      <w:proofErr w:type="spellEnd"/>
      <w:r w:rsidRPr="00B17C11">
        <w:rPr>
          <w:rFonts w:ascii="Arial" w:hAnsi="Arial" w:cs="Arial"/>
          <w:sz w:val="24"/>
          <w:szCs w:val="24"/>
          <w:shd w:val="clear" w:color="auto" w:fill="FFFFFF"/>
        </w:rPr>
        <w:t>, the applicants had illegally occupied land belonging to the respondent. The respondent immediately took steps to remove them from his land. The court held that</w:t>
      </w:r>
      <w:r w:rsidR="00D9416D" w:rsidRPr="00B17C11">
        <w:rPr>
          <w:rFonts w:ascii="Arial" w:hAnsi="Arial" w:cs="Arial"/>
          <w:sz w:val="24"/>
          <w:szCs w:val="24"/>
          <w:shd w:val="clear" w:color="auto" w:fill="FFFFFF"/>
        </w:rPr>
        <w:t xml:space="preserve"> </w:t>
      </w:r>
      <w:r w:rsidR="00E71012" w:rsidRPr="00B17C11">
        <w:rPr>
          <w:rFonts w:ascii="Arial" w:hAnsi="Arial" w:cs="Arial"/>
          <w:sz w:val="24"/>
          <w:szCs w:val="24"/>
          <w:shd w:val="clear" w:color="auto" w:fill="FFFFFF"/>
        </w:rPr>
        <w:t>the</w:t>
      </w:r>
      <w:r w:rsidRPr="00B17C11">
        <w:rPr>
          <w:rFonts w:ascii="Arial" w:hAnsi="Arial" w:cs="Arial"/>
          <w:sz w:val="24"/>
          <w:szCs w:val="24"/>
          <w:shd w:val="clear" w:color="auto" w:fill="FFFFFF"/>
        </w:rPr>
        <w:t xml:space="preserve"> applicants were not entitled to the spoliation remedy because they were not in undisturbed and peaceful possession of the land. It was further held that the justification for spoliation is wanting if the person complaining is still in the process of attempting to wrest or acquire possession from the respondent.</w:t>
      </w:r>
      <w:r w:rsidRPr="00B17C11">
        <w:rPr>
          <w:rStyle w:val="FootnoteReference"/>
          <w:rFonts w:ascii="Arial" w:hAnsi="Arial" w:cs="Arial"/>
          <w:sz w:val="24"/>
          <w:szCs w:val="24"/>
          <w:shd w:val="clear" w:color="auto" w:fill="FFFFFF"/>
        </w:rPr>
        <w:footnoteReference w:id="82"/>
      </w:r>
      <w:r w:rsidRPr="00B17C11">
        <w:rPr>
          <w:rFonts w:ascii="Arial" w:hAnsi="Arial" w:cs="Arial"/>
          <w:sz w:val="24"/>
          <w:szCs w:val="24"/>
          <w:shd w:val="clear" w:color="auto" w:fill="FFFFFF"/>
        </w:rPr>
        <w:t xml:space="preserve"> </w:t>
      </w:r>
      <w:r w:rsidR="00621C7C" w:rsidRPr="00B17C11">
        <w:rPr>
          <w:rFonts w:ascii="Arial" w:hAnsi="Arial" w:cs="Arial"/>
          <w:sz w:val="24"/>
          <w:szCs w:val="24"/>
          <w:shd w:val="clear" w:color="auto" w:fill="FFFFFF"/>
        </w:rPr>
        <w:t xml:space="preserve">This was confirmed in </w:t>
      </w:r>
      <w:proofErr w:type="spellStart"/>
      <w:r w:rsidR="00475560" w:rsidRPr="00B17C11">
        <w:rPr>
          <w:rFonts w:ascii="Arial" w:hAnsi="Arial" w:cs="Arial"/>
          <w:i/>
          <w:iCs/>
          <w:sz w:val="24"/>
          <w:szCs w:val="24"/>
          <w:shd w:val="clear" w:color="auto" w:fill="FFFFFF"/>
        </w:rPr>
        <w:t>Bantham</w:t>
      </w:r>
      <w:proofErr w:type="spellEnd"/>
      <w:r w:rsidR="00475560" w:rsidRPr="00B17C11">
        <w:rPr>
          <w:rFonts w:ascii="Arial" w:hAnsi="Arial" w:cs="Arial"/>
          <w:i/>
          <w:iCs/>
          <w:sz w:val="24"/>
          <w:szCs w:val="24"/>
          <w:shd w:val="clear" w:color="auto" w:fill="FFFFFF"/>
        </w:rPr>
        <w:t xml:space="preserve"> and Others v City of Johannesburg and Others,</w:t>
      </w:r>
      <w:r w:rsidR="00475560" w:rsidRPr="00B17C11">
        <w:rPr>
          <w:rFonts w:ascii="Arial" w:hAnsi="Arial" w:cs="Arial"/>
          <w:sz w:val="24"/>
          <w:szCs w:val="24"/>
          <w:shd w:val="clear" w:color="auto" w:fill="FFFFFF"/>
        </w:rPr>
        <w:t xml:space="preserve"> whe</w:t>
      </w:r>
      <w:r w:rsidR="00536529" w:rsidRPr="00B17C11">
        <w:rPr>
          <w:rFonts w:ascii="Arial" w:hAnsi="Arial" w:cs="Arial"/>
          <w:sz w:val="24"/>
          <w:szCs w:val="24"/>
          <w:shd w:val="clear" w:color="auto" w:fill="FFFFFF"/>
        </w:rPr>
        <w:t>re</w:t>
      </w:r>
      <w:r w:rsidR="00475560" w:rsidRPr="00B17C11">
        <w:rPr>
          <w:rFonts w:ascii="Arial" w:hAnsi="Arial" w:cs="Arial"/>
          <w:sz w:val="24"/>
          <w:szCs w:val="24"/>
          <w:shd w:val="clear" w:color="auto" w:fill="FFFFFF"/>
        </w:rPr>
        <w:t xml:space="preserve"> the city argued that it could not have committed an act of spoliation since the shacks that it destroyed were incomplete,</w:t>
      </w:r>
      <w:r w:rsidR="00536529" w:rsidRPr="00B17C11">
        <w:rPr>
          <w:rFonts w:ascii="Arial" w:hAnsi="Arial" w:cs="Arial"/>
          <w:sz w:val="24"/>
          <w:szCs w:val="24"/>
          <w:shd w:val="clear" w:color="auto" w:fill="FFFFFF"/>
        </w:rPr>
        <w:t xml:space="preserve"> thereby,</w:t>
      </w:r>
      <w:r w:rsidR="00475560" w:rsidRPr="00B17C11">
        <w:rPr>
          <w:rFonts w:ascii="Arial" w:hAnsi="Arial" w:cs="Arial"/>
          <w:sz w:val="24"/>
          <w:szCs w:val="24"/>
          <w:shd w:val="clear" w:color="auto" w:fill="FFFFFF"/>
        </w:rPr>
        <w:t xml:space="preserve"> indicat</w:t>
      </w:r>
      <w:r w:rsidR="00536529" w:rsidRPr="00B17C11">
        <w:rPr>
          <w:rFonts w:ascii="Arial" w:hAnsi="Arial" w:cs="Arial"/>
          <w:sz w:val="24"/>
          <w:szCs w:val="24"/>
          <w:shd w:val="clear" w:color="auto" w:fill="FFFFFF"/>
        </w:rPr>
        <w:t>ing</w:t>
      </w:r>
      <w:r w:rsidR="00475560" w:rsidRPr="00B17C11">
        <w:rPr>
          <w:rFonts w:ascii="Arial" w:hAnsi="Arial" w:cs="Arial"/>
          <w:sz w:val="24"/>
          <w:szCs w:val="24"/>
          <w:shd w:val="clear" w:color="auto" w:fill="FFFFFF"/>
        </w:rPr>
        <w:t xml:space="preserve"> that the applicants were not in peaceful and undisturbed possession of the land.</w:t>
      </w:r>
      <w:r w:rsidR="00475560" w:rsidRPr="00B17C11">
        <w:rPr>
          <w:rStyle w:val="FootnoteReference"/>
          <w:rFonts w:ascii="Arial" w:hAnsi="Arial" w:cs="Arial"/>
          <w:sz w:val="24"/>
          <w:szCs w:val="24"/>
          <w:shd w:val="clear" w:color="auto" w:fill="FFFFFF"/>
        </w:rPr>
        <w:footnoteReference w:id="83"/>
      </w:r>
      <w:r w:rsidR="00475560" w:rsidRPr="00B17C11">
        <w:rPr>
          <w:rFonts w:ascii="Arial" w:hAnsi="Arial" w:cs="Arial"/>
          <w:sz w:val="24"/>
          <w:szCs w:val="24"/>
          <w:shd w:val="clear" w:color="auto" w:fill="FFFFFF"/>
        </w:rPr>
        <w:t xml:space="preserve"> </w:t>
      </w:r>
      <w:r w:rsidR="00536529" w:rsidRPr="00B17C11">
        <w:rPr>
          <w:rFonts w:ascii="Arial" w:hAnsi="Arial" w:cs="Arial"/>
          <w:sz w:val="24"/>
          <w:szCs w:val="24"/>
          <w:shd w:val="clear" w:color="auto" w:fill="FFFFFF"/>
        </w:rPr>
        <w:t xml:space="preserve">Even though the court found against the respondent, it nonetheless maintained that to obtain a spoliation order, the applicant </w:t>
      </w:r>
      <w:r w:rsidR="00AD78E0" w:rsidRPr="00B17C11">
        <w:rPr>
          <w:rFonts w:ascii="Arial" w:hAnsi="Arial" w:cs="Arial"/>
          <w:sz w:val="24"/>
          <w:szCs w:val="24"/>
          <w:shd w:val="clear" w:color="auto" w:fill="FFFFFF"/>
        </w:rPr>
        <w:t>must</w:t>
      </w:r>
      <w:r w:rsidR="00536529" w:rsidRPr="00B17C11">
        <w:rPr>
          <w:rFonts w:ascii="Arial" w:hAnsi="Arial" w:cs="Arial"/>
          <w:sz w:val="24"/>
          <w:szCs w:val="24"/>
          <w:shd w:val="clear" w:color="auto" w:fill="FFFFFF"/>
        </w:rPr>
        <w:t xml:space="preserve"> establish a sufficiently lengthy period of settled and undisputed possession of the thing.</w:t>
      </w:r>
      <w:r w:rsidR="00536529" w:rsidRPr="00B17C11">
        <w:rPr>
          <w:rStyle w:val="FootnoteReference"/>
          <w:rFonts w:ascii="Arial" w:hAnsi="Arial" w:cs="Arial"/>
          <w:sz w:val="24"/>
          <w:szCs w:val="24"/>
          <w:shd w:val="clear" w:color="auto" w:fill="FFFFFF"/>
        </w:rPr>
        <w:footnoteReference w:id="84"/>
      </w:r>
    </w:p>
    <w:p w14:paraId="1C49D18F" w14:textId="3C97EEA4"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According to the court, the peaceful and undisturbed possession requirement is designed to prevent the granting of the spoliation order from working injustices</w:t>
      </w:r>
      <w:r w:rsidR="0083100D" w:rsidRPr="00B17C11">
        <w:rPr>
          <w:rFonts w:ascii="Arial" w:hAnsi="Arial" w:cs="Arial"/>
          <w:sz w:val="24"/>
          <w:szCs w:val="24"/>
          <w:shd w:val="clear" w:color="auto" w:fill="FFFFFF"/>
        </w:rPr>
        <w:t>. T</w:t>
      </w:r>
      <w:r w:rsidRPr="00B17C11">
        <w:rPr>
          <w:rFonts w:ascii="Arial" w:hAnsi="Arial" w:cs="Arial"/>
          <w:sz w:val="24"/>
          <w:szCs w:val="24"/>
          <w:shd w:val="clear" w:color="auto" w:fill="FFFFFF"/>
        </w:rPr>
        <w:t>his requirement is there to further policies designed to prevent self-help.</w:t>
      </w:r>
      <w:r w:rsidRPr="00B17C11">
        <w:rPr>
          <w:rStyle w:val="FootnoteReference"/>
          <w:rFonts w:ascii="Arial" w:hAnsi="Arial" w:cs="Arial"/>
          <w:sz w:val="24"/>
          <w:szCs w:val="24"/>
          <w:shd w:val="clear" w:color="auto" w:fill="FFFFFF"/>
        </w:rPr>
        <w:footnoteReference w:id="85"/>
      </w:r>
      <w:r w:rsidRPr="00B17C11">
        <w:rPr>
          <w:rFonts w:ascii="Arial" w:hAnsi="Arial" w:cs="Arial"/>
          <w:sz w:val="24"/>
          <w:szCs w:val="24"/>
          <w:shd w:val="clear" w:color="auto" w:fill="FFFFFF"/>
        </w:rPr>
        <w:t xml:space="preserve"> This means that possession in spoliation proceedings must be enclosed/settled/established and held without interference.</w:t>
      </w:r>
      <w:r w:rsidRPr="00B17C11">
        <w:rPr>
          <w:rStyle w:val="FootnoteReference"/>
          <w:rFonts w:ascii="Arial" w:hAnsi="Arial" w:cs="Arial"/>
          <w:sz w:val="24"/>
          <w:szCs w:val="24"/>
          <w:shd w:val="clear" w:color="auto" w:fill="FFFFFF"/>
        </w:rPr>
        <w:footnoteReference w:id="86"/>
      </w:r>
      <w:r w:rsidRPr="00B17C11">
        <w:rPr>
          <w:rFonts w:ascii="Arial" w:hAnsi="Arial" w:cs="Arial"/>
          <w:sz w:val="24"/>
          <w:szCs w:val="24"/>
          <w:shd w:val="clear" w:color="auto" w:fill="FFFFFF"/>
        </w:rPr>
        <w:t xml:space="preserve"> Otherwise, if courts were to award a spoliation order in favour of a complainant who is involved in the resisted process of trying to assert </w:t>
      </w:r>
      <w:r w:rsidRPr="00B17C11">
        <w:rPr>
          <w:rFonts w:ascii="Arial" w:hAnsi="Arial" w:cs="Arial"/>
          <w:sz w:val="24"/>
          <w:szCs w:val="24"/>
          <w:shd w:val="clear" w:color="auto" w:fill="FFFFFF"/>
        </w:rPr>
        <w:lastRenderedPageBreak/>
        <w:t>possession, the court would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in effect</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be condoning the commission of self-help instead of preventing self-help.</w:t>
      </w:r>
      <w:r w:rsidRPr="00B17C11">
        <w:rPr>
          <w:rStyle w:val="FootnoteReference"/>
          <w:rFonts w:ascii="Arial" w:hAnsi="Arial" w:cs="Arial"/>
          <w:sz w:val="24"/>
          <w:szCs w:val="24"/>
          <w:shd w:val="clear" w:color="auto" w:fill="FFFFFF"/>
        </w:rPr>
        <w:footnoteReference w:id="87"/>
      </w:r>
    </w:p>
    <w:p w14:paraId="56F9153E" w14:textId="45D5A1DD"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Therefore, for possession to be qualified as ‘peaceful and undisturbed’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it must be stable and enduring, which means that the control and use of the thing must be sufficiently established to such an extent that the law attaches legal consequences</w:t>
      </w:r>
      <w:r w:rsidR="00E71012" w:rsidRPr="00B17C11">
        <w:rPr>
          <w:rFonts w:ascii="Arial" w:hAnsi="Arial" w:cs="Arial"/>
          <w:sz w:val="24"/>
          <w:szCs w:val="24"/>
          <w:shd w:val="clear" w:color="auto" w:fill="FFFFFF"/>
        </w:rPr>
        <w:t xml:space="preserve"> thereto</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88"/>
      </w:r>
    </w:p>
    <w:p w14:paraId="34CACA63" w14:textId="0C3DD858" w:rsidR="00A56F65" w:rsidRPr="00B17C11" w:rsidRDefault="00A56F65">
      <w:pPr>
        <w:rPr>
          <w:rFonts w:ascii="Arial" w:hAnsi="Arial" w:cs="Arial"/>
          <w:b/>
          <w:bCs/>
          <w:i/>
          <w:iCs/>
          <w:sz w:val="24"/>
          <w:szCs w:val="24"/>
          <w:shd w:val="clear" w:color="auto" w:fill="FFFFFF"/>
        </w:rPr>
      </w:pPr>
    </w:p>
    <w:p w14:paraId="2CB0D181" w14:textId="1751B649" w:rsidR="004E3EF9" w:rsidRPr="00B17C11" w:rsidRDefault="004E3EF9" w:rsidP="008C0076">
      <w:pPr>
        <w:pStyle w:val="Heading4"/>
      </w:pPr>
      <w:r w:rsidRPr="00B17C11">
        <w:t>2.4.1.2 Spoliation</w:t>
      </w:r>
    </w:p>
    <w:p w14:paraId="1661FD82" w14:textId="53B88A80"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Originally, the applicant had to show that he was unlawfully deprived of his possession by an act of violence or stealth.</w:t>
      </w:r>
      <w:r w:rsidRPr="00B17C11">
        <w:rPr>
          <w:rStyle w:val="FootnoteReference"/>
          <w:rFonts w:ascii="Arial" w:hAnsi="Arial" w:cs="Arial"/>
          <w:sz w:val="24"/>
          <w:szCs w:val="24"/>
          <w:shd w:val="clear" w:color="auto" w:fill="FFFFFF"/>
        </w:rPr>
        <w:footnoteReference w:id="89"/>
      </w:r>
      <w:r w:rsidRPr="00B17C11">
        <w:rPr>
          <w:rFonts w:ascii="Arial" w:hAnsi="Arial" w:cs="Arial"/>
          <w:sz w:val="24"/>
          <w:szCs w:val="24"/>
          <w:shd w:val="clear" w:color="auto" w:fill="FFFFFF"/>
        </w:rPr>
        <w:t xml:space="preserve"> This requirement was watered down in the 18</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xml:space="preserve"> century by the German jurist Leyser.</w:t>
      </w:r>
      <w:r w:rsidRPr="00B17C11">
        <w:rPr>
          <w:rStyle w:val="FootnoteReference"/>
          <w:rFonts w:ascii="Arial" w:hAnsi="Arial" w:cs="Arial"/>
          <w:sz w:val="24"/>
          <w:szCs w:val="24"/>
          <w:shd w:val="clear" w:color="auto" w:fill="FFFFFF"/>
        </w:rPr>
        <w:footnoteReference w:id="90"/>
      </w:r>
      <w:r w:rsidRPr="00B17C11">
        <w:rPr>
          <w:rFonts w:ascii="Arial" w:hAnsi="Arial" w:cs="Arial"/>
          <w:sz w:val="24"/>
          <w:szCs w:val="24"/>
          <w:shd w:val="clear" w:color="auto" w:fill="FFFFFF"/>
        </w:rPr>
        <w:t xml:space="preserve"> Today, it is widely accepted that an act of spoliation constitutes any form of disturbance with possession without the consent and against the will of the possessor.</w:t>
      </w:r>
      <w:r w:rsidRPr="00B17C11">
        <w:rPr>
          <w:rStyle w:val="FootnoteReference"/>
          <w:rFonts w:ascii="Arial" w:hAnsi="Arial" w:cs="Arial"/>
          <w:sz w:val="24"/>
          <w:szCs w:val="24"/>
          <w:shd w:val="clear" w:color="auto" w:fill="FFFFFF"/>
        </w:rPr>
        <w:footnoteReference w:id="91"/>
      </w:r>
      <w:r w:rsidRPr="00B17C11">
        <w:rPr>
          <w:rFonts w:ascii="Arial" w:hAnsi="Arial" w:cs="Arial"/>
          <w:sz w:val="24"/>
          <w:szCs w:val="24"/>
          <w:shd w:val="clear" w:color="auto" w:fill="FFFFFF"/>
        </w:rPr>
        <w:t xml:space="preserve"> Consequently, a person who gains possession through trickery commits an act of spoliation; a messenger of the court who gains possession through an invalid writ of execution also commits an act of spoliation; even a state official who does not strictly adhere to statutory provisions, for example when evicting persons from certain premises also commits an act of spoliation.</w:t>
      </w:r>
      <w:r w:rsidRPr="00B17C11">
        <w:rPr>
          <w:rStyle w:val="FootnoteReference"/>
          <w:rFonts w:ascii="Arial" w:hAnsi="Arial" w:cs="Arial"/>
          <w:sz w:val="24"/>
          <w:szCs w:val="24"/>
          <w:shd w:val="clear" w:color="auto" w:fill="FFFFFF"/>
        </w:rPr>
        <w:footnoteReference w:id="92"/>
      </w:r>
    </w:p>
    <w:p w14:paraId="48472E2E" w14:textId="77777777"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However, spoliation is not available in cases of lawful deprivation of possession.</w:t>
      </w:r>
      <w:r w:rsidRPr="00B17C11">
        <w:rPr>
          <w:rStyle w:val="FootnoteReference"/>
          <w:rFonts w:ascii="Arial" w:hAnsi="Arial" w:cs="Arial"/>
          <w:sz w:val="24"/>
          <w:szCs w:val="24"/>
          <w:shd w:val="clear" w:color="auto" w:fill="FFFFFF"/>
        </w:rPr>
        <w:footnoteReference w:id="93"/>
      </w:r>
      <w:r w:rsidRPr="00B17C11">
        <w:rPr>
          <w:rFonts w:ascii="Arial" w:hAnsi="Arial" w:cs="Arial"/>
          <w:sz w:val="24"/>
          <w:szCs w:val="24"/>
          <w:shd w:val="clear" w:color="auto" w:fill="FFFFFF"/>
        </w:rPr>
        <w:t xml:space="preserve"> This is often the case when the respondent produces proof of authorisation in the form of a court order or statutory provisions. In other words, an act of spoliation is not committed if a judgment debtor’s possession is attached by a messenger of the court or a deputy sheriff acting upon authority vested in him by a court order or writ of execution. Similarly, the eviction of persons from premises and the confiscation of identity documents by public officials under statutory powers vested in them does not amount to an act of spoliation.</w:t>
      </w:r>
      <w:r w:rsidRPr="00B17C11">
        <w:rPr>
          <w:rStyle w:val="FootnoteReference"/>
          <w:rFonts w:ascii="Arial" w:hAnsi="Arial" w:cs="Arial"/>
          <w:sz w:val="24"/>
          <w:szCs w:val="24"/>
          <w:shd w:val="clear" w:color="auto" w:fill="FFFFFF"/>
        </w:rPr>
        <w:footnoteReference w:id="94"/>
      </w:r>
      <w:r w:rsidRPr="00B17C11">
        <w:rPr>
          <w:rFonts w:ascii="Arial" w:hAnsi="Arial" w:cs="Arial"/>
          <w:sz w:val="24"/>
          <w:szCs w:val="24"/>
          <w:shd w:val="clear" w:color="auto" w:fill="FFFFFF"/>
        </w:rPr>
        <w:t xml:space="preserve"> What is most significant is that the officials exercising such powers are expected to strictly adhere to the narrow limits as provided in the relevant statutory provisions.</w:t>
      </w:r>
      <w:r w:rsidRPr="00B17C11">
        <w:rPr>
          <w:rStyle w:val="FootnoteReference"/>
          <w:rFonts w:ascii="Arial" w:hAnsi="Arial" w:cs="Arial"/>
          <w:sz w:val="24"/>
          <w:szCs w:val="24"/>
          <w:shd w:val="clear" w:color="auto" w:fill="FFFFFF"/>
        </w:rPr>
        <w:footnoteReference w:id="95"/>
      </w:r>
    </w:p>
    <w:p w14:paraId="7BC8FB58" w14:textId="77777777" w:rsidR="008C0076" w:rsidRPr="00B17C11" w:rsidRDefault="008C0076" w:rsidP="004E3EF9">
      <w:pPr>
        <w:spacing w:line="360" w:lineRule="auto"/>
        <w:jc w:val="both"/>
        <w:rPr>
          <w:rFonts w:ascii="Arial" w:hAnsi="Arial" w:cs="Arial"/>
          <w:sz w:val="24"/>
          <w:szCs w:val="24"/>
          <w:shd w:val="clear" w:color="auto" w:fill="FFFFFF"/>
        </w:rPr>
      </w:pPr>
    </w:p>
    <w:p w14:paraId="6DC37F43" w14:textId="05467536" w:rsidR="004E3EF9" w:rsidRPr="00B17C11" w:rsidRDefault="004E3EF9" w:rsidP="008C0076">
      <w:pPr>
        <w:pStyle w:val="Heading4"/>
      </w:pPr>
      <w:r w:rsidRPr="00B17C11">
        <w:t>2.4.1.3 Earlier cases dealing with</w:t>
      </w:r>
      <w:r w:rsidR="00A45287" w:rsidRPr="00B17C11">
        <w:t xml:space="preserve"> the</w:t>
      </w:r>
      <w:r w:rsidRPr="00B17C11">
        <w:t xml:space="preserve"> spoliation remedy.</w:t>
      </w:r>
    </w:p>
    <w:p w14:paraId="7FF62466" w14:textId="094FB175"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Legal possession in South African law subsumes both the actual physical control of the thing and the intention to control or </w:t>
      </w:r>
      <w:r w:rsidRPr="00B17C11">
        <w:rPr>
          <w:rFonts w:ascii="Arial" w:hAnsi="Arial" w:cs="Arial"/>
          <w:i/>
          <w:sz w:val="24"/>
          <w:szCs w:val="24"/>
          <w:shd w:val="clear" w:color="auto" w:fill="FFFFFF"/>
        </w:rPr>
        <w:t xml:space="preserve">animus </w:t>
      </w:r>
      <w:proofErr w:type="spellStart"/>
      <w:r w:rsidRPr="00B17C11">
        <w:rPr>
          <w:rFonts w:ascii="Arial" w:hAnsi="Arial" w:cs="Arial"/>
          <w:i/>
          <w:sz w:val="24"/>
          <w:szCs w:val="24"/>
          <w:shd w:val="clear" w:color="auto" w:fill="FFFFFF"/>
        </w:rPr>
        <w:t>possidendi</w:t>
      </w:r>
      <w:proofErr w:type="spellEnd"/>
      <w:r w:rsidRPr="00B17C11">
        <w:rPr>
          <w:rFonts w:ascii="Arial" w:hAnsi="Arial" w:cs="Arial"/>
          <w:i/>
          <w:sz w:val="24"/>
          <w:szCs w:val="24"/>
          <w:shd w:val="clear" w:color="auto" w:fill="FFFFFF"/>
        </w:rPr>
        <w:t>.</w:t>
      </w:r>
      <w:r w:rsidRPr="00B17C11">
        <w:rPr>
          <w:rStyle w:val="FootnoteReference"/>
          <w:rFonts w:ascii="Arial" w:hAnsi="Arial" w:cs="Arial"/>
          <w:iCs/>
          <w:sz w:val="24"/>
          <w:szCs w:val="24"/>
          <w:shd w:val="clear" w:color="auto" w:fill="FFFFFF"/>
        </w:rPr>
        <w:footnoteReference w:id="96"/>
      </w:r>
      <w:r w:rsidRPr="00B17C11">
        <w:rPr>
          <w:rFonts w:ascii="Arial" w:hAnsi="Arial" w:cs="Arial"/>
          <w:iCs/>
          <w:sz w:val="24"/>
          <w:szCs w:val="24"/>
          <w:shd w:val="clear" w:color="auto" w:fill="FFFFFF"/>
        </w:rPr>
        <w:t xml:space="preserve"> </w:t>
      </w:r>
      <w:r w:rsidRPr="00B17C11">
        <w:rPr>
          <w:rFonts w:ascii="Arial" w:hAnsi="Arial" w:cs="Arial"/>
          <w:sz w:val="24"/>
          <w:szCs w:val="24"/>
          <w:shd w:val="clear" w:color="auto" w:fill="FFFFFF"/>
        </w:rPr>
        <w:t>The scope of protection afforded by the spoliation remedy was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however</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not limited to legal possession</w:t>
      </w:r>
      <w:r w:rsidR="0083100D" w:rsidRPr="00B17C11">
        <w:rPr>
          <w:rFonts w:ascii="Arial" w:hAnsi="Arial" w:cs="Arial"/>
          <w:sz w:val="24"/>
          <w:szCs w:val="24"/>
          <w:shd w:val="clear" w:color="auto" w:fill="FFFFFF"/>
        </w:rPr>
        <w:t>. I</w:t>
      </w:r>
      <w:r w:rsidRPr="00B17C11">
        <w:rPr>
          <w:rFonts w:ascii="Arial" w:hAnsi="Arial" w:cs="Arial"/>
          <w:sz w:val="24"/>
          <w:szCs w:val="24"/>
          <w:shd w:val="clear" w:color="auto" w:fill="FFFFFF"/>
        </w:rPr>
        <w:t>t was extended to other forms of actual physical control that did not exactly constitute possession in its strict sense.</w:t>
      </w:r>
      <w:r w:rsidRPr="00B17C11">
        <w:rPr>
          <w:rStyle w:val="FootnoteReference"/>
          <w:rFonts w:ascii="Arial" w:hAnsi="Arial" w:cs="Arial"/>
          <w:sz w:val="24"/>
          <w:szCs w:val="24"/>
          <w:shd w:val="clear" w:color="auto" w:fill="FFFFFF"/>
        </w:rPr>
        <w:footnoteReference w:id="97"/>
      </w:r>
    </w:p>
    <w:p w14:paraId="20DF4F06" w14:textId="173DD2DD"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r w:rsidRPr="00B17C11">
        <w:rPr>
          <w:rFonts w:ascii="Arial" w:hAnsi="Arial" w:cs="Arial"/>
          <w:i/>
          <w:sz w:val="24"/>
          <w:szCs w:val="24"/>
          <w:shd w:val="clear" w:color="auto" w:fill="FFFFFF"/>
        </w:rPr>
        <w:t>Nino Bonino v De Lange</w:t>
      </w:r>
      <w:r w:rsidRPr="00B17C11">
        <w:rPr>
          <w:rFonts w:ascii="Arial" w:hAnsi="Arial" w:cs="Arial"/>
          <w:sz w:val="24"/>
          <w:szCs w:val="24"/>
          <w:shd w:val="clear" w:color="auto" w:fill="FFFFFF"/>
        </w:rPr>
        <w:t xml:space="preserve"> and </w:t>
      </w:r>
      <w:r w:rsidRPr="00B17C11">
        <w:rPr>
          <w:rFonts w:ascii="Arial" w:hAnsi="Arial" w:cs="Arial"/>
          <w:i/>
          <w:sz w:val="24"/>
          <w:szCs w:val="24"/>
          <w:shd w:val="clear" w:color="auto" w:fill="FFFFFF"/>
        </w:rPr>
        <w:t xml:space="preserve">Yeko v </w:t>
      </w:r>
      <w:proofErr w:type="spellStart"/>
      <w:r w:rsidRPr="00B17C11">
        <w:rPr>
          <w:rFonts w:ascii="Arial" w:hAnsi="Arial" w:cs="Arial"/>
          <w:i/>
          <w:sz w:val="24"/>
          <w:szCs w:val="24"/>
          <w:shd w:val="clear" w:color="auto" w:fill="FFFFFF"/>
        </w:rPr>
        <w:t>Qana</w:t>
      </w:r>
      <w:proofErr w:type="spellEnd"/>
      <w:r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the spoliation remedy was extended to the tenant.</w:t>
      </w:r>
      <w:r w:rsidRPr="00B17C11">
        <w:rPr>
          <w:rStyle w:val="FootnoteReference"/>
          <w:rFonts w:ascii="Arial" w:hAnsi="Arial" w:cs="Arial"/>
          <w:sz w:val="24"/>
          <w:szCs w:val="24"/>
          <w:shd w:val="clear" w:color="auto" w:fill="FFFFFF"/>
        </w:rPr>
        <w:footnoteReference w:id="98"/>
      </w:r>
      <w:r w:rsidRPr="00B17C11">
        <w:rPr>
          <w:rFonts w:ascii="Arial" w:hAnsi="Arial" w:cs="Arial"/>
          <w:sz w:val="24"/>
          <w:szCs w:val="24"/>
          <w:shd w:val="clear" w:color="auto" w:fill="FFFFFF"/>
        </w:rPr>
        <w:t xml:space="preserve"> In </w:t>
      </w:r>
      <w:r w:rsidRPr="00B17C11">
        <w:rPr>
          <w:rFonts w:ascii="Arial" w:hAnsi="Arial" w:cs="Arial"/>
          <w:i/>
          <w:sz w:val="24"/>
          <w:szCs w:val="24"/>
          <w:shd w:val="clear" w:color="auto" w:fill="FFFFFF"/>
        </w:rPr>
        <w:t>Nino Bonino v De Lange</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the tenant/appellant entered into a lease agreement in terms of which the lessor was entitled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under certain circumstances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to terminate the lease agreement and prevent the lessee from entering the premises without recourse to court. A dispute arose regarding the alleged breach of the lease agreement</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to which the lessor took the keys from the lessee and barricaded the premises. The trial court denied granting the appellant an order for spoliation.</w:t>
      </w:r>
    </w:p>
    <w:p w14:paraId="31E7574C" w14:textId="77777777"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On appeal, the court had to determine whether the lessor could indeed terminate the contract and barricade the premises. Noteworthy, the clause in the lease that allowed the lessor to terminate the lease reads as follows:</w:t>
      </w:r>
    </w:p>
    <w:p w14:paraId="130CC858" w14:textId="77777777" w:rsidR="004E3EF9" w:rsidRPr="00B17C11" w:rsidRDefault="004E3EF9" w:rsidP="004E3EF9">
      <w:pPr>
        <w:spacing w:line="240" w:lineRule="auto"/>
        <w:ind w:left="720" w:right="284"/>
        <w:jc w:val="both"/>
        <w:rPr>
          <w:rFonts w:ascii="Arial" w:hAnsi="Arial" w:cs="Arial"/>
          <w:sz w:val="20"/>
          <w:szCs w:val="20"/>
          <w:shd w:val="clear" w:color="auto" w:fill="FFFFFF"/>
        </w:rPr>
      </w:pPr>
      <w:r w:rsidRPr="00B17C11">
        <w:rPr>
          <w:rFonts w:ascii="Arial" w:hAnsi="Arial" w:cs="Arial"/>
          <w:sz w:val="20"/>
          <w:szCs w:val="20"/>
          <w:shd w:val="clear" w:color="auto" w:fill="FFFFFF"/>
        </w:rPr>
        <w:t>‘Should the party of the other fail to pay the rent on the due date, and should the same remain unpaid for a term of six days thereafter or should he fail to pay any of the amounts due under and by virtue of this agreement or fail to carry out one or any of the terms and conditions herein contained, the party of the one part shall have the right to immediately cancel this agreement … and to prevent the party of the other part from having access to the said premises, without recourse to law.’</w:t>
      </w:r>
      <w:r w:rsidRPr="00B17C11">
        <w:rPr>
          <w:rStyle w:val="FootnoteReference"/>
          <w:rFonts w:ascii="Arial" w:hAnsi="Arial" w:cs="Arial"/>
          <w:sz w:val="20"/>
          <w:szCs w:val="20"/>
          <w:shd w:val="clear" w:color="auto" w:fill="FFFFFF"/>
        </w:rPr>
        <w:footnoteReference w:id="99"/>
      </w:r>
    </w:p>
    <w:p w14:paraId="6C6E8140" w14:textId="77777777"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Innes CJ noted that:</w:t>
      </w:r>
    </w:p>
    <w:p w14:paraId="666177AC" w14:textId="77777777" w:rsidR="004E3EF9" w:rsidRPr="00B17C11" w:rsidRDefault="004E3EF9" w:rsidP="004E3EF9">
      <w:pPr>
        <w:spacing w:line="240" w:lineRule="auto"/>
        <w:ind w:left="720" w:right="284"/>
        <w:jc w:val="both"/>
        <w:rPr>
          <w:rFonts w:ascii="Arial" w:hAnsi="Arial" w:cs="Arial"/>
          <w:sz w:val="20"/>
          <w:szCs w:val="20"/>
          <w:shd w:val="clear" w:color="auto" w:fill="FFFFFF"/>
        </w:rPr>
      </w:pPr>
      <w:r w:rsidRPr="00B17C11">
        <w:rPr>
          <w:rFonts w:ascii="Arial" w:hAnsi="Arial" w:cs="Arial"/>
          <w:sz w:val="20"/>
          <w:szCs w:val="20"/>
          <w:shd w:val="clear" w:color="auto" w:fill="FFFFFF"/>
        </w:rPr>
        <w:t xml:space="preserve">‘It is a fundamental principle that no man is allowed to take the law into his own hands; no one is permitted to dispossess another forcibly or wrongfully and against his consent of the possession of property, whether movable or immovable. If he does so, the court will summarily restore the </w:t>
      </w:r>
      <w:r w:rsidRPr="00B17C11">
        <w:rPr>
          <w:rFonts w:ascii="Arial" w:hAnsi="Arial" w:cs="Arial"/>
          <w:i/>
          <w:sz w:val="20"/>
          <w:szCs w:val="20"/>
          <w:shd w:val="clear" w:color="auto" w:fill="FFFFFF"/>
        </w:rPr>
        <w:t>status quo ante</w:t>
      </w:r>
      <w:r w:rsidRPr="00B17C11">
        <w:rPr>
          <w:rFonts w:ascii="Arial" w:hAnsi="Arial" w:cs="Arial"/>
          <w:sz w:val="20"/>
          <w:szCs w:val="20"/>
          <w:shd w:val="clear" w:color="auto" w:fill="FFFFFF"/>
        </w:rPr>
        <w:t>, and will do that as a preliminary to any inquiry or investigation into the merits of the case’.</w:t>
      </w:r>
      <w:r w:rsidRPr="00B17C11">
        <w:rPr>
          <w:rStyle w:val="FootnoteReference"/>
          <w:rFonts w:ascii="Arial" w:hAnsi="Arial" w:cs="Arial"/>
          <w:sz w:val="20"/>
          <w:szCs w:val="20"/>
          <w:shd w:val="clear" w:color="auto" w:fill="FFFFFF"/>
        </w:rPr>
        <w:footnoteReference w:id="100"/>
      </w:r>
    </w:p>
    <w:p w14:paraId="4438F267" w14:textId="6BC0385D"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respondent alleged that he acted as he did to prevent breaches of the law from taking place in the billiard room. The court refused this contention, arguing that had the respondent intended to stop the breaches of the law, he would have informed the police. The court maintained that the objective of the lessor was to take advantage of the clause in the lease – on his behalf and for his benefit.</w:t>
      </w:r>
      <w:r w:rsidRPr="00B17C11">
        <w:rPr>
          <w:rStyle w:val="FootnoteReference"/>
          <w:rFonts w:ascii="Arial" w:hAnsi="Arial" w:cs="Arial"/>
          <w:sz w:val="24"/>
          <w:szCs w:val="24"/>
          <w:shd w:val="clear" w:color="auto" w:fill="FFFFFF"/>
        </w:rPr>
        <w:footnoteReference w:id="101"/>
      </w:r>
      <w:r w:rsidRPr="00B17C11">
        <w:rPr>
          <w:rFonts w:ascii="Arial" w:hAnsi="Arial" w:cs="Arial"/>
          <w:sz w:val="24"/>
          <w:szCs w:val="24"/>
          <w:shd w:val="clear" w:color="auto" w:fill="FFFFFF"/>
        </w:rPr>
        <w:t xml:space="preserve"> Innes CJ went on to state that a clause of such a nature purports to allow a party to take the law into his own hands, to do that which the law says only the court shall do, essentially making the lessor himself the judge of whether the breach of contract has been committed.</w:t>
      </w:r>
      <w:r w:rsidRPr="00B17C11">
        <w:rPr>
          <w:rStyle w:val="FootnoteReference"/>
          <w:rFonts w:ascii="Arial" w:hAnsi="Arial" w:cs="Arial"/>
          <w:sz w:val="24"/>
          <w:szCs w:val="24"/>
          <w:shd w:val="clear" w:color="auto" w:fill="FFFFFF"/>
        </w:rPr>
        <w:footnoteReference w:id="102"/>
      </w:r>
      <w:r w:rsidRPr="00B17C11">
        <w:rPr>
          <w:rFonts w:ascii="Arial" w:hAnsi="Arial" w:cs="Arial"/>
          <w:sz w:val="24"/>
          <w:szCs w:val="24"/>
          <w:shd w:val="clear" w:color="auto" w:fill="FFFFFF"/>
        </w:rPr>
        <w:t xml:space="preserve"> It was held that such a contract is against public policy and should not be recognised.</w:t>
      </w:r>
      <w:r w:rsidRPr="00B17C11">
        <w:rPr>
          <w:rStyle w:val="FootnoteReference"/>
          <w:rFonts w:ascii="Arial" w:hAnsi="Arial" w:cs="Arial"/>
          <w:sz w:val="24"/>
          <w:szCs w:val="24"/>
          <w:shd w:val="clear" w:color="auto" w:fill="FFFFFF"/>
        </w:rPr>
        <w:footnoteReference w:id="103"/>
      </w:r>
      <w:r w:rsidRPr="00B17C11">
        <w:rPr>
          <w:rFonts w:ascii="Arial" w:hAnsi="Arial" w:cs="Arial"/>
          <w:sz w:val="24"/>
          <w:szCs w:val="24"/>
          <w:shd w:val="clear" w:color="auto" w:fill="FFFFFF"/>
        </w:rPr>
        <w:t xml:space="preserve"> Smith J concurred with the main judgment. He stated that this was a case of </w:t>
      </w:r>
      <w:r w:rsidR="00F54299" w:rsidRPr="00B17C11">
        <w:rPr>
          <w:rFonts w:ascii="Arial" w:hAnsi="Arial" w:cs="Arial"/>
          <w:sz w:val="24"/>
          <w:szCs w:val="24"/>
          <w:shd w:val="clear" w:color="auto" w:fill="FFFFFF"/>
        </w:rPr>
        <w:t>spoliation</w:t>
      </w:r>
      <w:r w:rsidRPr="00B17C11">
        <w:rPr>
          <w:rFonts w:ascii="Arial" w:hAnsi="Arial" w:cs="Arial"/>
          <w:sz w:val="24"/>
          <w:szCs w:val="24"/>
          <w:shd w:val="clear" w:color="auto" w:fill="FFFFFF"/>
        </w:rPr>
        <w:t xml:space="preserve"> and that the agreement inserted in the clause was against public policy and need not be enforced.</w:t>
      </w:r>
      <w:r w:rsidRPr="00B17C11">
        <w:rPr>
          <w:rStyle w:val="FootnoteReference"/>
          <w:rFonts w:ascii="Arial" w:hAnsi="Arial" w:cs="Arial"/>
          <w:sz w:val="24"/>
          <w:szCs w:val="24"/>
          <w:shd w:val="clear" w:color="auto" w:fill="FFFFFF"/>
        </w:rPr>
        <w:footnoteReference w:id="104"/>
      </w:r>
    </w:p>
    <w:p w14:paraId="57B828FE" w14:textId="073C424D"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r w:rsidRPr="00B17C11">
        <w:rPr>
          <w:rFonts w:ascii="Arial" w:hAnsi="Arial" w:cs="Arial"/>
          <w:i/>
          <w:sz w:val="24"/>
          <w:szCs w:val="24"/>
          <w:shd w:val="clear" w:color="auto" w:fill="FFFFFF"/>
        </w:rPr>
        <w:t xml:space="preserve">Yeko v </w:t>
      </w:r>
      <w:proofErr w:type="spellStart"/>
      <w:r w:rsidRPr="00B17C11">
        <w:rPr>
          <w:rFonts w:ascii="Arial" w:hAnsi="Arial" w:cs="Arial"/>
          <w:i/>
          <w:sz w:val="24"/>
          <w:szCs w:val="24"/>
          <w:shd w:val="clear" w:color="auto" w:fill="FFFFFF"/>
        </w:rPr>
        <w:t>Qana</w:t>
      </w:r>
      <w:proofErr w:type="spellEnd"/>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the respondent claimed to have entered into an agreement of lease with the appellant</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according to which he hired a shop building known as ‘</w:t>
      </w:r>
      <w:proofErr w:type="spellStart"/>
      <w:r w:rsidRPr="00B17C11">
        <w:rPr>
          <w:rFonts w:ascii="Arial" w:hAnsi="Arial" w:cs="Arial"/>
          <w:sz w:val="24"/>
          <w:szCs w:val="24"/>
          <w:shd w:val="clear" w:color="auto" w:fill="FFFFFF"/>
        </w:rPr>
        <w:t>Eluxolweni</w:t>
      </w:r>
      <w:proofErr w:type="spellEnd"/>
      <w:r w:rsidRPr="00B17C11">
        <w:rPr>
          <w:rFonts w:ascii="Arial" w:hAnsi="Arial" w:cs="Arial"/>
          <w:sz w:val="24"/>
          <w:szCs w:val="24"/>
          <w:shd w:val="clear" w:color="auto" w:fill="FFFFFF"/>
        </w:rPr>
        <w:t>’ where he stored his goods and began trading. While in undisturbed possession of the physical building, the appellant locked the doors of the building together with the respondent’s stock and cash taking that was inside the building.</w:t>
      </w:r>
      <w:r w:rsidRPr="00B17C11">
        <w:rPr>
          <w:rStyle w:val="FootnoteReference"/>
          <w:rFonts w:ascii="Arial" w:hAnsi="Arial" w:cs="Arial"/>
          <w:sz w:val="24"/>
          <w:szCs w:val="24"/>
          <w:shd w:val="clear" w:color="auto" w:fill="FFFFFF"/>
        </w:rPr>
        <w:footnoteReference w:id="105"/>
      </w:r>
      <w:r w:rsidRPr="00B17C11">
        <w:rPr>
          <w:rFonts w:ascii="Arial" w:hAnsi="Arial" w:cs="Arial"/>
          <w:sz w:val="24"/>
          <w:szCs w:val="24"/>
          <w:shd w:val="clear" w:color="auto" w:fill="FFFFFF"/>
        </w:rPr>
        <w:t xml:space="preserve"> The appellant </w:t>
      </w:r>
      <w:r w:rsidRPr="00B17C11">
        <w:rPr>
          <w:rFonts w:ascii="Arial" w:hAnsi="Arial" w:cs="Arial"/>
          <w:sz w:val="24"/>
          <w:szCs w:val="24"/>
          <w:shd w:val="clear" w:color="auto" w:fill="FFFFFF"/>
        </w:rPr>
        <w:lastRenderedPageBreak/>
        <w:t>denied having entered into a contract of lease with the respondent or that the respondent was ever in possession or in occupation of the premises other than for purposes of cleaning the building, which is what he was employed to do.</w:t>
      </w:r>
      <w:r w:rsidRPr="00B17C11">
        <w:rPr>
          <w:rStyle w:val="FootnoteReference"/>
          <w:rFonts w:ascii="Arial" w:hAnsi="Arial" w:cs="Arial"/>
          <w:sz w:val="24"/>
          <w:szCs w:val="24"/>
          <w:shd w:val="clear" w:color="auto" w:fill="FFFFFF"/>
        </w:rPr>
        <w:footnoteReference w:id="106"/>
      </w:r>
      <w:r w:rsidRPr="00B17C11">
        <w:rPr>
          <w:rFonts w:ascii="Arial" w:hAnsi="Arial" w:cs="Arial"/>
          <w:sz w:val="24"/>
          <w:szCs w:val="24"/>
          <w:shd w:val="clear" w:color="auto" w:fill="FFFFFF"/>
        </w:rPr>
        <w:t xml:space="preserve"> He</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nonetheless, agreed that the building was locked by one of his employees under the instruction of his wife.</w:t>
      </w:r>
      <w:r w:rsidRPr="00B17C11">
        <w:rPr>
          <w:rStyle w:val="FootnoteReference"/>
          <w:rFonts w:ascii="Arial" w:hAnsi="Arial" w:cs="Arial"/>
          <w:sz w:val="24"/>
          <w:szCs w:val="24"/>
          <w:shd w:val="clear" w:color="auto" w:fill="FFFFFF"/>
        </w:rPr>
        <w:footnoteReference w:id="107"/>
      </w:r>
    </w:p>
    <w:p w14:paraId="4F096E5E" w14:textId="2DC8422A"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Initially, the commissioner’s court refused to grant a spoliation order because the respondent had no licence to trade.</w:t>
      </w:r>
      <w:r w:rsidRPr="00B17C11">
        <w:rPr>
          <w:rStyle w:val="FootnoteReference"/>
          <w:rFonts w:ascii="Arial" w:hAnsi="Arial" w:cs="Arial"/>
          <w:sz w:val="24"/>
          <w:szCs w:val="24"/>
          <w:shd w:val="clear" w:color="auto" w:fill="FFFFFF"/>
        </w:rPr>
        <w:footnoteReference w:id="108"/>
      </w:r>
      <w:r w:rsidRPr="00B17C11">
        <w:rPr>
          <w:rFonts w:ascii="Arial" w:hAnsi="Arial" w:cs="Arial"/>
          <w:sz w:val="24"/>
          <w:szCs w:val="24"/>
          <w:shd w:val="clear" w:color="auto" w:fill="FFFFFF"/>
        </w:rPr>
        <w:t xml:space="preserve"> On appeal, this decision was reversed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an order for restoration was granted subject to the respondent obtaining a permit to trade.</w:t>
      </w:r>
      <w:r w:rsidRPr="00B17C11">
        <w:rPr>
          <w:rStyle w:val="FootnoteReference"/>
          <w:rFonts w:ascii="Arial" w:hAnsi="Arial" w:cs="Arial"/>
          <w:sz w:val="24"/>
          <w:szCs w:val="24"/>
          <w:shd w:val="clear" w:color="auto" w:fill="FFFFFF"/>
        </w:rPr>
        <w:footnoteReference w:id="109"/>
      </w:r>
      <w:r w:rsidRPr="00B17C11">
        <w:rPr>
          <w:rFonts w:ascii="Arial" w:hAnsi="Arial" w:cs="Arial"/>
          <w:sz w:val="24"/>
          <w:szCs w:val="24"/>
          <w:shd w:val="clear" w:color="auto" w:fill="FFFFFF"/>
        </w:rPr>
        <w:t xml:space="preserve"> On a further appeal, the appellant alleged that there was no contract of lease between him and the respondent.</w:t>
      </w:r>
      <w:r w:rsidRPr="00B17C11">
        <w:rPr>
          <w:rStyle w:val="FootnoteReference"/>
          <w:rFonts w:ascii="Arial" w:hAnsi="Arial" w:cs="Arial"/>
          <w:sz w:val="24"/>
          <w:szCs w:val="24"/>
          <w:shd w:val="clear" w:color="auto" w:fill="FFFFFF"/>
        </w:rPr>
        <w:footnoteReference w:id="110"/>
      </w:r>
    </w:p>
    <w:p w14:paraId="37DBDAAD" w14:textId="501A2388"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commissioner found that the respondent was a registered employee of the appellant and that he was in the building subject to the control of the appellant. Thus, the respondent could not have been in peaceful and undisturbed possession because he secretly and</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without the knowledge of the appellant</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brought his stock-in-trade to the building. As such, no act of interference was committed.</w:t>
      </w:r>
      <w:r w:rsidRPr="00B17C11">
        <w:rPr>
          <w:rStyle w:val="FootnoteReference"/>
          <w:rFonts w:ascii="Arial" w:hAnsi="Arial" w:cs="Arial"/>
          <w:sz w:val="24"/>
          <w:szCs w:val="24"/>
          <w:shd w:val="clear" w:color="auto" w:fill="FFFFFF"/>
        </w:rPr>
        <w:footnoteReference w:id="111"/>
      </w:r>
    </w:p>
    <w:p w14:paraId="0860E01D" w14:textId="39CF1C36"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Van Blerk JA highlighted that the essence of the spoliation remedy is that possession must be established and that the applicant must prove that such possession was dispossessed wrongfully.</w:t>
      </w:r>
      <w:r w:rsidRPr="00B17C11">
        <w:rPr>
          <w:rStyle w:val="FootnoteReference"/>
          <w:rFonts w:ascii="Arial" w:hAnsi="Arial" w:cs="Arial"/>
          <w:sz w:val="24"/>
          <w:szCs w:val="24"/>
          <w:shd w:val="clear" w:color="auto" w:fill="FFFFFF"/>
        </w:rPr>
        <w:footnoteReference w:id="112"/>
      </w:r>
      <w:r w:rsidRPr="00B17C11">
        <w:rPr>
          <w:rFonts w:ascii="Arial" w:hAnsi="Arial" w:cs="Arial"/>
          <w:sz w:val="24"/>
          <w:szCs w:val="24"/>
          <w:shd w:val="clear" w:color="auto" w:fill="FFFFFF"/>
        </w:rPr>
        <w:t xml:space="preserve"> The court acknowledged that the respondent occupied the building to trade his stock for his benefit, which was sufficient to prove possession.</w:t>
      </w:r>
      <w:r w:rsidRPr="00B17C11">
        <w:rPr>
          <w:rStyle w:val="FootnoteReference"/>
          <w:rFonts w:ascii="Arial" w:hAnsi="Arial" w:cs="Arial"/>
          <w:sz w:val="24"/>
          <w:szCs w:val="24"/>
          <w:shd w:val="clear" w:color="auto" w:fill="FFFFFF"/>
        </w:rPr>
        <w:footnoteReference w:id="113"/>
      </w:r>
      <w:r w:rsidRPr="00B17C11">
        <w:rPr>
          <w:rFonts w:ascii="Arial" w:hAnsi="Arial" w:cs="Arial"/>
          <w:sz w:val="24"/>
          <w:szCs w:val="24"/>
          <w:shd w:val="clear" w:color="auto" w:fill="FFFFFF"/>
        </w:rPr>
        <w:t xml:space="preserve"> It was further held that it is irrelevant whether the respondent occupied possession secretly or fraudulently because the fundamental principle of the spoliation remedy is that no person should take the law into his own hands.</w:t>
      </w:r>
      <w:r w:rsidRPr="00B17C11">
        <w:rPr>
          <w:rStyle w:val="FootnoteReference"/>
          <w:rFonts w:ascii="Arial" w:hAnsi="Arial" w:cs="Arial"/>
          <w:sz w:val="24"/>
          <w:szCs w:val="24"/>
          <w:shd w:val="clear" w:color="auto" w:fill="FFFFFF"/>
        </w:rPr>
        <w:footnoteReference w:id="114"/>
      </w:r>
    </w:p>
    <w:p w14:paraId="07827408" w14:textId="5DD726A5"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Moreover, it was held that while the court of first instance was correct to allow the appeal for granting an order restoring the </w:t>
      </w:r>
      <w:r w:rsidRPr="00B17C11">
        <w:rPr>
          <w:rFonts w:ascii="Arial" w:hAnsi="Arial" w:cs="Arial"/>
          <w:i/>
          <w:sz w:val="24"/>
          <w:szCs w:val="24"/>
          <w:shd w:val="clear" w:color="auto" w:fill="FFFFFF"/>
        </w:rPr>
        <w:t>status quo ante</w:t>
      </w:r>
      <w:r w:rsidRPr="00B17C11">
        <w:rPr>
          <w:rFonts w:ascii="Arial" w:hAnsi="Arial" w:cs="Arial"/>
          <w:sz w:val="24"/>
          <w:szCs w:val="24"/>
          <w:shd w:val="clear" w:color="auto" w:fill="FFFFFF"/>
        </w:rPr>
        <w:t xml:space="preserve">, it nonetheless erred in </w:t>
      </w:r>
      <w:r w:rsidRPr="00B17C11">
        <w:rPr>
          <w:rFonts w:ascii="Arial" w:hAnsi="Arial" w:cs="Arial"/>
          <w:sz w:val="24"/>
          <w:szCs w:val="24"/>
          <w:shd w:val="clear" w:color="auto" w:fill="FFFFFF"/>
        </w:rPr>
        <w:lastRenderedPageBreak/>
        <w:t>adding a condition that the respondent had to attain a permit to continue with trade.</w:t>
      </w:r>
      <w:r w:rsidRPr="00B17C11">
        <w:rPr>
          <w:rStyle w:val="FootnoteReference"/>
          <w:rFonts w:ascii="Arial" w:hAnsi="Arial" w:cs="Arial"/>
          <w:sz w:val="24"/>
          <w:szCs w:val="24"/>
          <w:shd w:val="clear" w:color="auto" w:fill="FFFFFF"/>
        </w:rPr>
        <w:footnoteReference w:id="115"/>
      </w:r>
      <w:r w:rsidRPr="00B17C11">
        <w:rPr>
          <w:rFonts w:ascii="Arial" w:hAnsi="Arial" w:cs="Arial"/>
          <w:sz w:val="24"/>
          <w:szCs w:val="24"/>
          <w:shd w:val="clear" w:color="auto" w:fill="FFFFFF"/>
        </w:rPr>
        <w:t xml:space="preserve"> The court made it abundantly clear that considerations of public policy need not be taken into account in spoliation proceedings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w:t>
      </w:r>
      <w:r w:rsidR="00A45287" w:rsidRPr="00B17C11">
        <w:rPr>
          <w:rFonts w:ascii="Arial" w:hAnsi="Arial" w:cs="Arial"/>
          <w:sz w:val="24"/>
          <w:szCs w:val="24"/>
          <w:shd w:val="clear" w:color="auto" w:fill="FFFFFF"/>
        </w:rPr>
        <w:t xml:space="preserve">that </w:t>
      </w:r>
      <w:r w:rsidRPr="00B17C11">
        <w:rPr>
          <w:rFonts w:ascii="Arial" w:hAnsi="Arial" w:cs="Arial"/>
          <w:sz w:val="24"/>
          <w:szCs w:val="24"/>
          <w:shd w:val="clear" w:color="auto" w:fill="FFFFFF"/>
        </w:rPr>
        <w:t>such considerations are dealt with in criminal proceedings.</w:t>
      </w:r>
      <w:r w:rsidRPr="00B17C11">
        <w:rPr>
          <w:rStyle w:val="FootnoteReference"/>
          <w:rFonts w:ascii="Arial" w:hAnsi="Arial" w:cs="Arial"/>
          <w:sz w:val="24"/>
          <w:szCs w:val="24"/>
          <w:shd w:val="clear" w:color="auto" w:fill="FFFFFF"/>
        </w:rPr>
        <w:footnoteReference w:id="116"/>
      </w:r>
    </w:p>
    <w:p w14:paraId="32AA12ED" w14:textId="473BE113"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This judgment is most significant for its formulation of the requirements of the spoliation remedy. These requirements can be summarised as follows: (</w:t>
      </w:r>
      <w:proofErr w:type="spellStart"/>
      <w:r w:rsidRPr="00B17C11">
        <w:rPr>
          <w:rFonts w:ascii="Arial" w:hAnsi="Arial" w:cs="Arial"/>
          <w:sz w:val="24"/>
          <w:szCs w:val="24"/>
          <w:shd w:val="clear" w:color="auto" w:fill="FFFFFF"/>
        </w:rPr>
        <w:t>i</w:t>
      </w:r>
      <w:proofErr w:type="spellEnd"/>
      <w:r w:rsidRPr="00B17C11">
        <w:rPr>
          <w:rFonts w:ascii="Arial" w:hAnsi="Arial" w:cs="Arial"/>
          <w:sz w:val="24"/>
          <w:szCs w:val="24"/>
          <w:shd w:val="clear" w:color="auto" w:fill="FFFFFF"/>
        </w:rPr>
        <w:t>) The applicant must have been in possession of the property with the intention to be an owner or to secure benefits for himself</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he must be deprived of his possession unlawfully; (ii) a thief or a robber is entitled to a spoliation order because it is irrelevant whether possession was acquired fraudulently or illegally</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and that (iii) the merits of the case are not considered in spoliation proceedings.</w:t>
      </w:r>
      <w:r w:rsidRPr="00B17C11">
        <w:rPr>
          <w:rStyle w:val="FootnoteReference"/>
          <w:rFonts w:ascii="Arial" w:hAnsi="Arial" w:cs="Arial"/>
          <w:sz w:val="24"/>
          <w:szCs w:val="24"/>
          <w:shd w:val="clear" w:color="auto" w:fill="FFFFFF"/>
        </w:rPr>
        <w:footnoteReference w:id="117"/>
      </w:r>
      <w:r w:rsidR="00784B44" w:rsidRPr="00B17C11">
        <w:rPr>
          <w:rFonts w:ascii="Arial" w:hAnsi="Arial" w:cs="Arial"/>
          <w:sz w:val="24"/>
          <w:szCs w:val="24"/>
          <w:shd w:val="clear" w:color="auto" w:fill="FFFFFF"/>
        </w:rPr>
        <w:t xml:space="preserve"> </w:t>
      </w:r>
      <w:r w:rsidR="003E506D" w:rsidRPr="00B17C11">
        <w:rPr>
          <w:rFonts w:ascii="Arial" w:hAnsi="Arial" w:cs="Arial"/>
          <w:sz w:val="24"/>
          <w:szCs w:val="24"/>
          <w:shd w:val="clear" w:color="auto" w:fill="FFFFFF"/>
        </w:rPr>
        <w:t>Although</w:t>
      </w:r>
      <w:r w:rsidR="00784B44" w:rsidRPr="00B17C11">
        <w:rPr>
          <w:rFonts w:ascii="Arial" w:hAnsi="Arial" w:cs="Arial"/>
          <w:sz w:val="24"/>
          <w:szCs w:val="24"/>
          <w:shd w:val="clear" w:color="auto" w:fill="FFFFFF"/>
        </w:rPr>
        <w:t xml:space="preserve"> this case was decided </w:t>
      </w:r>
      <w:r w:rsidR="00153202" w:rsidRPr="00B17C11">
        <w:rPr>
          <w:rFonts w:ascii="Arial" w:hAnsi="Arial" w:cs="Arial"/>
          <w:sz w:val="24"/>
          <w:szCs w:val="24"/>
          <w:shd w:val="clear" w:color="auto" w:fill="FFFFFF"/>
        </w:rPr>
        <w:t xml:space="preserve">in 1973, at least </w:t>
      </w:r>
      <w:r w:rsidR="004207BF" w:rsidRPr="00B17C11">
        <w:rPr>
          <w:rFonts w:ascii="Arial" w:hAnsi="Arial" w:cs="Arial"/>
          <w:sz w:val="24"/>
          <w:szCs w:val="24"/>
          <w:shd w:val="clear" w:color="auto" w:fill="FFFFFF"/>
        </w:rPr>
        <w:t xml:space="preserve">over </w:t>
      </w:r>
      <w:r w:rsidR="00DF3B8C" w:rsidRPr="00B17C11">
        <w:rPr>
          <w:rFonts w:ascii="Arial" w:hAnsi="Arial" w:cs="Arial"/>
          <w:sz w:val="24"/>
          <w:szCs w:val="24"/>
          <w:shd w:val="clear" w:color="auto" w:fill="FFFFFF"/>
        </w:rPr>
        <w:t>half</w:t>
      </w:r>
      <w:r w:rsidR="00784B44" w:rsidRPr="00B17C11">
        <w:rPr>
          <w:rFonts w:ascii="Arial" w:hAnsi="Arial" w:cs="Arial"/>
          <w:sz w:val="24"/>
          <w:szCs w:val="24"/>
          <w:shd w:val="clear" w:color="auto" w:fill="FFFFFF"/>
        </w:rPr>
        <w:t xml:space="preserve"> a century ago</w:t>
      </w:r>
      <w:r w:rsidR="00DF3B8C" w:rsidRPr="00B17C11">
        <w:rPr>
          <w:rFonts w:ascii="Arial" w:hAnsi="Arial" w:cs="Arial"/>
          <w:sz w:val="24"/>
          <w:szCs w:val="24"/>
          <w:shd w:val="clear" w:color="auto" w:fill="FFFFFF"/>
        </w:rPr>
        <w:t>, t</w:t>
      </w:r>
      <w:r w:rsidR="00784B44" w:rsidRPr="00B17C11">
        <w:rPr>
          <w:rFonts w:ascii="Arial" w:hAnsi="Arial" w:cs="Arial"/>
          <w:sz w:val="24"/>
          <w:szCs w:val="24"/>
          <w:shd w:val="clear" w:color="auto" w:fill="FFFFFF"/>
        </w:rPr>
        <w:t>he position as set out above remain</w:t>
      </w:r>
      <w:r w:rsidR="00245E5B" w:rsidRPr="00B17C11">
        <w:rPr>
          <w:rFonts w:ascii="Arial" w:hAnsi="Arial" w:cs="Arial"/>
          <w:sz w:val="24"/>
          <w:szCs w:val="24"/>
          <w:shd w:val="clear" w:color="auto" w:fill="FFFFFF"/>
        </w:rPr>
        <w:t>s</w:t>
      </w:r>
      <w:r w:rsidR="00784B44" w:rsidRPr="00B17C11">
        <w:rPr>
          <w:rFonts w:ascii="Arial" w:hAnsi="Arial" w:cs="Arial"/>
          <w:sz w:val="24"/>
          <w:szCs w:val="24"/>
          <w:shd w:val="clear" w:color="auto" w:fill="FFFFFF"/>
        </w:rPr>
        <w:t xml:space="preserve"> </w:t>
      </w:r>
      <w:r w:rsidR="000D4F37" w:rsidRPr="00B17C11">
        <w:rPr>
          <w:rFonts w:ascii="Arial" w:hAnsi="Arial" w:cs="Arial"/>
          <w:sz w:val="24"/>
          <w:szCs w:val="24"/>
          <w:shd w:val="clear" w:color="auto" w:fill="FFFFFF"/>
        </w:rPr>
        <w:t xml:space="preserve">the same </w:t>
      </w:r>
      <w:r w:rsidR="00784B44" w:rsidRPr="00B17C11">
        <w:rPr>
          <w:rFonts w:ascii="Arial" w:hAnsi="Arial" w:cs="Arial"/>
          <w:sz w:val="24"/>
          <w:szCs w:val="24"/>
          <w:shd w:val="clear" w:color="auto" w:fill="FFFFFF"/>
        </w:rPr>
        <w:t>except where</w:t>
      </w:r>
      <w:r w:rsidR="000D4F37" w:rsidRPr="00B17C11">
        <w:rPr>
          <w:rFonts w:ascii="Arial" w:hAnsi="Arial" w:cs="Arial"/>
          <w:sz w:val="24"/>
          <w:szCs w:val="24"/>
          <w:shd w:val="clear" w:color="auto" w:fill="FFFFFF"/>
        </w:rPr>
        <w:t xml:space="preserve"> fraudule</w:t>
      </w:r>
      <w:r w:rsidR="00153202" w:rsidRPr="00B17C11">
        <w:rPr>
          <w:rFonts w:ascii="Arial" w:hAnsi="Arial" w:cs="Arial"/>
          <w:sz w:val="24"/>
          <w:szCs w:val="24"/>
          <w:shd w:val="clear" w:color="auto" w:fill="FFFFFF"/>
        </w:rPr>
        <w:t>nt or unlawfully</w:t>
      </w:r>
      <w:r w:rsidR="000D4F37" w:rsidRPr="00B17C11">
        <w:rPr>
          <w:rFonts w:ascii="Arial" w:hAnsi="Arial" w:cs="Arial"/>
          <w:sz w:val="24"/>
          <w:szCs w:val="24"/>
          <w:shd w:val="clear" w:color="auto" w:fill="FFFFFF"/>
        </w:rPr>
        <w:t xml:space="preserve"> obtained</w:t>
      </w:r>
      <w:r w:rsidR="00784B44" w:rsidRPr="00B17C11">
        <w:rPr>
          <w:rFonts w:ascii="Arial" w:hAnsi="Arial" w:cs="Arial"/>
          <w:sz w:val="24"/>
          <w:szCs w:val="24"/>
          <w:shd w:val="clear" w:color="auto" w:fill="FFFFFF"/>
        </w:rPr>
        <w:t xml:space="preserve"> possession </w:t>
      </w:r>
      <w:r w:rsidR="00245E5B" w:rsidRPr="00B17C11">
        <w:rPr>
          <w:rFonts w:ascii="Arial" w:hAnsi="Arial" w:cs="Arial"/>
          <w:sz w:val="24"/>
          <w:szCs w:val="24"/>
          <w:shd w:val="clear" w:color="auto" w:fill="FFFFFF"/>
        </w:rPr>
        <w:t xml:space="preserve">can lead to </w:t>
      </w:r>
      <w:r w:rsidR="000D4F37" w:rsidRPr="00B17C11">
        <w:rPr>
          <w:rFonts w:ascii="Arial" w:hAnsi="Arial" w:cs="Arial"/>
          <w:sz w:val="24"/>
          <w:szCs w:val="24"/>
          <w:shd w:val="clear" w:color="auto" w:fill="FFFFFF"/>
        </w:rPr>
        <w:t>health risk</w:t>
      </w:r>
      <w:r w:rsidR="00DF3B8C" w:rsidRPr="00B17C11">
        <w:rPr>
          <w:rFonts w:ascii="Arial" w:hAnsi="Arial" w:cs="Arial"/>
          <w:sz w:val="24"/>
          <w:szCs w:val="24"/>
          <w:shd w:val="clear" w:color="auto" w:fill="FFFFFF"/>
        </w:rPr>
        <w:t>s</w:t>
      </w:r>
      <w:r w:rsidR="00784B44" w:rsidRPr="00B17C11">
        <w:rPr>
          <w:rFonts w:ascii="Arial" w:hAnsi="Arial" w:cs="Arial"/>
          <w:sz w:val="24"/>
          <w:szCs w:val="24"/>
          <w:shd w:val="clear" w:color="auto" w:fill="FFFFFF"/>
        </w:rPr>
        <w:t>.</w:t>
      </w:r>
      <w:r w:rsidR="00245E5B" w:rsidRPr="00B17C11">
        <w:rPr>
          <w:rStyle w:val="FootnoteReference"/>
          <w:rFonts w:ascii="Arial" w:hAnsi="Arial" w:cs="Arial"/>
          <w:sz w:val="24"/>
          <w:szCs w:val="24"/>
          <w:shd w:val="clear" w:color="auto" w:fill="FFFFFF"/>
        </w:rPr>
        <w:footnoteReference w:id="118"/>
      </w:r>
      <w:r w:rsidR="00BA2515" w:rsidRPr="00B17C11">
        <w:rPr>
          <w:rFonts w:ascii="Arial" w:hAnsi="Arial" w:cs="Arial"/>
          <w:sz w:val="24"/>
          <w:szCs w:val="24"/>
          <w:shd w:val="clear" w:color="auto" w:fill="FFFFFF"/>
        </w:rPr>
        <w:t xml:space="preserve"> </w:t>
      </w:r>
      <w:r w:rsidR="00784B44" w:rsidRPr="00B17C11">
        <w:rPr>
          <w:rFonts w:ascii="Arial" w:hAnsi="Arial" w:cs="Arial"/>
          <w:sz w:val="24"/>
          <w:szCs w:val="24"/>
          <w:shd w:val="clear" w:color="auto" w:fill="FFFFFF"/>
        </w:rPr>
        <w:t>The next part considers the procedure that is followed in spoliation proceedings</w:t>
      </w:r>
      <w:r w:rsidR="00480DED" w:rsidRPr="00B17C11">
        <w:rPr>
          <w:rFonts w:ascii="Arial" w:hAnsi="Arial" w:cs="Arial"/>
          <w:sz w:val="24"/>
          <w:szCs w:val="24"/>
          <w:shd w:val="clear" w:color="auto" w:fill="FFFFFF"/>
        </w:rPr>
        <w:t xml:space="preserve"> and the scope of persons entitled to the spoliation remedy</w:t>
      </w:r>
      <w:r w:rsidR="00784B44" w:rsidRPr="00B17C11">
        <w:rPr>
          <w:rFonts w:ascii="Arial" w:hAnsi="Arial" w:cs="Arial"/>
          <w:sz w:val="24"/>
          <w:szCs w:val="24"/>
          <w:shd w:val="clear" w:color="auto" w:fill="FFFFFF"/>
        </w:rPr>
        <w:t>.</w:t>
      </w:r>
    </w:p>
    <w:p w14:paraId="064A3A98" w14:textId="77777777" w:rsidR="008C0076" w:rsidRPr="00B17C11" w:rsidRDefault="008C0076" w:rsidP="004E3EF9">
      <w:pPr>
        <w:spacing w:line="360" w:lineRule="auto"/>
        <w:jc w:val="both"/>
        <w:rPr>
          <w:rFonts w:ascii="Arial" w:hAnsi="Arial" w:cs="Arial"/>
          <w:sz w:val="24"/>
          <w:szCs w:val="24"/>
          <w:shd w:val="clear" w:color="auto" w:fill="FFFFFF"/>
        </w:rPr>
      </w:pPr>
    </w:p>
    <w:p w14:paraId="41A4D488" w14:textId="732E81EB" w:rsidR="004E3EF9" w:rsidRPr="00B17C11" w:rsidRDefault="004E3EF9" w:rsidP="008C0076">
      <w:pPr>
        <w:pStyle w:val="Heading3"/>
      </w:pPr>
      <w:bookmarkStart w:id="14" w:name="_Toc181339541"/>
      <w:r w:rsidRPr="00B17C11">
        <w:t>2.4.2 Procedure</w:t>
      </w:r>
      <w:bookmarkEnd w:id="14"/>
    </w:p>
    <w:p w14:paraId="6B7A355A" w14:textId="597A18BC"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 spoliation proceedings, a more cumbersome approach was put aside in favour of more expedient court proceedings, the motion procedure.</w:t>
      </w:r>
      <w:r w:rsidRPr="00B17C11">
        <w:rPr>
          <w:rStyle w:val="FootnoteReference"/>
          <w:rFonts w:ascii="Arial" w:hAnsi="Arial" w:cs="Arial"/>
          <w:sz w:val="24"/>
          <w:szCs w:val="24"/>
          <w:shd w:val="clear" w:color="auto" w:fill="FFFFFF"/>
        </w:rPr>
        <w:footnoteReference w:id="119"/>
      </w:r>
      <w:r w:rsidRPr="00B17C11">
        <w:rPr>
          <w:rFonts w:ascii="Arial" w:hAnsi="Arial" w:cs="Arial"/>
          <w:sz w:val="24"/>
          <w:szCs w:val="24"/>
          <w:shd w:val="clear" w:color="auto" w:fill="FFFFFF"/>
        </w:rPr>
        <w:t xml:space="preserve"> This is because legal action would defeat the unique and expedient nature of the spoliation remedy, which is to restore the </w:t>
      </w:r>
      <w:r w:rsidRPr="00B17C11">
        <w:rPr>
          <w:rFonts w:ascii="Arial" w:hAnsi="Arial" w:cs="Arial"/>
          <w:i/>
          <w:sz w:val="24"/>
          <w:szCs w:val="24"/>
          <w:shd w:val="clear" w:color="auto" w:fill="FFFFFF"/>
        </w:rPr>
        <w:t>status quo</w:t>
      </w:r>
      <w:r w:rsidRPr="00B17C11">
        <w:rPr>
          <w:rFonts w:ascii="Arial" w:hAnsi="Arial" w:cs="Arial"/>
          <w:sz w:val="24"/>
          <w:szCs w:val="24"/>
          <w:shd w:val="clear" w:color="auto" w:fill="FFFFFF"/>
        </w:rPr>
        <w:t xml:space="preserve"> before the merits of the case are considered.</w:t>
      </w:r>
      <w:r w:rsidRPr="00B17C11">
        <w:rPr>
          <w:rStyle w:val="FootnoteReference"/>
          <w:rFonts w:ascii="Arial" w:hAnsi="Arial" w:cs="Arial"/>
          <w:sz w:val="24"/>
          <w:szCs w:val="24"/>
          <w:shd w:val="clear" w:color="auto" w:fill="FFFFFF"/>
        </w:rPr>
        <w:footnoteReference w:id="120"/>
      </w:r>
      <w:r w:rsidRPr="00B17C11">
        <w:rPr>
          <w:rFonts w:ascii="Arial" w:hAnsi="Arial" w:cs="Arial"/>
          <w:sz w:val="24"/>
          <w:szCs w:val="24"/>
          <w:shd w:val="clear" w:color="auto" w:fill="FFFFFF"/>
        </w:rPr>
        <w:t xml:space="preserve"> During the spoliation proceedings, the applicant must prove on the balance of probabilities that he is entitled to an order.</w:t>
      </w:r>
      <w:r w:rsidRPr="00B17C11">
        <w:rPr>
          <w:rStyle w:val="FootnoteReference"/>
          <w:rFonts w:ascii="Arial" w:hAnsi="Arial" w:cs="Arial"/>
          <w:sz w:val="24"/>
          <w:szCs w:val="24"/>
          <w:shd w:val="clear" w:color="auto" w:fill="FFFFFF"/>
        </w:rPr>
        <w:footnoteReference w:id="121"/>
      </w:r>
      <w:r w:rsidRPr="00B17C11">
        <w:rPr>
          <w:rFonts w:ascii="Arial" w:hAnsi="Arial" w:cs="Arial"/>
          <w:sz w:val="24"/>
          <w:szCs w:val="24"/>
          <w:shd w:val="clear" w:color="auto" w:fill="FFFFFF"/>
        </w:rPr>
        <w:t xml:space="preserve"> This order is not final and does not touch on the right</w:t>
      </w:r>
      <w:r w:rsidR="00A45287" w:rsidRPr="00B17C11">
        <w:rPr>
          <w:rFonts w:ascii="Arial" w:hAnsi="Arial" w:cs="Arial"/>
          <w:sz w:val="24"/>
          <w:szCs w:val="24"/>
          <w:shd w:val="clear" w:color="auto" w:fill="FFFFFF"/>
        </w:rPr>
        <w:t>s</w:t>
      </w:r>
      <w:r w:rsidRPr="00B17C11">
        <w:rPr>
          <w:rFonts w:ascii="Arial" w:hAnsi="Arial" w:cs="Arial"/>
          <w:sz w:val="24"/>
          <w:szCs w:val="24"/>
          <w:shd w:val="clear" w:color="auto" w:fill="FFFFFF"/>
        </w:rPr>
        <w:t xml:space="preserve"> of the parties, it is only an order requiring the </w:t>
      </w:r>
      <w:r w:rsidRPr="00B17C11">
        <w:rPr>
          <w:rFonts w:ascii="Arial" w:hAnsi="Arial" w:cs="Arial"/>
          <w:i/>
          <w:sz w:val="24"/>
          <w:szCs w:val="24"/>
          <w:shd w:val="clear" w:color="auto" w:fill="FFFFFF"/>
        </w:rPr>
        <w:t>status quo</w:t>
      </w:r>
      <w:r w:rsidRPr="00B17C11">
        <w:rPr>
          <w:rFonts w:ascii="Arial" w:hAnsi="Arial" w:cs="Arial"/>
          <w:sz w:val="24"/>
          <w:szCs w:val="24"/>
          <w:shd w:val="clear" w:color="auto" w:fill="FFFFFF"/>
        </w:rPr>
        <w:t xml:space="preserve"> to be restored in regard to the thing dispossessed.</w:t>
      </w:r>
      <w:r w:rsidRPr="00B17C11">
        <w:rPr>
          <w:rStyle w:val="FootnoteReference"/>
          <w:rFonts w:ascii="Arial" w:hAnsi="Arial" w:cs="Arial"/>
          <w:sz w:val="24"/>
          <w:szCs w:val="24"/>
          <w:shd w:val="clear" w:color="auto" w:fill="FFFFFF"/>
        </w:rPr>
        <w:footnoteReference w:id="122"/>
      </w:r>
      <w:r w:rsidRPr="00B17C11">
        <w:rPr>
          <w:rFonts w:ascii="Arial" w:hAnsi="Arial" w:cs="Arial"/>
          <w:sz w:val="24"/>
          <w:szCs w:val="24"/>
          <w:shd w:val="clear" w:color="auto" w:fill="FFFFFF"/>
        </w:rPr>
        <w:t xml:space="preserve"> It</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therefore</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only offers an interim relief preliminary to the suit </w:t>
      </w:r>
      <w:r w:rsidRPr="00B17C11">
        <w:rPr>
          <w:rFonts w:ascii="Arial" w:hAnsi="Arial" w:cs="Arial"/>
          <w:sz w:val="24"/>
          <w:szCs w:val="24"/>
          <w:shd w:val="clear" w:color="auto" w:fill="FFFFFF"/>
        </w:rPr>
        <w:lastRenderedPageBreak/>
        <w:t>on the merits.</w:t>
      </w:r>
      <w:r w:rsidRPr="00B17C11">
        <w:rPr>
          <w:rStyle w:val="FootnoteReference"/>
          <w:rFonts w:ascii="Arial" w:hAnsi="Arial" w:cs="Arial"/>
          <w:sz w:val="24"/>
          <w:szCs w:val="24"/>
          <w:shd w:val="clear" w:color="auto" w:fill="FFFFFF"/>
        </w:rPr>
        <w:footnoteReference w:id="123"/>
      </w:r>
      <w:r w:rsidRPr="00B17C11">
        <w:rPr>
          <w:rFonts w:ascii="Arial" w:hAnsi="Arial" w:cs="Arial"/>
          <w:sz w:val="24"/>
          <w:szCs w:val="24"/>
          <w:shd w:val="clear" w:color="auto" w:fill="FFFFFF"/>
        </w:rPr>
        <w:t xml:space="preserve"> If the applicant succeeds with the spoliation order his possession is restored at once.</w:t>
      </w:r>
      <w:r w:rsidRPr="00B17C11">
        <w:rPr>
          <w:rStyle w:val="FootnoteReference"/>
          <w:rFonts w:ascii="Arial" w:hAnsi="Arial" w:cs="Arial"/>
          <w:sz w:val="24"/>
          <w:szCs w:val="24"/>
          <w:shd w:val="clear" w:color="auto" w:fill="FFFFFF"/>
        </w:rPr>
        <w:footnoteReference w:id="124"/>
      </w:r>
      <w:r w:rsidRPr="00B17C11">
        <w:rPr>
          <w:rFonts w:ascii="Arial" w:hAnsi="Arial" w:cs="Arial"/>
          <w:sz w:val="24"/>
          <w:szCs w:val="24"/>
          <w:shd w:val="clear" w:color="auto" w:fill="FFFFFF"/>
        </w:rPr>
        <w:t xml:space="preserve"> However, </w:t>
      </w:r>
      <w:r w:rsidR="00931612" w:rsidRPr="00B17C11">
        <w:rPr>
          <w:rFonts w:ascii="Arial" w:hAnsi="Arial" w:cs="Arial"/>
          <w:sz w:val="24"/>
          <w:szCs w:val="24"/>
          <w:shd w:val="clear" w:color="auto" w:fill="FFFFFF"/>
        </w:rPr>
        <w:t>i</w:t>
      </w:r>
      <w:r w:rsidRPr="00B17C11">
        <w:rPr>
          <w:rFonts w:ascii="Arial" w:hAnsi="Arial" w:cs="Arial"/>
          <w:sz w:val="24"/>
          <w:szCs w:val="24"/>
          <w:shd w:val="clear" w:color="auto" w:fill="FFFFFF"/>
        </w:rPr>
        <w:t xml:space="preserve">f the parties do not litigate on the merits of the case following the order of the court, the </w:t>
      </w:r>
      <w:r w:rsidRPr="00B17C11">
        <w:rPr>
          <w:rFonts w:ascii="Arial" w:hAnsi="Arial" w:cs="Arial"/>
          <w:i/>
          <w:sz w:val="24"/>
          <w:szCs w:val="24"/>
          <w:shd w:val="clear" w:color="auto" w:fill="FFFFFF"/>
        </w:rPr>
        <w:t>status quo</w:t>
      </w:r>
      <w:r w:rsidRPr="00B17C11">
        <w:rPr>
          <w:rFonts w:ascii="Arial" w:hAnsi="Arial" w:cs="Arial"/>
          <w:sz w:val="24"/>
          <w:szCs w:val="24"/>
          <w:shd w:val="clear" w:color="auto" w:fill="FFFFFF"/>
        </w:rPr>
        <w:t xml:space="preserve"> as ordered by the court will remain in place.</w:t>
      </w:r>
      <w:r w:rsidRPr="00B17C11">
        <w:rPr>
          <w:rStyle w:val="FootnoteReference"/>
          <w:rFonts w:ascii="Arial" w:hAnsi="Arial" w:cs="Arial"/>
          <w:sz w:val="24"/>
          <w:szCs w:val="24"/>
          <w:shd w:val="clear" w:color="auto" w:fill="FFFFFF"/>
        </w:rPr>
        <w:footnoteReference w:id="125"/>
      </w:r>
    </w:p>
    <w:p w14:paraId="4E522B45" w14:textId="77777777" w:rsidR="00635917" w:rsidRPr="00B17C11" w:rsidRDefault="00635917" w:rsidP="004E3EF9">
      <w:pPr>
        <w:spacing w:line="360" w:lineRule="auto"/>
        <w:jc w:val="both"/>
        <w:rPr>
          <w:rFonts w:ascii="Arial" w:hAnsi="Arial" w:cs="Arial"/>
          <w:sz w:val="24"/>
          <w:szCs w:val="24"/>
          <w:shd w:val="clear" w:color="auto" w:fill="FFFFFF"/>
        </w:rPr>
      </w:pPr>
    </w:p>
    <w:p w14:paraId="4A5DB6A1" w14:textId="4152E423" w:rsidR="004E3EF9" w:rsidRPr="00B17C11" w:rsidRDefault="004E3EF9" w:rsidP="00635917">
      <w:pPr>
        <w:pStyle w:val="Heading3"/>
      </w:pPr>
      <w:bookmarkStart w:id="15" w:name="_Toc181339542"/>
      <w:r w:rsidRPr="00B17C11">
        <w:t>2.4.3 Scope</w:t>
      </w:r>
      <w:bookmarkEnd w:id="15"/>
    </w:p>
    <w:p w14:paraId="08341EED" w14:textId="5E6BFFA0"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Traditionally, only possessors were entitled to </w:t>
      </w:r>
      <w:proofErr w:type="spellStart"/>
      <w:r w:rsidRPr="00B17C11">
        <w:rPr>
          <w:rFonts w:ascii="Arial" w:hAnsi="Arial" w:cs="Arial"/>
          <w:sz w:val="24"/>
          <w:szCs w:val="24"/>
          <w:shd w:val="clear" w:color="auto" w:fill="FFFFFF"/>
        </w:rPr>
        <w:t>spoliatory</w:t>
      </w:r>
      <w:proofErr w:type="spellEnd"/>
      <w:r w:rsidRPr="00B17C11">
        <w:rPr>
          <w:rFonts w:ascii="Arial" w:hAnsi="Arial" w:cs="Arial"/>
          <w:sz w:val="24"/>
          <w:szCs w:val="24"/>
          <w:shd w:val="clear" w:color="auto" w:fill="FFFFFF"/>
        </w:rPr>
        <w:t xml:space="preserve"> relief. A distinction was drawn between possessors and holders. Voet argued that this distinction was implausible because </w:t>
      </w:r>
      <w:r w:rsidR="008F43C4" w:rsidRPr="00B17C11">
        <w:rPr>
          <w:rFonts w:ascii="Arial" w:hAnsi="Arial" w:cs="Arial"/>
          <w:sz w:val="24"/>
          <w:szCs w:val="24"/>
          <w:shd w:val="clear" w:color="auto" w:fill="FFFFFF"/>
        </w:rPr>
        <w:t>possessors</w:t>
      </w:r>
      <w:r w:rsidRPr="00B17C11">
        <w:rPr>
          <w:rFonts w:ascii="Arial" w:hAnsi="Arial" w:cs="Arial"/>
          <w:sz w:val="24"/>
          <w:szCs w:val="24"/>
          <w:shd w:val="clear" w:color="auto" w:fill="FFFFFF"/>
        </w:rPr>
        <w:t xml:space="preserve"> and </w:t>
      </w:r>
      <w:r w:rsidR="008F43C4" w:rsidRPr="00B17C11">
        <w:rPr>
          <w:rFonts w:ascii="Arial" w:hAnsi="Arial" w:cs="Arial"/>
          <w:sz w:val="24"/>
          <w:szCs w:val="24"/>
          <w:shd w:val="clear" w:color="auto" w:fill="FFFFFF"/>
        </w:rPr>
        <w:t>holder</w:t>
      </w:r>
      <w:r w:rsidRPr="00B17C11">
        <w:rPr>
          <w:rFonts w:ascii="Arial" w:hAnsi="Arial" w:cs="Arial"/>
          <w:sz w:val="24"/>
          <w:szCs w:val="24"/>
          <w:shd w:val="clear" w:color="auto" w:fill="FFFFFF"/>
        </w:rPr>
        <w:t>s had the same mental element, namely the intention to derive benefit from a thing.</w:t>
      </w:r>
      <w:r w:rsidRPr="00B17C11">
        <w:rPr>
          <w:rStyle w:val="FootnoteReference"/>
          <w:rFonts w:ascii="Arial" w:hAnsi="Arial" w:cs="Arial"/>
          <w:sz w:val="24"/>
          <w:szCs w:val="24"/>
          <w:shd w:val="clear" w:color="auto" w:fill="FFFFFF"/>
        </w:rPr>
        <w:footnoteReference w:id="126"/>
      </w:r>
      <w:r w:rsidRPr="00B17C11">
        <w:rPr>
          <w:rFonts w:ascii="Arial" w:hAnsi="Arial" w:cs="Arial"/>
          <w:sz w:val="24"/>
          <w:szCs w:val="24"/>
          <w:shd w:val="clear" w:color="auto" w:fill="FFFFFF"/>
        </w:rPr>
        <w:t xml:space="preserve"> In South African law, it is accepted that exercising control over a thing with the intention to derive benefits entitles a person to a spoliation order.</w:t>
      </w:r>
      <w:r w:rsidRPr="00B17C11">
        <w:rPr>
          <w:rStyle w:val="FootnoteReference"/>
          <w:rFonts w:ascii="Arial" w:hAnsi="Arial" w:cs="Arial"/>
          <w:sz w:val="24"/>
          <w:szCs w:val="24"/>
          <w:shd w:val="clear" w:color="auto" w:fill="FFFFFF"/>
        </w:rPr>
        <w:footnoteReference w:id="127"/>
      </w:r>
      <w:r w:rsidRPr="00B17C11">
        <w:rPr>
          <w:rFonts w:ascii="Arial" w:hAnsi="Arial" w:cs="Arial"/>
          <w:sz w:val="24"/>
          <w:szCs w:val="24"/>
          <w:shd w:val="clear" w:color="auto" w:fill="FFFFFF"/>
        </w:rPr>
        <w:t xml:space="preserve"> On the contrary, exercising control over a thing primarily on behalf of another person and without the intention to derive benefits disqualifies a person from a spoliation order.</w:t>
      </w:r>
      <w:r w:rsidRPr="00B17C11">
        <w:rPr>
          <w:rStyle w:val="FootnoteReference"/>
          <w:rFonts w:ascii="Arial" w:hAnsi="Arial" w:cs="Arial"/>
          <w:sz w:val="24"/>
          <w:szCs w:val="24"/>
          <w:shd w:val="clear" w:color="auto" w:fill="FFFFFF"/>
        </w:rPr>
        <w:footnoteReference w:id="128"/>
      </w:r>
      <w:r w:rsidRPr="00B17C11">
        <w:rPr>
          <w:rFonts w:ascii="Arial" w:hAnsi="Arial" w:cs="Arial"/>
          <w:sz w:val="24"/>
          <w:szCs w:val="24"/>
          <w:shd w:val="clear" w:color="auto" w:fill="FFFFFF"/>
        </w:rPr>
        <w:t xml:space="preserve"> The South African courts have furthermore determined that persons entitled to a spoliation order include a </w:t>
      </w:r>
      <w:r w:rsidRPr="00B17C11">
        <w:rPr>
          <w:rFonts w:ascii="Arial" w:hAnsi="Arial" w:cs="Arial"/>
          <w:i/>
          <w:sz w:val="24"/>
          <w:szCs w:val="24"/>
          <w:shd w:val="clear" w:color="auto" w:fill="FFFFFF"/>
        </w:rPr>
        <w:t xml:space="preserve">bona fide </w:t>
      </w:r>
      <w:r w:rsidRPr="00B17C11">
        <w:rPr>
          <w:rFonts w:ascii="Arial" w:hAnsi="Arial" w:cs="Arial"/>
          <w:sz w:val="24"/>
          <w:szCs w:val="24"/>
          <w:shd w:val="clear" w:color="auto" w:fill="FFFFFF"/>
        </w:rPr>
        <w:t xml:space="preserve">possessor, a </w:t>
      </w:r>
      <w:r w:rsidRPr="00B17C11">
        <w:rPr>
          <w:rFonts w:ascii="Arial" w:hAnsi="Arial" w:cs="Arial"/>
          <w:i/>
          <w:sz w:val="24"/>
          <w:szCs w:val="24"/>
          <w:shd w:val="clear" w:color="auto" w:fill="FFFFFF"/>
        </w:rPr>
        <w:t>mala fide</w:t>
      </w:r>
      <w:r w:rsidRPr="00B17C11">
        <w:rPr>
          <w:rFonts w:ascii="Arial" w:hAnsi="Arial" w:cs="Arial"/>
          <w:sz w:val="24"/>
          <w:szCs w:val="24"/>
          <w:shd w:val="clear" w:color="auto" w:fill="FFFFFF"/>
        </w:rPr>
        <w:t xml:space="preserve"> possessor, a thief, a trustee, a pledgee, a borrower, an agent, a </w:t>
      </w:r>
      <w:proofErr w:type="spellStart"/>
      <w:r w:rsidRPr="00B17C11">
        <w:rPr>
          <w:rFonts w:ascii="Arial" w:hAnsi="Arial" w:cs="Arial"/>
          <w:sz w:val="24"/>
          <w:szCs w:val="24"/>
          <w:shd w:val="clear" w:color="auto" w:fill="FFFFFF"/>
        </w:rPr>
        <w:t>precarist</w:t>
      </w:r>
      <w:proofErr w:type="spellEnd"/>
      <w:r w:rsidRPr="00B17C11">
        <w:rPr>
          <w:rFonts w:ascii="Arial" w:hAnsi="Arial" w:cs="Arial"/>
          <w:sz w:val="24"/>
          <w:szCs w:val="24"/>
          <w:shd w:val="clear" w:color="auto" w:fill="FFFFFF"/>
        </w:rPr>
        <w:t>, a lessee, a depository, and a hire-purchaser.</w:t>
      </w:r>
      <w:r w:rsidRPr="00B17C11">
        <w:rPr>
          <w:rStyle w:val="FootnoteReference"/>
          <w:rFonts w:ascii="Arial" w:hAnsi="Arial" w:cs="Arial"/>
          <w:sz w:val="24"/>
          <w:szCs w:val="24"/>
          <w:shd w:val="clear" w:color="auto" w:fill="FFFFFF"/>
        </w:rPr>
        <w:footnoteReference w:id="129"/>
      </w:r>
    </w:p>
    <w:p w14:paraId="529314CE" w14:textId="077FE019"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This remedy is available when a person is unlawfully deprived of (</w:t>
      </w:r>
      <w:proofErr w:type="spellStart"/>
      <w:r w:rsidRPr="00B17C11">
        <w:rPr>
          <w:rFonts w:ascii="Arial" w:hAnsi="Arial" w:cs="Arial"/>
          <w:sz w:val="24"/>
          <w:szCs w:val="24"/>
          <w:shd w:val="clear" w:color="auto" w:fill="FFFFFF"/>
        </w:rPr>
        <w:t>i</w:t>
      </w:r>
      <w:proofErr w:type="spellEnd"/>
      <w:r w:rsidRPr="00B17C11">
        <w:rPr>
          <w:rFonts w:ascii="Arial" w:hAnsi="Arial" w:cs="Arial"/>
          <w:sz w:val="24"/>
          <w:szCs w:val="24"/>
          <w:shd w:val="clear" w:color="auto" w:fill="FFFFFF"/>
        </w:rPr>
        <w:t xml:space="preserve">) actual possession (ii)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 and or (iii) co-possession in respect of a thing held in joint possession.</w:t>
      </w:r>
      <w:r w:rsidRPr="00B17C11">
        <w:rPr>
          <w:rStyle w:val="FootnoteReference"/>
          <w:rFonts w:ascii="Arial" w:hAnsi="Arial" w:cs="Arial"/>
          <w:sz w:val="24"/>
          <w:szCs w:val="24"/>
          <w:shd w:val="clear" w:color="auto" w:fill="FFFFFF"/>
        </w:rPr>
        <w:footnoteReference w:id="130"/>
      </w:r>
      <w:r w:rsidRPr="00B17C11">
        <w:rPr>
          <w:rFonts w:ascii="Arial" w:hAnsi="Arial" w:cs="Arial"/>
          <w:sz w:val="24"/>
          <w:szCs w:val="24"/>
          <w:shd w:val="clear" w:color="auto" w:fill="FFFFFF"/>
        </w:rPr>
        <w:t xml:space="preserve"> </w:t>
      </w:r>
      <w:r w:rsidR="0083100D" w:rsidRPr="00B17C11">
        <w:rPr>
          <w:rFonts w:ascii="Arial" w:hAnsi="Arial" w:cs="Arial"/>
          <w:sz w:val="24"/>
          <w:szCs w:val="24"/>
          <w:shd w:val="clear" w:color="auto" w:fill="FFFFFF"/>
        </w:rPr>
        <w:t xml:space="preserve">The </w:t>
      </w:r>
      <w:proofErr w:type="spellStart"/>
      <w:r w:rsidR="0083100D" w:rsidRPr="00B17C11">
        <w:rPr>
          <w:rFonts w:ascii="Arial" w:hAnsi="Arial" w:cs="Arial"/>
          <w:i/>
          <w:iCs/>
          <w:sz w:val="24"/>
          <w:szCs w:val="24"/>
          <w:shd w:val="clear" w:color="auto" w:fill="FFFFFF"/>
        </w:rPr>
        <w:t>spoliatus</w:t>
      </w:r>
      <w:proofErr w:type="spellEnd"/>
      <w:r w:rsidR="0083100D" w:rsidRPr="00B17C11">
        <w:rPr>
          <w:rFonts w:ascii="Arial" w:hAnsi="Arial" w:cs="Arial"/>
          <w:sz w:val="24"/>
          <w:szCs w:val="24"/>
          <w:shd w:val="clear" w:color="auto" w:fill="FFFFFF"/>
        </w:rPr>
        <w:t xml:space="preserve"> don't need to</w:t>
      </w:r>
      <w:r w:rsidRPr="00B17C11">
        <w:rPr>
          <w:rFonts w:ascii="Arial" w:hAnsi="Arial" w:cs="Arial"/>
          <w:sz w:val="24"/>
          <w:szCs w:val="24"/>
          <w:shd w:val="clear" w:color="auto" w:fill="FFFFFF"/>
        </w:rPr>
        <w:t xml:space="preserve"> be dispossessed of the whole thing.</w:t>
      </w:r>
      <w:r w:rsidRPr="00B17C11">
        <w:rPr>
          <w:rStyle w:val="FootnoteReference"/>
          <w:rFonts w:ascii="Arial" w:hAnsi="Arial" w:cs="Arial"/>
          <w:sz w:val="24"/>
          <w:szCs w:val="24"/>
          <w:shd w:val="clear" w:color="auto" w:fill="FFFFFF"/>
        </w:rPr>
        <w:footnoteReference w:id="131"/>
      </w:r>
      <w:r w:rsidRPr="00B17C11">
        <w:rPr>
          <w:rFonts w:ascii="Arial" w:hAnsi="Arial" w:cs="Arial"/>
          <w:sz w:val="24"/>
          <w:szCs w:val="24"/>
          <w:shd w:val="clear" w:color="auto" w:fill="FFFFFF"/>
        </w:rPr>
        <w:t xml:space="preserve"> Partial deprivation or disturbance is enough to entitle him to protection under the spoliation remedy. For instance, in</w:t>
      </w:r>
      <w:r w:rsidRPr="00B17C11">
        <w:rPr>
          <w:rFonts w:ascii="Arial" w:hAnsi="Arial" w:cs="Arial"/>
          <w:i/>
          <w:sz w:val="24"/>
          <w:szCs w:val="24"/>
          <w:shd w:val="clear" w:color="auto" w:fill="FFFFFF"/>
        </w:rPr>
        <w:t xml:space="preserve"> Nienaber v Stuckey</w:t>
      </w:r>
      <w:r w:rsidR="0083100D" w:rsidRPr="00B17C11">
        <w:rPr>
          <w:rFonts w:ascii="Arial" w:hAnsi="Arial" w:cs="Arial"/>
          <w:i/>
          <w:sz w:val="24"/>
          <w:szCs w:val="24"/>
          <w:shd w:val="clear" w:color="auto" w:fill="FFFFFF"/>
        </w:rPr>
        <w:t>,</w:t>
      </w:r>
      <w:r w:rsidRPr="00B17C11">
        <w:rPr>
          <w:rFonts w:ascii="Arial" w:hAnsi="Arial" w:cs="Arial"/>
          <w:iCs/>
          <w:sz w:val="24"/>
          <w:szCs w:val="24"/>
          <w:shd w:val="clear" w:color="auto" w:fill="FFFFFF"/>
        </w:rPr>
        <w:t xml:space="preserve"> the</w:t>
      </w:r>
      <w:r w:rsidRPr="00B17C11">
        <w:rPr>
          <w:rFonts w:ascii="Arial" w:hAnsi="Arial" w:cs="Arial"/>
          <w:sz w:val="24"/>
          <w:szCs w:val="24"/>
          <w:shd w:val="clear" w:color="auto" w:fill="FFFFFF"/>
        </w:rPr>
        <w:t xml:space="preserve"> appellant alleged that he rented </w:t>
      </w:r>
      <w:r w:rsidR="0083100D" w:rsidRPr="00B17C11">
        <w:rPr>
          <w:rFonts w:ascii="Arial" w:hAnsi="Arial" w:cs="Arial"/>
          <w:sz w:val="24"/>
          <w:szCs w:val="24"/>
          <w:shd w:val="clear" w:color="auto" w:fill="FFFFFF"/>
        </w:rPr>
        <w:t xml:space="preserve">a </w:t>
      </w:r>
      <w:r w:rsidRPr="00B17C11">
        <w:rPr>
          <w:rFonts w:ascii="Arial" w:hAnsi="Arial" w:cs="Arial"/>
          <w:sz w:val="24"/>
          <w:szCs w:val="24"/>
          <w:shd w:val="clear" w:color="auto" w:fill="FFFFFF"/>
        </w:rPr>
        <w:t xml:space="preserve">portion of a farm from the respondent for </w:t>
      </w:r>
      <w:r w:rsidR="0083100D" w:rsidRPr="00B17C11">
        <w:rPr>
          <w:rFonts w:ascii="Arial" w:hAnsi="Arial" w:cs="Arial"/>
          <w:sz w:val="24"/>
          <w:szCs w:val="24"/>
          <w:shd w:val="clear" w:color="auto" w:fill="FFFFFF"/>
        </w:rPr>
        <w:t>three</w:t>
      </w:r>
      <w:r w:rsidRPr="00B17C11">
        <w:rPr>
          <w:rFonts w:ascii="Arial" w:hAnsi="Arial" w:cs="Arial"/>
          <w:sz w:val="24"/>
          <w:szCs w:val="24"/>
          <w:shd w:val="clear" w:color="auto" w:fill="FFFFFF"/>
        </w:rPr>
        <w:t xml:space="preserve"> years and had since been in peaceful possession of the land from the commencement of the lease until the respondent closed the only gate which allowed the appellant to gain access to the </w:t>
      </w:r>
      <w:r w:rsidRPr="00B17C11">
        <w:rPr>
          <w:rFonts w:ascii="Arial" w:hAnsi="Arial" w:cs="Arial"/>
          <w:sz w:val="24"/>
          <w:szCs w:val="24"/>
          <w:shd w:val="clear" w:color="auto" w:fill="FFFFFF"/>
        </w:rPr>
        <w:lastRenderedPageBreak/>
        <w:t>land.</w:t>
      </w:r>
      <w:r w:rsidRPr="00B17C11">
        <w:rPr>
          <w:rStyle w:val="FootnoteReference"/>
          <w:rFonts w:ascii="Arial" w:hAnsi="Arial" w:cs="Arial"/>
          <w:sz w:val="24"/>
          <w:szCs w:val="24"/>
          <w:shd w:val="clear" w:color="auto" w:fill="FFFFFF"/>
        </w:rPr>
        <w:footnoteReference w:id="132"/>
      </w:r>
      <w:r w:rsidRPr="00B17C11">
        <w:rPr>
          <w:rFonts w:ascii="Arial" w:hAnsi="Arial" w:cs="Arial"/>
          <w:sz w:val="24"/>
          <w:szCs w:val="24"/>
          <w:shd w:val="clear" w:color="auto" w:fill="FFFFFF"/>
        </w:rPr>
        <w:t xml:space="preserve"> The contract entered into by the appellant was of such a nature that he had a right to plough and cultivate a piece of land. The respondent was simultaneously entitled to exercise rights in the form of a lessor</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given that it would not interfere with the appellant's right.</w:t>
      </w:r>
      <w:r w:rsidRPr="00B17C11">
        <w:rPr>
          <w:rStyle w:val="FootnoteReference"/>
          <w:rFonts w:ascii="Arial" w:hAnsi="Arial" w:cs="Arial"/>
          <w:sz w:val="24"/>
          <w:szCs w:val="24"/>
          <w:shd w:val="clear" w:color="auto" w:fill="FFFFFF"/>
        </w:rPr>
        <w:footnoteReference w:id="133"/>
      </w:r>
    </w:p>
    <w:p w14:paraId="6F921134" w14:textId="4FC4E630"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court of first instance denied the appellant a spoliation order because the alleged contract entered into with the respondent did not entitle him to exclusive possession of the land.</w:t>
      </w:r>
      <w:r w:rsidRPr="00B17C11">
        <w:rPr>
          <w:rStyle w:val="FootnoteReference"/>
          <w:rFonts w:ascii="Arial" w:hAnsi="Arial" w:cs="Arial"/>
          <w:sz w:val="24"/>
          <w:szCs w:val="24"/>
          <w:shd w:val="clear" w:color="auto" w:fill="FFFFFF"/>
        </w:rPr>
        <w:footnoteReference w:id="134"/>
      </w:r>
      <w:r w:rsidRPr="00B17C11">
        <w:rPr>
          <w:rFonts w:ascii="Arial" w:hAnsi="Arial" w:cs="Arial"/>
          <w:sz w:val="24"/>
          <w:szCs w:val="24"/>
          <w:shd w:val="clear" w:color="auto" w:fill="FFFFFF"/>
        </w:rPr>
        <w:t xml:space="preserve"> In the court of appeal, Greenberg JA referred to </w:t>
      </w:r>
      <w:r w:rsidRPr="00B17C11">
        <w:rPr>
          <w:rFonts w:ascii="Arial" w:hAnsi="Arial" w:cs="Arial"/>
          <w:i/>
          <w:sz w:val="24"/>
          <w:szCs w:val="24"/>
          <w:shd w:val="clear" w:color="auto" w:fill="FFFFFF"/>
        </w:rPr>
        <w:t>Burnham v Neumeyer</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where Bristowe J opined that an applicant seeking a spoliation order must not only make out a </w:t>
      </w:r>
      <w:r w:rsidRPr="00B17C11">
        <w:rPr>
          <w:rFonts w:ascii="Arial" w:hAnsi="Arial" w:cs="Arial"/>
          <w:i/>
          <w:sz w:val="24"/>
          <w:szCs w:val="24"/>
          <w:shd w:val="clear" w:color="auto" w:fill="FFFFFF"/>
        </w:rPr>
        <w:t>prima facie</w:t>
      </w:r>
      <w:r w:rsidRPr="00B17C11">
        <w:rPr>
          <w:rFonts w:ascii="Arial" w:hAnsi="Arial" w:cs="Arial"/>
          <w:sz w:val="24"/>
          <w:szCs w:val="24"/>
          <w:shd w:val="clear" w:color="auto" w:fill="FFFFFF"/>
        </w:rPr>
        <w:t xml:space="preserve"> case but must prove that the thing alleged to have been spoliated was in his possession and that it was removed from his possession unlawfully or against his consent.</w:t>
      </w:r>
      <w:r w:rsidRPr="00B17C11">
        <w:rPr>
          <w:rStyle w:val="FootnoteReference"/>
          <w:rFonts w:ascii="Arial" w:hAnsi="Arial" w:cs="Arial"/>
          <w:sz w:val="24"/>
          <w:szCs w:val="24"/>
          <w:shd w:val="clear" w:color="auto" w:fill="FFFFFF"/>
        </w:rPr>
        <w:footnoteReference w:id="135"/>
      </w:r>
    </w:p>
    <w:p w14:paraId="51AAE715" w14:textId="4FE96E03"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Greenberg JA further noted that the only authority referred to by the court of first instance in support of the view that the spoliation order can only be granted to a person exercising exclusive control of possession was the case of </w:t>
      </w:r>
      <w:proofErr w:type="spellStart"/>
      <w:r w:rsidRPr="00B17C11">
        <w:rPr>
          <w:rFonts w:ascii="Arial" w:hAnsi="Arial" w:cs="Arial"/>
          <w:i/>
          <w:sz w:val="24"/>
          <w:szCs w:val="24"/>
          <w:shd w:val="clear" w:color="auto" w:fill="FFFFFF"/>
        </w:rPr>
        <w:t>Termby</w:t>
      </w:r>
      <w:proofErr w:type="spellEnd"/>
      <w:r w:rsidRPr="00B17C11">
        <w:rPr>
          <w:rFonts w:ascii="Arial" w:hAnsi="Arial" w:cs="Arial"/>
          <w:i/>
          <w:sz w:val="24"/>
          <w:szCs w:val="24"/>
          <w:shd w:val="clear" w:color="auto" w:fill="FFFFFF"/>
        </w:rPr>
        <w:t xml:space="preserve"> v </w:t>
      </w:r>
      <w:proofErr w:type="spellStart"/>
      <w:r w:rsidRPr="00B17C11">
        <w:rPr>
          <w:rFonts w:ascii="Arial" w:hAnsi="Arial" w:cs="Arial"/>
          <w:i/>
          <w:sz w:val="24"/>
          <w:szCs w:val="24"/>
          <w:shd w:val="clear" w:color="auto" w:fill="FFFFFF"/>
        </w:rPr>
        <w:t>Lippingwell</w:t>
      </w:r>
      <w:proofErr w:type="spellEnd"/>
      <w:r w:rsidRPr="00B17C11">
        <w:rPr>
          <w:rFonts w:ascii="Arial" w:hAnsi="Arial" w:cs="Arial"/>
          <w:sz w:val="24"/>
          <w:szCs w:val="24"/>
          <w:shd w:val="clear" w:color="auto" w:fill="FFFFFF"/>
        </w:rPr>
        <w:t>.</w:t>
      </w:r>
      <w:r w:rsidR="00642823" w:rsidRPr="00B17C11">
        <w:rPr>
          <w:rStyle w:val="FootnoteReference"/>
          <w:rFonts w:ascii="Arial" w:hAnsi="Arial" w:cs="Arial"/>
          <w:sz w:val="24"/>
          <w:szCs w:val="24"/>
          <w:shd w:val="clear" w:color="auto" w:fill="FFFFFF"/>
        </w:rPr>
        <w:footnoteReference w:id="136"/>
      </w:r>
      <w:r w:rsidRPr="00B17C11">
        <w:rPr>
          <w:rFonts w:ascii="Arial" w:hAnsi="Arial" w:cs="Arial"/>
          <w:sz w:val="24"/>
          <w:szCs w:val="24"/>
          <w:shd w:val="clear" w:color="auto" w:fill="FFFFFF"/>
        </w:rPr>
        <w:t xml:space="preserve"> Greenberg </w:t>
      </w:r>
      <w:r w:rsidR="005A7FCC" w:rsidRPr="00B17C11">
        <w:rPr>
          <w:rFonts w:ascii="Arial" w:hAnsi="Arial" w:cs="Arial"/>
          <w:sz w:val="24"/>
          <w:szCs w:val="24"/>
          <w:shd w:val="clear" w:color="auto" w:fill="FFFFFF"/>
        </w:rPr>
        <w:t xml:space="preserve">JA </w:t>
      </w:r>
      <w:r w:rsidRPr="00B17C11">
        <w:rPr>
          <w:rFonts w:ascii="Arial" w:hAnsi="Arial" w:cs="Arial"/>
          <w:sz w:val="24"/>
          <w:szCs w:val="24"/>
          <w:shd w:val="clear" w:color="auto" w:fill="FFFFFF"/>
        </w:rPr>
        <w:t xml:space="preserve">disagreed with the court in </w:t>
      </w:r>
      <w:proofErr w:type="spellStart"/>
      <w:r w:rsidRPr="00B17C11">
        <w:rPr>
          <w:rFonts w:ascii="Arial" w:hAnsi="Arial" w:cs="Arial"/>
          <w:i/>
          <w:sz w:val="24"/>
          <w:szCs w:val="24"/>
          <w:shd w:val="clear" w:color="auto" w:fill="FFFFFF"/>
        </w:rPr>
        <w:t>Termby</w:t>
      </w:r>
      <w:proofErr w:type="spellEnd"/>
      <w:r w:rsidRPr="00B17C11">
        <w:rPr>
          <w:rFonts w:ascii="Arial" w:hAnsi="Arial" w:cs="Arial"/>
          <w:sz w:val="24"/>
          <w:szCs w:val="24"/>
          <w:shd w:val="clear" w:color="auto" w:fill="FFFFFF"/>
        </w:rPr>
        <w:t xml:space="preserve">, thereby citing the judgment of Innes CJ in </w:t>
      </w:r>
      <w:r w:rsidRPr="00B17C11">
        <w:rPr>
          <w:rFonts w:ascii="Arial" w:hAnsi="Arial" w:cs="Arial"/>
          <w:i/>
          <w:sz w:val="24"/>
          <w:szCs w:val="24"/>
          <w:shd w:val="clear" w:color="auto" w:fill="FFFFFF"/>
        </w:rPr>
        <w:t>Nino Bonino v De Lange</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where he stated that ‘spoliation is any illicit deprivation of another of a right of possession… in regard to a legal right.’</w:t>
      </w:r>
      <w:r w:rsidRPr="00B17C11">
        <w:rPr>
          <w:rStyle w:val="FootnoteReference"/>
          <w:rFonts w:ascii="Arial" w:hAnsi="Arial" w:cs="Arial"/>
          <w:sz w:val="24"/>
          <w:szCs w:val="24"/>
          <w:shd w:val="clear" w:color="auto" w:fill="FFFFFF"/>
        </w:rPr>
        <w:footnoteReference w:id="137"/>
      </w:r>
      <w:r w:rsidRPr="00B17C11">
        <w:rPr>
          <w:rFonts w:ascii="Arial" w:hAnsi="Arial" w:cs="Arial"/>
          <w:sz w:val="24"/>
          <w:szCs w:val="24"/>
          <w:shd w:val="clear" w:color="auto" w:fill="FFFFFF"/>
        </w:rPr>
        <w:t xml:space="preserve"> According to Greenberg, the fact that Innes CJ explained the term ‘spoliation’ in a general sense, without any limitation or exception, meant that persons who hold possession need not exercise such possession exclusively for them to qualify for a </w:t>
      </w:r>
      <w:proofErr w:type="spellStart"/>
      <w:r w:rsidRPr="00B17C11">
        <w:rPr>
          <w:rFonts w:ascii="Arial" w:hAnsi="Arial" w:cs="Arial"/>
          <w:sz w:val="24"/>
          <w:szCs w:val="24"/>
          <w:shd w:val="clear" w:color="auto" w:fill="FFFFFF"/>
        </w:rPr>
        <w:t>spoliatory</w:t>
      </w:r>
      <w:proofErr w:type="spellEnd"/>
      <w:r w:rsidRPr="00B17C11">
        <w:rPr>
          <w:rFonts w:ascii="Arial" w:hAnsi="Arial" w:cs="Arial"/>
          <w:sz w:val="24"/>
          <w:szCs w:val="24"/>
          <w:shd w:val="clear" w:color="auto" w:fill="FFFFFF"/>
        </w:rPr>
        <w:t xml:space="preserve"> order.</w:t>
      </w:r>
      <w:r w:rsidRPr="00B17C11">
        <w:rPr>
          <w:rStyle w:val="FootnoteReference"/>
          <w:rFonts w:ascii="Arial" w:hAnsi="Arial" w:cs="Arial"/>
          <w:sz w:val="24"/>
          <w:szCs w:val="24"/>
          <w:shd w:val="clear" w:color="auto" w:fill="FFFFFF"/>
        </w:rPr>
        <w:footnoteReference w:id="138"/>
      </w:r>
      <w:r w:rsidRPr="00B17C11">
        <w:rPr>
          <w:rFonts w:ascii="Arial" w:hAnsi="Arial" w:cs="Arial"/>
          <w:sz w:val="24"/>
          <w:szCs w:val="24"/>
          <w:shd w:val="clear" w:color="auto" w:fill="FFFFFF"/>
        </w:rPr>
        <w:t xml:space="preserve"> Thus, a piece of land may constitute different rights vested in different persons, who a</w:t>
      </w:r>
      <w:r w:rsidR="0083100D" w:rsidRPr="00B17C11">
        <w:rPr>
          <w:rFonts w:ascii="Arial" w:hAnsi="Arial" w:cs="Arial"/>
          <w:sz w:val="24"/>
          <w:szCs w:val="24"/>
          <w:shd w:val="clear" w:color="auto" w:fill="FFFFFF"/>
        </w:rPr>
        <w:t>re all</w:t>
      </w:r>
      <w:r w:rsidRPr="00B17C11">
        <w:rPr>
          <w:rFonts w:ascii="Arial" w:hAnsi="Arial" w:cs="Arial"/>
          <w:sz w:val="24"/>
          <w:szCs w:val="24"/>
          <w:shd w:val="clear" w:color="auto" w:fill="FFFFFF"/>
        </w:rPr>
        <w:t xml:space="preserve"> entitled to the spoliation order. Accordingly, the court held that it was incorrect for the court of first instance to deny the appellant a spoliation order merely because he did not hold/exercise exclusive possession.</w:t>
      </w:r>
      <w:r w:rsidRPr="00B17C11">
        <w:rPr>
          <w:rStyle w:val="FootnoteReference"/>
          <w:rFonts w:ascii="Arial" w:hAnsi="Arial" w:cs="Arial"/>
          <w:sz w:val="24"/>
          <w:szCs w:val="24"/>
          <w:shd w:val="clear" w:color="auto" w:fill="FFFFFF"/>
        </w:rPr>
        <w:footnoteReference w:id="139"/>
      </w:r>
    </w:p>
    <w:p w14:paraId="246FFFC0" w14:textId="703A7A1C"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r w:rsidRPr="00B17C11">
        <w:rPr>
          <w:rFonts w:ascii="Arial" w:hAnsi="Arial" w:cs="Arial"/>
          <w:i/>
          <w:sz w:val="24"/>
          <w:szCs w:val="24"/>
          <w:shd w:val="clear" w:color="auto" w:fill="FFFFFF"/>
        </w:rPr>
        <w:t>Shapiro v South African Savings and Credit Bank</w:t>
      </w:r>
      <w:r w:rsidRPr="00B17C11">
        <w:rPr>
          <w:rFonts w:ascii="Arial" w:hAnsi="Arial" w:cs="Arial"/>
          <w:sz w:val="24"/>
          <w:szCs w:val="24"/>
          <w:shd w:val="clear" w:color="auto" w:fill="FFFFFF"/>
        </w:rPr>
        <w:t>, the applicant was a medical practitioner who had leased a suit</w:t>
      </w:r>
      <w:r w:rsidR="00DC6DCD" w:rsidRPr="00B17C11">
        <w:rPr>
          <w:rFonts w:ascii="Arial" w:hAnsi="Arial" w:cs="Arial"/>
          <w:sz w:val="24"/>
          <w:szCs w:val="24"/>
          <w:shd w:val="clear" w:color="auto" w:fill="FFFFFF"/>
        </w:rPr>
        <w:t>e</w:t>
      </w:r>
      <w:r w:rsidRPr="00B17C11">
        <w:rPr>
          <w:rFonts w:ascii="Arial" w:hAnsi="Arial" w:cs="Arial"/>
          <w:sz w:val="24"/>
          <w:szCs w:val="24"/>
          <w:shd w:val="clear" w:color="auto" w:fill="FFFFFF"/>
        </w:rPr>
        <w:t xml:space="preserve"> of consulting rooms for 15 years </w:t>
      </w:r>
      <w:r w:rsidR="00DC6DCD" w:rsidRPr="00B17C11">
        <w:rPr>
          <w:rFonts w:ascii="Arial" w:hAnsi="Arial" w:cs="Arial"/>
          <w:sz w:val="24"/>
          <w:szCs w:val="24"/>
          <w:shd w:val="clear" w:color="auto" w:fill="FFFFFF"/>
        </w:rPr>
        <w:t>from</w:t>
      </w:r>
      <w:r w:rsidRPr="00B17C11">
        <w:rPr>
          <w:rFonts w:ascii="Arial" w:hAnsi="Arial" w:cs="Arial"/>
          <w:sz w:val="24"/>
          <w:szCs w:val="24"/>
          <w:shd w:val="clear" w:color="auto" w:fill="FFFFFF"/>
        </w:rPr>
        <w:t xml:space="preserve"> the previous </w:t>
      </w:r>
      <w:r w:rsidRPr="00B17C11">
        <w:rPr>
          <w:rFonts w:ascii="Arial" w:hAnsi="Arial" w:cs="Arial"/>
          <w:sz w:val="24"/>
          <w:szCs w:val="24"/>
          <w:shd w:val="clear" w:color="auto" w:fill="FFFFFF"/>
        </w:rPr>
        <w:lastRenderedPageBreak/>
        <w:t>owner of the building. In terms of the lease agreement, the applicant was entitled to affix a nameplate at the entrance of the building per the specifications of the South African Medical Council. The respondents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as new owners of the building</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resorted to removing the applicant’s nameplate from the entrance of the building without his consent and against his will. They denied the existence of an agreement between the applicant and the previous owner of the building</w:t>
      </w:r>
      <w:r w:rsidR="0083100D" w:rsidRPr="00B17C11">
        <w:rPr>
          <w:rFonts w:ascii="Arial" w:hAnsi="Arial" w:cs="Arial"/>
          <w:sz w:val="24"/>
          <w:szCs w:val="24"/>
          <w:shd w:val="clear" w:color="auto" w:fill="FFFFFF"/>
        </w:rPr>
        <w:t>. They</w:t>
      </w:r>
      <w:r w:rsidRPr="00B17C11">
        <w:rPr>
          <w:rFonts w:ascii="Arial" w:hAnsi="Arial" w:cs="Arial"/>
          <w:sz w:val="24"/>
          <w:szCs w:val="24"/>
          <w:shd w:val="clear" w:color="auto" w:fill="FFFFFF"/>
        </w:rPr>
        <w:t xml:space="preserve"> alleged that the documents handed over to them by the previous owner suggested nothing about the applicant’s right to have his nameplate affixed at the entrance of the building.</w:t>
      </w:r>
      <w:r w:rsidRPr="00B17C11">
        <w:rPr>
          <w:rStyle w:val="FootnoteReference"/>
          <w:rFonts w:ascii="Arial" w:hAnsi="Arial" w:cs="Arial"/>
          <w:sz w:val="24"/>
          <w:szCs w:val="24"/>
          <w:shd w:val="clear" w:color="auto" w:fill="FFFFFF"/>
        </w:rPr>
        <w:footnoteReference w:id="140"/>
      </w:r>
    </w:p>
    <w:p w14:paraId="77B32A89" w14:textId="4A66AF37"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applicant maintained that he had a clear right to affix the nameplate in terms of the contract entered into with the original owner of the building and that the respondent acted wrongfully and unlawfully in removing the nameplate without his consent and against his will.</w:t>
      </w:r>
      <w:r w:rsidRPr="00B17C11">
        <w:rPr>
          <w:rStyle w:val="FootnoteReference"/>
          <w:rFonts w:ascii="Arial" w:hAnsi="Arial" w:cs="Arial"/>
          <w:sz w:val="24"/>
          <w:szCs w:val="24"/>
          <w:shd w:val="clear" w:color="auto" w:fill="FFFFFF"/>
        </w:rPr>
        <w:footnoteReference w:id="141"/>
      </w:r>
      <w:r w:rsidRPr="00B17C11">
        <w:rPr>
          <w:rFonts w:ascii="Arial" w:hAnsi="Arial" w:cs="Arial"/>
          <w:sz w:val="24"/>
          <w:szCs w:val="24"/>
          <w:shd w:val="clear" w:color="auto" w:fill="FFFFFF"/>
        </w:rPr>
        <w:t xml:space="preserve"> He sought a spoliation order to have the respondent return the </w:t>
      </w:r>
      <w:r w:rsidRPr="00B17C11">
        <w:rPr>
          <w:rFonts w:ascii="Arial" w:hAnsi="Arial" w:cs="Arial"/>
          <w:i/>
          <w:sz w:val="24"/>
          <w:szCs w:val="24"/>
          <w:shd w:val="clear" w:color="auto" w:fill="FFFFFF"/>
        </w:rPr>
        <w:t>status quo</w:t>
      </w:r>
      <w:r w:rsidRPr="00B17C11">
        <w:rPr>
          <w:rFonts w:ascii="Arial" w:hAnsi="Arial" w:cs="Arial"/>
          <w:sz w:val="24"/>
          <w:szCs w:val="24"/>
          <w:shd w:val="clear" w:color="auto" w:fill="FFFFFF"/>
        </w:rPr>
        <w:t xml:space="preserve"> by putting back the nameplate </w:t>
      </w:r>
      <w:r w:rsidR="005A7FCC" w:rsidRPr="00B17C11">
        <w:rPr>
          <w:rFonts w:ascii="Arial" w:hAnsi="Arial" w:cs="Arial"/>
          <w:sz w:val="24"/>
          <w:szCs w:val="24"/>
          <w:shd w:val="clear" w:color="auto" w:fill="FFFFFF"/>
        </w:rPr>
        <w:t>o</w:t>
      </w:r>
      <w:r w:rsidRPr="00B17C11">
        <w:rPr>
          <w:rFonts w:ascii="Arial" w:hAnsi="Arial" w:cs="Arial"/>
          <w:sz w:val="24"/>
          <w:szCs w:val="24"/>
          <w:shd w:val="clear" w:color="auto" w:fill="FFFFFF"/>
        </w:rPr>
        <w:t>n the portion of the building entrance where it was before its removal.</w:t>
      </w:r>
      <w:r w:rsidRPr="00B17C11">
        <w:rPr>
          <w:rStyle w:val="FootnoteReference"/>
          <w:rFonts w:ascii="Arial" w:hAnsi="Arial" w:cs="Arial"/>
          <w:sz w:val="24"/>
          <w:szCs w:val="24"/>
          <w:shd w:val="clear" w:color="auto" w:fill="FFFFFF"/>
        </w:rPr>
        <w:footnoteReference w:id="142"/>
      </w:r>
      <w:r w:rsidRPr="00B17C11">
        <w:rPr>
          <w:rFonts w:ascii="Arial" w:hAnsi="Arial" w:cs="Arial"/>
          <w:sz w:val="24"/>
          <w:szCs w:val="24"/>
          <w:shd w:val="clear" w:color="auto" w:fill="FFFFFF"/>
        </w:rPr>
        <w:t xml:space="preserve"> The court acknowledged that the applicant’s application embodied all the essentials of  spoliation, namely (</w:t>
      </w:r>
      <w:proofErr w:type="spellStart"/>
      <w:r w:rsidRPr="00B17C11">
        <w:rPr>
          <w:rFonts w:ascii="Arial" w:hAnsi="Arial" w:cs="Arial"/>
          <w:sz w:val="24"/>
          <w:szCs w:val="24"/>
          <w:shd w:val="clear" w:color="auto" w:fill="FFFFFF"/>
        </w:rPr>
        <w:t>i</w:t>
      </w:r>
      <w:proofErr w:type="spellEnd"/>
      <w:r w:rsidRPr="00B17C11">
        <w:rPr>
          <w:rFonts w:ascii="Arial" w:hAnsi="Arial" w:cs="Arial"/>
          <w:sz w:val="24"/>
          <w:szCs w:val="24"/>
          <w:shd w:val="clear" w:color="auto" w:fill="FFFFFF"/>
        </w:rPr>
        <w:t>) that the applicant had the nameplate affixed for at least 15 years and (ii) that it was removed wrongfully and unlawfully without his consent.</w:t>
      </w:r>
      <w:r w:rsidRPr="00B17C11">
        <w:rPr>
          <w:rStyle w:val="FootnoteReference"/>
          <w:rFonts w:ascii="Arial" w:hAnsi="Arial" w:cs="Arial"/>
          <w:sz w:val="24"/>
          <w:szCs w:val="24"/>
          <w:shd w:val="clear" w:color="auto" w:fill="FFFFFF"/>
        </w:rPr>
        <w:footnoteReference w:id="143"/>
      </w:r>
    </w:p>
    <w:p w14:paraId="2F73B60B" w14:textId="605CAEF0"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Because the applicant was given a right by the original owner to have a nameplate affixed on the entrance wall of the building as part of the condition for his tenancy, the court referred to </w:t>
      </w:r>
      <w:r w:rsidRPr="00B17C11">
        <w:rPr>
          <w:rFonts w:ascii="Arial" w:hAnsi="Arial" w:cs="Arial"/>
          <w:i/>
          <w:sz w:val="24"/>
          <w:szCs w:val="24"/>
          <w:shd w:val="clear" w:color="auto" w:fill="FFFFFF"/>
        </w:rPr>
        <w:t>Nienaber v Stucky</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where </w:t>
      </w:r>
      <w:r w:rsidR="0083100D" w:rsidRPr="00B17C11">
        <w:rPr>
          <w:rFonts w:ascii="Arial" w:hAnsi="Arial" w:cs="Arial"/>
          <w:sz w:val="24"/>
          <w:szCs w:val="24"/>
          <w:shd w:val="clear" w:color="auto" w:fill="FFFFFF"/>
        </w:rPr>
        <w:t>the court decided similar facts</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144"/>
      </w:r>
      <w:r w:rsidRPr="00B17C11">
        <w:rPr>
          <w:rFonts w:ascii="Arial" w:hAnsi="Arial" w:cs="Arial"/>
          <w:sz w:val="24"/>
          <w:szCs w:val="24"/>
          <w:shd w:val="clear" w:color="auto" w:fill="FFFFFF"/>
        </w:rPr>
        <w:t xml:space="preserve"> As already pointed out above, in </w:t>
      </w:r>
      <w:r w:rsidRPr="00B17C11">
        <w:rPr>
          <w:rFonts w:ascii="Arial" w:hAnsi="Arial" w:cs="Arial"/>
          <w:i/>
          <w:sz w:val="24"/>
          <w:szCs w:val="24"/>
          <w:shd w:val="clear" w:color="auto" w:fill="FFFFFF"/>
        </w:rPr>
        <w:t>Nienaber v Stucky</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the applicant had a right to plough and cultivate a portion of the farm, in which the respondent was also entitled to other rights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such as grazing cattle over the farm provided that there was no interference with the applicant’s right to cultivate the land. The court nonetheless granted the applicant a </w:t>
      </w:r>
      <w:proofErr w:type="spellStart"/>
      <w:r w:rsidRPr="00B17C11">
        <w:rPr>
          <w:rFonts w:ascii="Arial" w:hAnsi="Arial" w:cs="Arial"/>
          <w:sz w:val="24"/>
          <w:szCs w:val="24"/>
          <w:shd w:val="clear" w:color="auto" w:fill="FFFFFF"/>
        </w:rPr>
        <w:t>spoliatory</w:t>
      </w:r>
      <w:proofErr w:type="spellEnd"/>
      <w:r w:rsidRPr="00B17C11">
        <w:rPr>
          <w:rFonts w:ascii="Arial" w:hAnsi="Arial" w:cs="Arial"/>
          <w:sz w:val="24"/>
          <w:szCs w:val="24"/>
          <w:shd w:val="clear" w:color="auto" w:fill="FFFFFF"/>
        </w:rPr>
        <w:t xml:space="preserve"> order against the respondent for locking the gate</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thereby denying the applicant entrance to the farm. It is believed that in the present case, the applicant had a much stronger case in comparison to the applicant in </w:t>
      </w:r>
      <w:r w:rsidRPr="00B17C11">
        <w:rPr>
          <w:rFonts w:ascii="Arial" w:hAnsi="Arial" w:cs="Arial"/>
          <w:i/>
          <w:sz w:val="24"/>
          <w:szCs w:val="24"/>
          <w:shd w:val="clear" w:color="auto" w:fill="FFFFFF"/>
        </w:rPr>
        <w:t xml:space="preserve">Nienaber </w:t>
      </w:r>
      <w:r w:rsidRPr="00B17C11">
        <w:rPr>
          <w:rFonts w:ascii="Arial" w:hAnsi="Arial" w:cs="Arial"/>
          <w:sz w:val="24"/>
          <w:szCs w:val="24"/>
          <w:shd w:val="clear" w:color="auto" w:fill="FFFFFF"/>
        </w:rPr>
        <w:lastRenderedPageBreak/>
        <w:t xml:space="preserve">because here the applicant exercised exclusive control, which was not the case in </w:t>
      </w:r>
      <w:r w:rsidRPr="00B17C11">
        <w:rPr>
          <w:rFonts w:ascii="Arial" w:hAnsi="Arial" w:cs="Arial"/>
          <w:i/>
          <w:sz w:val="24"/>
          <w:szCs w:val="24"/>
          <w:shd w:val="clear" w:color="auto" w:fill="FFFFFF"/>
        </w:rPr>
        <w:t>Nienaber</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145"/>
      </w:r>
    </w:p>
    <w:p w14:paraId="051B899C" w14:textId="098EF095"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 addition, the spoliation remedy is also available where a person or persons in joint possession of a thing unlawfully assume exclusive control or exclude a co-possessor against his will. This means that a spoliation remedy can be granted against a partner in a partnership who took files, records, or assets held in joint possession. The same applies to spouses in relation to their matrimonial property.</w:t>
      </w:r>
      <w:r w:rsidRPr="00B17C11">
        <w:rPr>
          <w:rStyle w:val="FootnoteReference"/>
          <w:rFonts w:ascii="Arial" w:hAnsi="Arial" w:cs="Arial"/>
          <w:sz w:val="24"/>
          <w:szCs w:val="24"/>
          <w:shd w:val="clear" w:color="auto" w:fill="FFFFFF"/>
        </w:rPr>
        <w:footnoteReference w:id="146"/>
      </w:r>
      <w:r w:rsidRPr="00B17C11">
        <w:rPr>
          <w:rFonts w:ascii="Arial" w:hAnsi="Arial" w:cs="Arial"/>
          <w:sz w:val="24"/>
          <w:szCs w:val="24"/>
          <w:shd w:val="clear" w:color="auto" w:fill="FFFFFF"/>
        </w:rPr>
        <w:t xml:space="preserve"> For example, in </w:t>
      </w:r>
      <w:proofErr w:type="spellStart"/>
      <w:r w:rsidRPr="00B17C11">
        <w:rPr>
          <w:rFonts w:ascii="Arial" w:hAnsi="Arial" w:cs="Arial"/>
          <w:i/>
          <w:iCs/>
          <w:sz w:val="24"/>
          <w:szCs w:val="24"/>
          <w:shd w:val="clear" w:color="auto" w:fill="FFFFFF"/>
        </w:rPr>
        <w:t>Rosenbuch</w:t>
      </w:r>
      <w:proofErr w:type="spellEnd"/>
      <w:r w:rsidRPr="00B17C11">
        <w:rPr>
          <w:rFonts w:ascii="Arial" w:hAnsi="Arial" w:cs="Arial"/>
          <w:i/>
          <w:iCs/>
          <w:sz w:val="24"/>
          <w:szCs w:val="24"/>
          <w:shd w:val="clear" w:color="auto" w:fill="FFFFFF"/>
        </w:rPr>
        <w:t xml:space="preserve"> v </w:t>
      </w:r>
      <w:proofErr w:type="spellStart"/>
      <w:r w:rsidRPr="00B17C11">
        <w:rPr>
          <w:rFonts w:ascii="Arial" w:hAnsi="Arial" w:cs="Arial"/>
          <w:i/>
          <w:iCs/>
          <w:sz w:val="24"/>
          <w:szCs w:val="24"/>
          <w:shd w:val="clear" w:color="auto" w:fill="FFFFFF"/>
        </w:rPr>
        <w:t>Rosenbuch</w:t>
      </w:r>
      <w:proofErr w:type="spellEnd"/>
      <w:r w:rsidRPr="00B17C11">
        <w:rPr>
          <w:rFonts w:ascii="Arial" w:hAnsi="Arial" w:cs="Arial"/>
          <w:i/>
          <w:iCs/>
          <w:sz w:val="24"/>
          <w:szCs w:val="24"/>
          <w:shd w:val="clear" w:color="auto" w:fill="FFFFFF"/>
        </w:rPr>
        <w:t xml:space="preserve"> and Another</w:t>
      </w:r>
      <w:r w:rsidRPr="00B17C11">
        <w:rPr>
          <w:rFonts w:ascii="Arial" w:hAnsi="Arial" w:cs="Arial"/>
          <w:sz w:val="24"/>
          <w:szCs w:val="24"/>
          <w:shd w:val="clear" w:color="auto" w:fill="FFFFFF"/>
        </w:rPr>
        <w:t>, the parties were married out community of property. Following a matrimonial conflict, the wife left the matrimonial home with certain articles of the household. The husband claimed that he had exclusive control over articles removed by the wife.</w:t>
      </w:r>
      <w:r w:rsidRPr="00B17C11">
        <w:rPr>
          <w:rStyle w:val="FootnoteReference"/>
          <w:rFonts w:ascii="Arial" w:hAnsi="Arial" w:cs="Arial"/>
          <w:sz w:val="24"/>
          <w:szCs w:val="24"/>
          <w:shd w:val="clear" w:color="auto" w:fill="FFFFFF"/>
        </w:rPr>
        <w:footnoteReference w:id="147"/>
      </w:r>
      <w:r w:rsidRPr="00B17C11">
        <w:rPr>
          <w:rFonts w:ascii="Arial" w:hAnsi="Arial" w:cs="Arial"/>
          <w:sz w:val="24"/>
          <w:szCs w:val="24"/>
          <w:shd w:val="clear" w:color="auto" w:fill="FFFFFF"/>
        </w:rPr>
        <w:t xml:space="preserve"> Colman J found that each of the articles w</w:t>
      </w:r>
      <w:r w:rsidR="0083100D" w:rsidRPr="00B17C11">
        <w:rPr>
          <w:rFonts w:ascii="Arial" w:hAnsi="Arial" w:cs="Arial"/>
          <w:sz w:val="24"/>
          <w:szCs w:val="24"/>
          <w:shd w:val="clear" w:color="auto" w:fill="FFFFFF"/>
        </w:rPr>
        <w:t>as</w:t>
      </w:r>
      <w:r w:rsidRPr="00B17C11">
        <w:rPr>
          <w:rFonts w:ascii="Arial" w:hAnsi="Arial" w:cs="Arial"/>
          <w:sz w:val="24"/>
          <w:szCs w:val="24"/>
          <w:shd w:val="clear" w:color="auto" w:fill="FFFFFF"/>
        </w:rPr>
        <w:t xml:space="preserve"> jointly possessed by </w:t>
      </w:r>
      <w:r w:rsidR="001232AD" w:rsidRPr="00B17C11">
        <w:rPr>
          <w:rFonts w:ascii="Arial" w:hAnsi="Arial" w:cs="Arial"/>
          <w:sz w:val="24"/>
          <w:szCs w:val="24"/>
          <w:shd w:val="clear" w:color="auto" w:fill="FFFFFF"/>
        </w:rPr>
        <w:t xml:space="preserve">the </w:t>
      </w:r>
      <w:r w:rsidRPr="00B17C11">
        <w:rPr>
          <w:rFonts w:ascii="Arial" w:hAnsi="Arial" w:cs="Arial"/>
          <w:sz w:val="24"/>
          <w:szCs w:val="24"/>
          <w:shd w:val="clear" w:color="auto" w:fill="FFFFFF"/>
        </w:rPr>
        <w:t>spouses up to the time the</w:t>
      </w:r>
      <w:r w:rsidR="0083100D" w:rsidRPr="00B17C11">
        <w:rPr>
          <w:rFonts w:ascii="Arial" w:hAnsi="Arial" w:cs="Arial"/>
          <w:sz w:val="24"/>
          <w:szCs w:val="24"/>
          <w:shd w:val="clear" w:color="auto" w:fill="FFFFFF"/>
        </w:rPr>
        <w:t xml:space="preserve"> wife removed them</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148"/>
      </w:r>
      <w:r w:rsidRPr="00B17C11">
        <w:rPr>
          <w:rFonts w:ascii="Arial" w:hAnsi="Arial" w:cs="Arial"/>
          <w:sz w:val="24"/>
          <w:szCs w:val="24"/>
          <w:shd w:val="clear" w:color="auto" w:fill="FFFFFF"/>
        </w:rPr>
        <w:t xml:space="preserve"> He concluded that a joint possessor who has been deprived of his share of possession is entitled to a spoliation remedy.</w:t>
      </w:r>
      <w:r w:rsidRPr="00B17C11">
        <w:rPr>
          <w:rStyle w:val="FootnoteReference"/>
          <w:rFonts w:ascii="Arial" w:hAnsi="Arial" w:cs="Arial"/>
          <w:sz w:val="24"/>
          <w:szCs w:val="24"/>
          <w:shd w:val="clear" w:color="auto" w:fill="FFFFFF"/>
        </w:rPr>
        <w:footnoteReference w:id="149"/>
      </w:r>
      <w:r w:rsidRPr="00B17C11">
        <w:rPr>
          <w:rFonts w:ascii="Arial" w:hAnsi="Arial" w:cs="Arial"/>
          <w:sz w:val="24"/>
          <w:szCs w:val="24"/>
          <w:shd w:val="clear" w:color="auto" w:fill="FFFFFF"/>
        </w:rPr>
        <w:t xml:space="preserve"> The wife was accordingly found guilty of having committed an act of spoliation.</w:t>
      </w:r>
      <w:r w:rsidRPr="00B17C11">
        <w:rPr>
          <w:rStyle w:val="FootnoteReference"/>
          <w:rFonts w:ascii="Arial" w:hAnsi="Arial" w:cs="Arial"/>
          <w:sz w:val="24"/>
          <w:szCs w:val="24"/>
          <w:shd w:val="clear" w:color="auto" w:fill="FFFFFF"/>
        </w:rPr>
        <w:footnoteReference w:id="150"/>
      </w:r>
    </w:p>
    <w:p w14:paraId="0C7ACF56" w14:textId="512784CD"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spoliation remedy is limited only to the dispossession of property</w:t>
      </w:r>
      <w:r w:rsidR="0083100D" w:rsidRPr="00B17C11">
        <w:rPr>
          <w:rFonts w:ascii="Arial" w:hAnsi="Arial" w:cs="Arial"/>
          <w:sz w:val="24"/>
          <w:szCs w:val="24"/>
          <w:shd w:val="clear" w:color="auto" w:fill="FFFFFF"/>
        </w:rPr>
        <w:t>. I</w:t>
      </w:r>
      <w:r w:rsidRPr="00B17C11">
        <w:rPr>
          <w:rFonts w:ascii="Arial" w:hAnsi="Arial" w:cs="Arial"/>
          <w:sz w:val="24"/>
          <w:szCs w:val="24"/>
          <w:shd w:val="clear" w:color="auto" w:fill="FFFFFF"/>
        </w:rPr>
        <w:t>t cannot be used in relation to human beings.</w:t>
      </w:r>
      <w:r w:rsidRPr="00B17C11">
        <w:rPr>
          <w:rStyle w:val="FootnoteReference"/>
          <w:rFonts w:ascii="Arial" w:hAnsi="Arial" w:cs="Arial"/>
          <w:sz w:val="24"/>
          <w:szCs w:val="24"/>
          <w:shd w:val="clear" w:color="auto" w:fill="FFFFFF"/>
        </w:rPr>
        <w:footnoteReference w:id="151"/>
      </w:r>
      <w:r w:rsidRPr="00B17C11">
        <w:rPr>
          <w:rFonts w:ascii="Arial" w:hAnsi="Arial" w:cs="Arial"/>
          <w:sz w:val="24"/>
          <w:szCs w:val="24"/>
          <w:shd w:val="clear" w:color="auto" w:fill="FFFFFF"/>
        </w:rPr>
        <w:t xml:space="preserve"> This position was confirmed in </w:t>
      </w:r>
      <w:r w:rsidRPr="00B17C11">
        <w:rPr>
          <w:rFonts w:ascii="Arial" w:hAnsi="Arial" w:cs="Arial"/>
          <w:i/>
          <w:sz w:val="24"/>
          <w:szCs w:val="24"/>
          <w:shd w:val="clear" w:color="auto" w:fill="FFFFFF"/>
        </w:rPr>
        <w:t>Mopeli v Botha</w:t>
      </w:r>
      <w:r w:rsidR="0083100D"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where it was held that taking a child away from a person who is entitled to the child’s custody does not fall within the ambit of the spoliation remedy.</w:t>
      </w:r>
      <w:r w:rsidRPr="00B17C11">
        <w:rPr>
          <w:rStyle w:val="FootnoteReference"/>
          <w:rFonts w:ascii="Arial" w:hAnsi="Arial" w:cs="Arial"/>
          <w:sz w:val="24"/>
          <w:szCs w:val="24"/>
          <w:shd w:val="clear" w:color="auto" w:fill="FFFFFF"/>
        </w:rPr>
        <w:footnoteReference w:id="152"/>
      </w:r>
    </w:p>
    <w:p w14:paraId="37B3C083" w14:textId="77777777" w:rsidR="00635917" w:rsidRPr="00B17C11" w:rsidRDefault="00635917" w:rsidP="004E3EF9">
      <w:pPr>
        <w:spacing w:line="360" w:lineRule="auto"/>
        <w:jc w:val="both"/>
        <w:rPr>
          <w:rFonts w:ascii="Arial" w:hAnsi="Arial" w:cs="Arial"/>
          <w:sz w:val="24"/>
          <w:szCs w:val="24"/>
          <w:shd w:val="clear" w:color="auto" w:fill="FFFFFF"/>
        </w:rPr>
      </w:pPr>
    </w:p>
    <w:p w14:paraId="5E70C96B" w14:textId="5EB024D9" w:rsidR="004E3EF9" w:rsidRPr="00B17C11" w:rsidRDefault="004E3EF9" w:rsidP="00635917">
      <w:pPr>
        <w:pStyle w:val="Heading2"/>
        <w:rPr>
          <w:shd w:val="clear" w:color="auto" w:fill="FFFFFF"/>
        </w:rPr>
      </w:pPr>
      <w:bookmarkStart w:id="16" w:name="_Toc181339543"/>
      <w:r w:rsidRPr="00B17C11">
        <w:rPr>
          <w:shd w:val="clear" w:color="auto" w:fill="FFFFFF"/>
        </w:rPr>
        <w:t>2.</w:t>
      </w:r>
      <w:r w:rsidR="005A3078" w:rsidRPr="00B17C11">
        <w:rPr>
          <w:shd w:val="clear" w:color="auto" w:fill="FFFFFF"/>
        </w:rPr>
        <w:t>5</w:t>
      </w:r>
      <w:r w:rsidR="00635917" w:rsidRPr="00B17C11">
        <w:rPr>
          <w:shd w:val="clear" w:color="auto" w:fill="FFFFFF"/>
        </w:rPr>
        <w:tab/>
      </w:r>
      <w:r w:rsidRPr="00B17C11">
        <w:rPr>
          <w:shd w:val="clear" w:color="auto" w:fill="FFFFFF"/>
        </w:rPr>
        <w:t>The purpose of the Spoliation remedy</w:t>
      </w:r>
      <w:bookmarkEnd w:id="16"/>
    </w:p>
    <w:p w14:paraId="27EBEA09" w14:textId="3DE052E2"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inception of the spoliation remedy is found in the early medieval Canon Law.</w:t>
      </w:r>
      <w:r w:rsidRPr="00B17C11">
        <w:rPr>
          <w:rStyle w:val="FootnoteReference"/>
          <w:rFonts w:ascii="Arial" w:hAnsi="Arial" w:cs="Arial"/>
          <w:sz w:val="24"/>
          <w:szCs w:val="24"/>
          <w:shd w:val="clear" w:color="auto" w:fill="FFFFFF"/>
        </w:rPr>
        <w:footnoteReference w:id="153"/>
      </w:r>
      <w:r w:rsidRPr="00B17C11">
        <w:rPr>
          <w:rFonts w:ascii="Arial" w:hAnsi="Arial" w:cs="Arial"/>
          <w:sz w:val="24"/>
          <w:szCs w:val="24"/>
          <w:shd w:val="clear" w:color="auto" w:fill="FFFFFF"/>
        </w:rPr>
        <w:t xml:space="preserve"> During this time, the spoliation remedy was applied solely to discourage people from taking the law into their own hands so that they could resort to </w:t>
      </w:r>
      <w:r w:rsidR="001232AD" w:rsidRPr="00B17C11">
        <w:rPr>
          <w:rFonts w:ascii="Arial" w:hAnsi="Arial" w:cs="Arial"/>
          <w:sz w:val="24"/>
          <w:szCs w:val="24"/>
          <w:shd w:val="clear" w:color="auto" w:fill="FFFFFF"/>
        </w:rPr>
        <w:t>a</w:t>
      </w:r>
      <w:r w:rsidRPr="00B17C11">
        <w:rPr>
          <w:rFonts w:ascii="Arial" w:hAnsi="Arial" w:cs="Arial"/>
          <w:sz w:val="24"/>
          <w:szCs w:val="24"/>
          <w:shd w:val="clear" w:color="auto" w:fill="FFFFFF"/>
        </w:rPr>
        <w:t xml:space="preserve"> court of law for judicial determination.</w:t>
      </w:r>
      <w:r w:rsidRPr="00B17C11">
        <w:rPr>
          <w:rStyle w:val="FootnoteReference"/>
          <w:rFonts w:ascii="Arial" w:hAnsi="Arial" w:cs="Arial"/>
          <w:sz w:val="24"/>
          <w:szCs w:val="24"/>
          <w:shd w:val="clear" w:color="auto" w:fill="FFFFFF"/>
        </w:rPr>
        <w:footnoteReference w:id="154"/>
      </w:r>
      <w:r w:rsidRPr="00B17C11">
        <w:rPr>
          <w:rFonts w:ascii="Arial" w:hAnsi="Arial" w:cs="Arial"/>
          <w:sz w:val="24"/>
          <w:szCs w:val="24"/>
          <w:shd w:val="clear" w:color="auto" w:fill="FFFFFF"/>
        </w:rPr>
        <w:t xml:space="preserve"> The spoliator was required to restore possession together with </w:t>
      </w:r>
      <w:r w:rsidRPr="00B17C11">
        <w:rPr>
          <w:rFonts w:ascii="Arial" w:hAnsi="Arial" w:cs="Arial"/>
          <w:sz w:val="24"/>
          <w:szCs w:val="24"/>
          <w:shd w:val="clear" w:color="auto" w:fill="FFFFFF"/>
        </w:rPr>
        <w:lastRenderedPageBreak/>
        <w:t>damages, interests, and costs.</w:t>
      </w:r>
      <w:r w:rsidRPr="00B17C11">
        <w:rPr>
          <w:rStyle w:val="FootnoteReference"/>
          <w:rFonts w:ascii="Arial" w:hAnsi="Arial" w:cs="Arial"/>
          <w:sz w:val="24"/>
          <w:szCs w:val="24"/>
          <w:shd w:val="clear" w:color="auto" w:fill="FFFFFF"/>
        </w:rPr>
        <w:footnoteReference w:id="155"/>
      </w:r>
      <w:r w:rsidRPr="00B17C11">
        <w:rPr>
          <w:rFonts w:ascii="Arial" w:hAnsi="Arial" w:cs="Arial"/>
          <w:sz w:val="24"/>
          <w:szCs w:val="24"/>
          <w:shd w:val="clear" w:color="auto" w:fill="FFFFFF"/>
        </w:rPr>
        <w:t xml:space="preserve"> In modern South African law, the majority view is that the purpose of the spoliation remedy is to restore possession that was unlawfully deprived.</w:t>
      </w:r>
      <w:r w:rsidRPr="00B17C11">
        <w:rPr>
          <w:rStyle w:val="FootnoteReference"/>
          <w:rFonts w:ascii="Arial" w:hAnsi="Arial" w:cs="Arial"/>
          <w:sz w:val="24"/>
          <w:szCs w:val="24"/>
          <w:shd w:val="clear" w:color="auto" w:fill="FFFFFF"/>
        </w:rPr>
        <w:footnoteReference w:id="156"/>
      </w:r>
      <w:r w:rsidRPr="00B17C11">
        <w:rPr>
          <w:rFonts w:ascii="Arial" w:hAnsi="Arial" w:cs="Arial"/>
          <w:sz w:val="24"/>
          <w:szCs w:val="24"/>
          <w:shd w:val="clear" w:color="auto" w:fill="FFFFFF"/>
        </w:rPr>
        <w:t xml:space="preserve"> This view was formulated by Gardiner JP in </w:t>
      </w:r>
      <w:r w:rsidRPr="00B17C11">
        <w:rPr>
          <w:rFonts w:ascii="Arial" w:hAnsi="Arial" w:cs="Arial"/>
          <w:i/>
          <w:sz w:val="24"/>
          <w:szCs w:val="24"/>
          <w:shd w:val="clear" w:color="auto" w:fill="FFFFFF"/>
        </w:rPr>
        <w:t>Mans v Marias</w:t>
      </w:r>
      <w:r w:rsidRPr="00B17C11">
        <w:rPr>
          <w:rFonts w:ascii="Arial" w:hAnsi="Arial" w:cs="Arial"/>
          <w:sz w:val="24"/>
          <w:szCs w:val="24"/>
          <w:shd w:val="clear" w:color="auto" w:fill="FFFFFF"/>
        </w:rPr>
        <w:t xml:space="preserve"> when he described the spoliation remedy as a speedy and robust remedy designed to deter persons from taking the law into their own hands and to restore the </w:t>
      </w:r>
      <w:r w:rsidRPr="00B17C11">
        <w:rPr>
          <w:rFonts w:ascii="Arial" w:hAnsi="Arial" w:cs="Arial"/>
          <w:i/>
          <w:sz w:val="24"/>
          <w:szCs w:val="24"/>
          <w:shd w:val="clear" w:color="auto" w:fill="FFFFFF"/>
        </w:rPr>
        <w:t>status quo ante</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157"/>
      </w:r>
    </w:p>
    <w:p w14:paraId="207E1EC8" w14:textId="61D8822A"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Van der Merwe, </w:t>
      </w:r>
      <w:r w:rsidR="00AF11D3" w:rsidRPr="00B17C11">
        <w:rPr>
          <w:rFonts w:ascii="Arial" w:hAnsi="Arial" w:cs="Arial"/>
          <w:sz w:val="24"/>
          <w:szCs w:val="24"/>
          <w:shd w:val="clear" w:color="auto" w:fill="FFFFFF"/>
        </w:rPr>
        <w:t>D</w:t>
      </w:r>
      <w:r w:rsidRPr="00B17C11">
        <w:rPr>
          <w:rFonts w:ascii="Arial" w:hAnsi="Arial" w:cs="Arial"/>
          <w:sz w:val="24"/>
          <w:szCs w:val="24"/>
          <w:shd w:val="clear" w:color="auto" w:fill="FFFFFF"/>
        </w:rPr>
        <w:t xml:space="preserve">e Waal, </w:t>
      </w:r>
      <w:proofErr w:type="spellStart"/>
      <w:r w:rsidRPr="00B17C11">
        <w:rPr>
          <w:rFonts w:ascii="Arial" w:hAnsi="Arial" w:cs="Arial"/>
          <w:sz w:val="24"/>
          <w:szCs w:val="24"/>
          <w:shd w:val="clear" w:color="auto" w:fill="FFFFFF"/>
        </w:rPr>
        <w:t>Sonnekus</w:t>
      </w:r>
      <w:proofErr w:type="spellEnd"/>
      <w:r w:rsidRPr="00B17C11">
        <w:rPr>
          <w:rFonts w:ascii="Arial" w:hAnsi="Arial" w:cs="Arial"/>
          <w:sz w:val="24"/>
          <w:szCs w:val="24"/>
          <w:shd w:val="clear" w:color="auto" w:fill="FFFFFF"/>
        </w:rPr>
        <w:t>, Harker, and Kleyn</w:t>
      </w:r>
      <w:r w:rsidR="00993BA2" w:rsidRPr="00B17C11">
        <w:rPr>
          <w:rFonts w:ascii="Arial" w:hAnsi="Arial" w:cs="Arial"/>
          <w:sz w:val="24"/>
          <w:szCs w:val="24"/>
          <w:shd w:val="clear" w:color="auto" w:fill="FFFFFF"/>
        </w:rPr>
        <w:t xml:space="preserve"> all</w:t>
      </w:r>
      <w:r w:rsidRPr="00B17C11">
        <w:rPr>
          <w:rFonts w:ascii="Arial" w:hAnsi="Arial" w:cs="Arial"/>
          <w:sz w:val="24"/>
          <w:szCs w:val="24"/>
          <w:shd w:val="clear" w:color="auto" w:fill="FFFFFF"/>
        </w:rPr>
        <w:t xml:space="preserve"> argue that the historical origin and development of the spoliation remedy was to recover the loss of possession of property that was unlawfully dispossessed.</w:t>
      </w:r>
      <w:r w:rsidRPr="00B17C11">
        <w:rPr>
          <w:rStyle w:val="FootnoteReference"/>
          <w:rFonts w:ascii="Arial" w:hAnsi="Arial" w:cs="Arial"/>
          <w:sz w:val="24"/>
          <w:szCs w:val="24"/>
          <w:shd w:val="clear" w:color="auto" w:fill="FFFFFF"/>
        </w:rPr>
        <w:footnoteReference w:id="158"/>
      </w:r>
      <w:r w:rsidRPr="00B17C11">
        <w:rPr>
          <w:rFonts w:ascii="Arial" w:hAnsi="Arial" w:cs="Arial"/>
          <w:sz w:val="24"/>
          <w:szCs w:val="24"/>
          <w:shd w:val="clear" w:color="auto" w:fill="FFFFFF"/>
        </w:rPr>
        <w:t xml:space="preserve"> In particular, Van der Merwe and </w:t>
      </w:r>
      <w:r w:rsidR="00993BA2" w:rsidRPr="00B17C11">
        <w:rPr>
          <w:rFonts w:ascii="Arial" w:hAnsi="Arial" w:cs="Arial"/>
          <w:sz w:val="24"/>
          <w:szCs w:val="24"/>
          <w:shd w:val="clear" w:color="auto" w:fill="FFFFFF"/>
        </w:rPr>
        <w:t>D</w:t>
      </w:r>
      <w:r w:rsidRPr="00B17C11">
        <w:rPr>
          <w:rFonts w:ascii="Arial" w:hAnsi="Arial" w:cs="Arial"/>
          <w:sz w:val="24"/>
          <w:szCs w:val="24"/>
          <w:shd w:val="clear" w:color="auto" w:fill="FFFFFF"/>
        </w:rPr>
        <w:t>e Waal propound that the essence of the spoliation remedy is found in the maxim ‘</w:t>
      </w:r>
      <w:proofErr w:type="spellStart"/>
      <w:r w:rsidRPr="00B17C11">
        <w:rPr>
          <w:rFonts w:ascii="Arial" w:hAnsi="Arial" w:cs="Arial"/>
          <w:i/>
          <w:sz w:val="24"/>
          <w:szCs w:val="24"/>
          <w:shd w:val="clear" w:color="auto" w:fill="FFFFFF"/>
        </w:rPr>
        <w:t>spoli</w:t>
      </w:r>
      <w:r w:rsidR="001232AD" w:rsidRPr="00B17C11">
        <w:rPr>
          <w:rFonts w:ascii="Arial" w:hAnsi="Arial" w:cs="Arial"/>
          <w:i/>
          <w:sz w:val="24"/>
          <w:szCs w:val="24"/>
          <w:shd w:val="clear" w:color="auto" w:fill="FFFFFF"/>
        </w:rPr>
        <w:t>a</w:t>
      </w:r>
      <w:r w:rsidRPr="00B17C11">
        <w:rPr>
          <w:rFonts w:ascii="Arial" w:hAnsi="Arial" w:cs="Arial"/>
          <w:i/>
          <w:sz w:val="24"/>
          <w:szCs w:val="24"/>
          <w:shd w:val="clear" w:color="auto" w:fill="FFFFFF"/>
        </w:rPr>
        <w:t>tus</w:t>
      </w:r>
      <w:proofErr w:type="spellEnd"/>
      <w:r w:rsidRPr="00B17C11">
        <w:rPr>
          <w:rFonts w:ascii="Arial" w:hAnsi="Arial" w:cs="Arial"/>
          <w:i/>
          <w:sz w:val="24"/>
          <w:szCs w:val="24"/>
          <w:shd w:val="clear" w:color="auto" w:fill="FFFFFF"/>
        </w:rPr>
        <w:t xml:space="preserve"> ante </w:t>
      </w:r>
      <w:r w:rsidR="001232AD" w:rsidRPr="00B17C11">
        <w:rPr>
          <w:rFonts w:ascii="Arial" w:hAnsi="Arial" w:cs="Arial"/>
          <w:i/>
          <w:sz w:val="24"/>
          <w:szCs w:val="24"/>
          <w:shd w:val="clear" w:color="auto" w:fill="FFFFFF"/>
        </w:rPr>
        <w:t>o</w:t>
      </w:r>
      <w:r w:rsidRPr="00B17C11">
        <w:rPr>
          <w:rFonts w:ascii="Arial" w:hAnsi="Arial" w:cs="Arial"/>
          <w:i/>
          <w:sz w:val="24"/>
          <w:szCs w:val="24"/>
          <w:shd w:val="clear" w:color="auto" w:fill="FFFFFF"/>
        </w:rPr>
        <w:t xml:space="preserve">mnia </w:t>
      </w:r>
      <w:proofErr w:type="spellStart"/>
      <w:r w:rsidRPr="00B17C11">
        <w:rPr>
          <w:rFonts w:ascii="Arial" w:hAnsi="Arial" w:cs="Arial"/>
          <w:i/>
          <w:sz w:val="24"/>
          <w:szCs w:val="24"/>
          <w:shd w:val="clear" w:color="auto" w:fill="FFFFFF"/>
        </w:rPr>
        <w:t>restituendus</w:t>
      </w:r>
      <w:proofErr w:type="spellEnd"/>
      <w:r w:rsidRPr="00B17C11">
        <w:rPr>
          <w:rFonts w:ascii="Arial" w:hAnsi="Arial" w:cs="Arial"/>
          <w:i/>
          <w:sz w:val="24"/>
          <w:szCs w:val="24"/>
          <w:shd w:val="clear" w:color="auto" w:fill="FFFFFF"/>
        </w:rPr>
        <w:t xml:space="preserve"> </w:t>
      </w:r>
      <w:proofErr w:type="spellStart"/>
      <w:r w:rsidRPr="00B17C11">
        <w:rPr>
          <w:rFonts w:ascii="Arial" w:hAnsi="Arial" w:cs="Arial"/>
          <w:i/>
          <w:sz w:val="24"/>
          <w:szCs w:val="24"/>
          <w:shd w:val="clear" w:color="auto" w:fill="FFFFFF"/>
        </w:rPr>
        <w:t>est</w:t>
      </w:r>
      <w:proofErr w:type="spellEnd"/>
      <w:r w:rsidRPr="00B17C11">
        <w:rPr>
          <w:rFonts w:ascii="Arial" w:hAnsi="Arial" w:cs="Arial"/>
          <w:sz w:val="24"/>
          <w:szCs w:val="24"/>
          <w:shd w:val="clear" w:color="auto" w:fill="FFFFFF"/>
        </w:rPr>
        <w:t>’ – which means that a person must first be restored to his former possession before the merits of the case can be considered.</w:t>
      </w:r>
      <w:r w:rsidRPr="00B17C11">
        <w:rPr>
          <w:rStyle w:val="FootnoteReference"/>
          <w:rFonts w:ascii="Arial" w:hAnsi="Arial" w:cs="Arial"/>
          <w:sz w:val="24"/>
          <w:szCs w:val="24"/>
          <w:shd w:val="clear" w:color="auto" w:fill="FFFFFF"/>
        </w:rPr>
        <w:footnoteReference w:id="159"/>
      </w:r>
      <w:r w:rsidRPr="00B17C11">
        <w:rPr>
          <w:rFonts w:ascii="Arial" w:hAnsi="Arial" w:cs="Arial"/>
          <w:sz w:val="24"/>
          <w:szCs w:val="24"/>
          <w:shd w:val="clear" w:color="auto" w:fill="FFFFFF"/>
        </w:rPr>
        <w:t xml:space="preserve"> </w:t>
      </w:r>
    </w:p>
    <w:p w14:paraId="216FAB63" w14:textId="4A066BD6"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On the contrary, </w:t>
      </w:r>
      <w:proofErr w:type="spellStart"/>
      <w:r w:rsidRPr="00B17C11">
        <w:rPr>
          <w:rFonts w:ascii="Arial" w:hAnsi="Arial" w:cs="Arial"/>
          <w:sz w:val="24"/>
          <w:szCs w:val="24"/>
          <w:shd w:val="clear" w:color="auto" w:fill="FFFFFF"/>
        </w:rPr>
        <w:t>Hahlo</w:t>
      </w:r>
      <w:proofErr w:type="spellEnd"/>
      <w:r w:rsidRPr="00B17C11">
        <w:rPr>
          <w:rFonts w:ascii="Arial" w:hAnsi="Arial" w:cs="Arial"/>
          <w:sz w:val="24"/>
          <w:szCs w:val="24"/>
          <w:shd w:val="clear" w:color="auto" w:fill="FFFFFF"/>
        </w:rPr>
        <w:t xml:space="preserve"> argues that the primary purpose for the spoliation remedy is the maintenance of peace and order in terms of which the law prohibits  people from taking matters into their own hands.</w:t>
      </w:r>
      <w:r w:rsidRPr="00B17C11">
        <w:rPr>
          <w:rStyle w:val="FootnoteReference"/>
          <w:rFonts w:ascii="Arial" w:hAnsi="Arial" w:cs="Arial"/>
          <w:sz w:val="24"/>
          <w:szCs w:val="24"/>
          <w:shd w:val="clear" w:color="auto" w:fill="FFFFFF"/>
        </w:rPr>
        <w:footnoteReference w:id="160"/>
      </w:r>
      <w:r w:rsidRPr="00B17C11">
        <w:rPr>
          <w:rFonts w:ascii="Arial" w:hAnsi="Arial" w:cs="Arial"/>
          <w:sz w:val="24"/>
          <w:szCs w:val="24"/>
          <w:shd w:val="clear" w:color="auto" w:fill="FFFFFF"/>
        </w:rPr>
        <w:t xml:space="preserve"> It is a </w:t>
      </w:r>
      <w:proofErr w:type="spellStart"/>
      <w:r w:rsidRPr="00B17C11">
        <w:rPr>
          <w:rFonts w:ascii="Arial" w:hAnsi="Arial" w:cs="Arial"/>
          <w:sz w:val="24"/>
          <w:szCs w:val="24"/>
          <w:shd w:val="clear" w:color="auto" w:fill="FFFFFF"/>
        </w:rPr>
        <w:t>recuperatory</w:t>
      </w:r>
      <w:proofErr w:type="spellEnd"/>
      <w:r w:rsidRPr="00B17C11">
        <w:rPr>
          <w:rFonts w:ascii="Arial" w:hAnsi="Arial" w:cs="Arial"/>
          <w:sz w:val="24"/>
          <w:szCs w:val="24"/>
          <w:shd w:val="clear" w:color="auto" w:fill="FFFFFF"/>
        </w:rPr>
        <w:t xml:space="preserve"> action in so far as it enables persons who were unlawfully deprived of possession to recover it.</w:t>
      </w:r>
      <w:r w:rsidRPr="00B17C11">
        <w:rPr>
          <w:rStyle w:val="FootnoteReference"/>
          <w:rFonts w:ascii="Arial" w:hAnsi="Arial" w:cs="Arial"/>
          <w:sz w:val="24"/>
          <w:szCs w:val="24"/>
          <w:shd w:val="clear" w:color="auto" w:fill="FFFFFF"/>
        </w:rPr>
        <w:footnoteReference w:id="161"/>
      </w:r>
      <w:r w:rsidRPr="00B17C11">
        <w:rPr>
          <w:rFonts w:ascii="Arial" w:hAnsi="Arial" w:cs="Arial"/>
          <w:sz w:val="24"/>
          <w:szCs w:val="24"/>
          <w:shd w:val="clear" w:color="auto" w:fill="FFFFFF"/>
        </w:rPr>
        <w:t xml:space="preserve"> Blecher and Van der Walt concur with </w:t>
      </w:r>
      <w:proofErr w:type="spellStart"/>
      <w:r w:rsidRPr="00B17C11">
        <w:rPr>
          <w:rFonts w:ascii="Arial" w:hAnsi="Arial" w:cs="Arial"/>
          <w:sz w:val="24"/>
          <w:szCs w:val="24"/>
          <w:shd w:val="clear" w:color="auto" w:fill="FFFFFF"/>
        </w:rPr>
        <w:t>Hahlo</w:t>
      </w:r>
      <w:proofErr w:type="spellEnd"/>
      <w:r w:rsidRPr="00B17C11">
        <w:rPr>
          <w:rFonts w:ascii="Arial" w:hAnsi="Arial" w:cs="Arial"/>
          <w:sz w:val="24"/>
          <w:szCs w:val="24"/>
          <w:shd w:val="clear" w:color="auto" w:fill="FFFFFF"/>
        </w:rPr>
        <w:t xml:space="preserve"> in that the spoliation remedy is primarily concerned with upholding legal order and preventing persons from taking the law into their own hands.</w:t>
      </w:r>
      <w:r w:rsidRPr="00B17C11">
        <w:rPr>
          <w:rStyle w:val="FootnoteReference"/>
          <w:rFonts w:ascii="Arial" w:hAnsi="Arial" w:cs="Arial"/>
          <w:sz w:val="24"/>
          <w:szCs w:val="24"/>
          <w:shd w:val="clear" w:color="auto" w:fill="FFFFFF"/>
        </w:rPr>
        <w:footnoteReference w:id="162"/>
      </w:r>
      <w:r w:rsidRPr="00B17C11">
        <w:rPr>
          <w:rFonts w:ascii="Arial" w:hAnsi="Arial" w:cs="Arial"/>
          <w:sz w:val="24"/>
          <w:szCs w:val="24"/>
          <w:shd w:val="clear" w:color="auto" w:fill="FFFFFF"/>
        </w:rPr>
        <w:t xml:space="preserve"> They furthermore believe that where restoration of the </w:t>
      </w:r>
      <w:r w:rsidRPr="00B17C11">
        <w:rPr>
          <w:rFonts w:ascii="Arial" w:hAnsi="Arial" w:cs="Arial"/>
          <w:i/>
          <w:sz w:val="24"/>
          <w:szCs w:val="24"/>
          <w:shd w:val="clear" w:color="auto" w:fill="FFFFFF"/>
        </w:rPr>
        <w:t>status quo ante</w:t>
      </w:r>
      <w:r w:rsidRPr="00B17C11">
        <w:rPr>
          <w:rFonts w:ascii="Arial" w:hAnsi="Arial" w:cs="Arial"/>
          <w:sz w:val="24"/>
          <w:szCs w:val="24"/>
          <w:shd w:val="clear" w:color="auto" w:fill="FFFFFF"/>
        </w:rPr>
        <w:t xml:space="preserve"> is impossible, the court must make an alternative order.</w:t>
      </w:r>
      <w:r w:rsidRPr="00B17C11">
        <w:rPr>
          <w:rStyle w:val="FootnoteReference"/>
          <w:rFonts w:ascii="Arial" w:hAnsi="Arial" w:cs="Arial"/>
          <w:sz w:val="24"/>
          <w:szCs w:val="24"/>
          <w:shd w:val="clear" w:color="auto" w:fill="FFFFFF"/>
        </w:rPr>
        <w:footnoteReference w:id="163"/>
      </w:r>
    </w:p>
    <w:p w14:paraId="540EA871" w14:textId="741E90B9"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 xml:space="preserve">Interestingly, both views find support in case law. On the one hand, in </w:t>
      </w:r>
      <w:r w:rsidRPr="00B17C11">
        <w:rPr>
          <w:rFonts w:ascii="Arial" w:hAnsi="Arial" w:cs="Arial"/>
          <w:i/>
          <w:sz w:val="24"/>
          <w:szCs w:val="24"/>
          <w:shd w:val="clear" w:color="auto" w:fill="FFFFFF"/>
        </w:rPr>
        <w:t>Stocks Housing v Department of Education and Culture Services and Others</w:t>
      </w:r>
      <w:r w:rsidRPr="00B17C11">
        <w:rPr>
          <w:rFonts w:ascii="Arial" w:hAnsi="Arial" w:cs="Arial"/>
          <w:sz w:val="24"/>
          <w:szCs w:val="24"/>
          <w:shd w:val="clear" w:color="auto" w:fill="FFFFFF"/>
        </w:rPr>
        <w:t>, Innes J confirmed the view that the spoliation remedy is a historically established possessory remedy.</w:t>
      </w:r>
      <w:r w:rsidRPr="00B17C11">
        <w:rPr>
          <w:rStyle w:val="FootnoteReference"/>
          <w:rFonts w:ascii="Arial" w:hAnsi="Arial" w:cs="Arial"/>
          <w:sz w:val="24"/>
          <w:szCs w:val="24"/>
          <w:shd w:val="clear" w:color="auto" w:fill="FFFFFF"/>
        </w:rPr>
        <w:footnoteReference w:id="164"/>
      </w:r>
      <w:r w:rsidRPr="00B17C11">
        <w:rPr>
          <w:rFonts w:ascii="Arial" w:hAnsi="Arial" w:cs="Arial"/>
          <w:sz w:val="24"/>
          <w:szCs w:val="24"/>
          <w:shd w:val="clear" w:color="auto" w:fill="FFFFFF"/>
        </w:rPr>
        <w:t xml:space="preserve"> On the other hand, the court in </w:t>
      </w:r>
      <w:proofErr w:type="spellStart"/>
      <w:r w:rsidRPr="00B17C11">
        <w:rPr>
          <w:rFonts w:ascii="Arial" w:hAnsi="Arial" w:cs="Arial"/>
          <w:i/>
          <w:sz w:val="24"/>
          <w:szCs w:val="24"/>
          <w:shd w:val="clear" w:color="auto" w:fill="FFFFFF"/>
        </w:rPr>
        <w:t>Mbangi</w:t>
      </w:r>
      <w:proofErr w:type="spellEnd"/>
      <w:r w:rsidRPr="00B17C11">
        <w:rPr>
          <w:rFonts w:ascii="Arial" w:hAnsi="Arial" w:cs="Arial"/>
          <w:i/>
          <w:sz w:val="24"/>
          <w:szCs w:val="24"/>
          <w:shd w:val="clear" w:color="auto" w:fill="FFFFFF"/>
        </w:rPr>
        <w:t xml:space="preserve"> v </w:t>
      </w:r>
      <w:proofErr w:type="spellStart"/>
      <w:r w:rsidRPr="00B17C11">
        <w:rPr>
          <w:rFonts w:ascii="Arial" w:hAnsi="Arial" w:cs="Arial"/>
          <w:i/>
          <w:sz w:val="24"/>
          <w:szCs w:val="24"/>
          <w:shd w:val="clear" w:color="auto" w:fill="FFFFFF"/>
        </w:rPr>
        <w:t>Dobsonville</w:t>
      </w:r>
      <w:proofErr w:type="spellEnd"/>
      <w:r w:rsidRPr="00B17C11">
        <w:rPr>
          <w:rFonts w:ascii="Arial" w:hAnsi="Arial" w:cs="Arial"/>
          <w:i/>
          <w:sz w:val="24"/>
          <w:szCs w:val="24"/>
          <w:shd w:val="clear" w:color="auto" w:fill="FFFFFF"/>
        </w:rPr>
        <w:t xml:space="preserve"> City Council</w:t>
      </w:r>
      <w:r w:rsidRPr="00B17C11">
        <w:rPr>
          <w:rFonts w:ascii="Arial" w:hAnsi="Arial" w:cs="Arial"/>
          <w:sz w:val="24"/>
          <w:szCs w:val="24"/>
          <w:shd w:val="clear" w:color="auto" w:fill="FFFFFF"/>
        </w:rPr>
        <w:t xml:space="preserve"> observed that in spoliation proceedings</w:t>
      </w:r>
      <w:r w:rsidR="0083100D"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‘the court is not </w:t>
      </w:r>
      <w:r w:rsidRPr="00B17C11">
        <w:rPr>
          <w:rFonts w:ascii="Arial" w:hAnsi="Arial" w:cs="Arial"/>
          <w:i/>
          <w:sz w:val="24"/>
          <w:szCs w:val="24"/>
          <w:shd w:val="clear" w:color="auto" w:fill="FFFFFF"/>
        </w:rPr>
        <w:t>per se</w:t>
      </w:r>
      <w:r w:rsidRPr="00B17C11">
        <w:rPr>
          <w:rFonts w:ascii="Arial" w:hAnsi="Arial" w:cs="Arial"/>
          <w:sz w:val="24"/>
          <w:szCs w:val="24"/>
          <w:shd w:val="clear" w:color="auto" w:fill="FFFFFF"/>
        </w:rPr>
        <w:t xml:space="preserve"> protecting possession, but that in the interest of protecting the society against self-help, the law regards an act of spoliation or the taking of matters into one’s own hands as being a justiciable wrong.</w:t>
      </w:r>
      <w:r w:rsidRPr="00B17C11">
        <w:rPr>
          <w:rStyle w:val="FootnoteReference"/>
          <w:rFonts w:ascii="Arial" w:hAnsi="Arial" w:cs="Arial"/>
          <w:sz w:val="24"/>
          <w:szCs w:val="24"/>
          <w:shd w:val="clear" w:color="auto" w:fill="FFFFFF"/>
        </w:rPr>
        <w:footnoteReference w:id="165"/>
      </w:r>
    </w:p>
    <w:p w14:paraId="5160C8B9" w14:textId="7363BDC4"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proofErr w:type="spellStart"/>
      <w:r w:rsidRPr="00B17C11">
        <w:rPr>
          <w:rFonts w:ascii="Arial" w:hAnsi="Arial" w:cs="Arial"/>
          <w:i/>
          <w:sz w:val="24"/>
          <w:szCs w:val="24"/>
          <w:shd w:val="clear" w:color="auto" w:fill="FFFFFF"/>
        </w:rPr>
        <w:t>Ngqukumba</w:t>
      </w:r>
      <w:proofErr w:type="spellEnd"/>
      <w:r w:rsidRPr="00B17C11">
        <w:rPr>
          <w:rFonts w:ascii="Arial" w:hAnsi="Arial" w:cs="Arial"/>
          <w:i/>
          <w:sz w:val="24"/>
          <w:szCs w:val="24"/>
          <w:shd w:val="clear" w:color="auto" w:fill="FFFFFF"/>
        </w:rPr>
        <w:t xml:space="preserve"> v Minister of Safety and Security and Others</w:t>
      </w:r>
      <w:r w:rsidRPr="00B17C11">
        <w:rPr>
          <w:rFonts w:ascii="Arial" w:hAnsi="Arial" w:cs="Arial"/>
          <w:sz w:val="24"/>
          <w:szCs w:val="24"/>
          <w:shd w:val="clear" w:color="auto" w:fill="FFFFFF"/>
        </w:rPr>
        <w:t xml:space="preserve">, the </w:t>
      </w:r>
      <w:r w:rsidR="00E7114F" w:rsidRPr="00B17C11">
        <w:rPr>
          <w:rFonts w:ascii="Arial" w:hAnsi="Arial" w:cs="Arial"/>
          <w:sz w:val="24"/>
          <w:szCs w:val="24"/>
          <w:shd w:val="clear" w:color="auto" w:fill="FFFFFF"/>
        </w:rPr>
        <w:t xml:space="preserve">Constitutional Court </w:t>
      </w:r>
      <w:r w:rsidRPr="00B17C11">
        <w:rPr>
          <w:rFonts w:ascii="Arial" w:hAnsi="Arial" w:cs="Arial"/>
          <w:sz w:val="24"/>
          <w:szCs w:val="24"/>
          <w:shd w:val="clear" w:color="auto" w:fill="FFFFFF"/>
        </w:rPr>
        <w:t xml:space="preserve">appears to have engaged and perhaps impliedly settled the question of whether the spoliation remedy functions to protect possession or to combat breaches of </w:t>
      </w:r>
      <w:r w:rsidR="0083100D" w:rsidRPr="00B17C11">
        <w:rPr>
          <w:rFonts w:ascii="Arial" w:hAnsi="Arial" w:cs="Arial"/>
          <w:sz w:val="24"/>
          <w:szCs w:val="24"/>
          <w:shd w:val="clear" w:color="auto" w:fill="FFFFFF"/>
        </w:rPr>
        <w:t xml:space="preserve">the </w:t>
      </w:r>
      <w:r w:rsidRPr="00B17C11">
        <w:rPr>
          <w:rFonts w:ascii="Arial" w:hAnsi="Arial" w:cs="Arial"/>
          <w:sz w:val="24"/>
          <w:szCs w:val="24"/>
          <w:shd w:val="clear" w:color="auto" w:fill="FFFFFF"/>
        </w:rPr>
        <w:t>peace.</w:t>
      </w:r>
      <w:r w:rsidRPr="00B17C11">
        <w:rPr>
          <w:rStyle w:val="FootnoteReference"/>
          <w:rFonts w:ascii="Arial" w:hAnsi="Arial" w:cs="Arial"/>
          <w:sz w:val="24"/>
          <w:szCs w:val="24"/>
          <w:shd w:val="clear" w:color="auto" w:fill="FFFFFF"/>
        </w:rPr>
        <w:footnoteReference w:id="166"/>
      </w:r>
      <w:r w:rsidRPr="00B17C11">
        <w:rPr>
          <w:rFonts w:ascii="Arial" w:hAnsi="Arial" w:cs="Arial"/>
          <w:sz w:val="24"/>
          <w:szCs w:val="24"/>
          <w:shd w:val="clear" w:color="auto" w:fill="FFFFFF"/>
        </w:rPr>
        <w:t xml:space="preserve"> In </w:t>
      </w:r>
      <w:proofErr w:type="spellStart"/>
      <w:r w:rsidRPr="00B17C11">
        <w:rPr>
          <w:rFonts w:ascii="Arial" w:hAnsi="Arial" w:cs="Arial"/>
          <w:i/>
          <w:sz w:val="24"/>
          <w:szCs w:val="24"/>
          <w:shd w:val="clear" w:color="auto" w:fill="FFFFFF"/>
        </w:rPr>
        <w:t>casu</w:t>
      </w:r>
      <w:proofErr w:type="spellEnd"/>
      <w:r w:rsidRPr="00B17C11">
        <w:rPr>
          <w:rFonts w:ascii="Arial" w:hAnsi="Arial" w:cs="Arial"/>
          <w:sz w:val="24"/>
          <w:szCs w:val="24"/>
          <w:shd w:val="clear" w:color="auto" w:fill="FFFFFF"/>
        </w:rPr>
        <w:t xml:space="preserve">, </w:t>
      </w:r>
      <w:proofErr w:type="spellStart"/>
      <w:r w:rsidRPr="00B17C11">
        <w:rPr>
          <w:rFonts w:ascii="Arial" w:hAnsi="Arial" w:cs="Arial"/>
          <w:sz w:val="24"/>
          <w:szCs w:val="24"/>
          <w:shd w:val="clear" w:color="auto" w:fill="FFFFFF"/>
        </w:rPr>
        <w:t>Madlanga</w:t>
      </w:r>
      <w:proofErr w:type="spellEnd"/>
      <w:r w:rsidRPr="00B17C11">
        <w:rPr>
          <w:rFonts w:ascii="Arial" w:hAnsi="Arial" w:cs="Arial"/>
          <w:sz w:val="24"/>
          <w:szCs w:val="24"/>
          <w:shd w:val="clear" w:color="auto" w:fill="FFFFFF"/>
        </w:rPr>
        <w:t xml:space="preserve"> J held that the underlying and most fundamental principle in spoliation proceedings is the philosophy that no person should resort to self-help to obtain or regain possession.</w:t>
      </w:r>
      <w:r w:rsidRPr="00B17C11">
        <w:rPr>
          <w:rStyle w:val="FootnoteReference"/>
          <w:rFonts w:ascii="Arial" w:hAnsi="Arial" w:cs="Arial"/>
          <w:sz w:val="24"/>
          <w:szCs w:val="24"/>
          <w:shd w:val="clear" w:color="auto" w:fill="FFFFFF"/>
        </w:rPr>
        <w:footnoteReference w:id="167"/>
      </w:r>
      <w:r w:rsidRPr="00B17C11">
        <w:rPr>
          <w:rFonts w:ascii="Arial" w:hAnsi="Arial" w:cs="Arial"/>
          <w:sz w:val="24"/>
          <w:szCs w:val="24"/>
          <w:shd w:val="clear" w:color="auto" w:fill="FFFFFF"/>
        </w:rPr>
        <w:t xml:space="preserve"> For him, the main purpose of the spoliation remedy is the preservation of law and order in terms of which persons are encouraged to approach </w:t>
      </w:r>
      <w:r w:rsidR="001232AD" w:rsidRPr="00B17C11">
        <w:rPr>
          <w:rFonts w:ascii="Arial" w:hAnsi="Arial" w:cs="Arial"/>
          <w:sz w:val="24"/>
          <w:szCs w:val="24"/>
          <w:shd w:val="clear" w:color="auto" w:fill="FFFFFF"/>
        </w:rPr>
        <w:t>a</w:t>
      </w:r>
      <w:r w:rsidRPr="00B17C11">
        <w:rPr>
          <w:rFonts w:ascii="Arial" w:hAnsi="Arial" w:cs="Arial"/>
          <w:sz w:val="24"/>
          <w:szCs w:val="24"/>
          <w:shd w:val="clear" w:color="auto" w:fill="FFFFFF"/>
        </w:rPr>
        <w:t xml:space="preserve"> court of law for a due legal process, and restrained from taking matters into their own hands.</w:t>
      </w:r>
      <w:r w:rsidRPr="00B17C11">
        <w:rPr>
          <w:rStyle w:val="FootnoteReference"/>
          <w:rFonts w:ascii="Arial" w:hAnsi="Arial" w:cs="Arial"/>
          <w:sz w:val="24"/>
          <w:szCs w:val="24"/>
          <w:shd w:val="clear" w:color="auto" w:fill="FFFFFF"/>
        </w:rPr>
        <w:footnoteReference w:id="168"/>
      </w:r>
      <w:r w:rsidRPr="00B17C11">
        <w:rPr>
          <w:rFonts w:ascii="Arial" w:hAnsi="Arial" w:cs="Arial"/>
          <w:sz w:val="24"/>
          <w:szCs w:val="24"/>
          <w:shd w:val="clear" w:color="auto" w:fill="FFFFFF"/>
        </w:rPr>
        <w:t xml:space="preserve"> This is the true nature of the spoliation remedy</w:t>
      </w:r>
      <w:r w:rsidR="008552F1" w:rsidRPr="00B17C11">
        <w:rPr>
          <w:rFonts w:ascii="Arial" w:hAnsi="Arial" w:cs="Arial"/>
          <w:sz w:val="24"/>
          <w:szCs w:val="24"/>
          <w:shd w:val="clear" w:color="auto" w:fill="FFFFFF"/>
        </w:rPr>
        <w:t>, and its proper application is influenced by it</w:t>
      </w:r>
      <w:r w:rsidRPr="00B17C11">
        <w:rPr>
          <w:rFonts w:ascii="Arial" w:hAnsi="Arial" w:cs="Arial"/>
          <w:sz w:val="24"/>
          <w:szCs w:val="24"/>
          <w:shd w:val="clear" w:color="auto" w:fill="FFFFFF"/>
        </w:rPr>
        <w:t>.</w:t>
      </w:r>
    </w:p>
    <w:p w14:paraId="09013A9A" w14:textId="200EF9A6"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In addition, asserting that the spoliation remedy is solely for the protection of possession conflicts with the idea of having to return possession to an unlawful despoiled possessor or a possessor whose possession is prohibited by statute.</w:t>
      </w:r>
      <w:r w:rsidRPr="00B17C11">
        <w:rPr>
          <w:rStyle w:val="FootnoteReference"/>
          <w:rFonts w:ascii="Arial" w:hAnsi="Arial" w:cs="Arial"/>
          <w:sz w:val="24"/>
          <w:szCs w:val="24"/>
          <w:shd w:val="clear" w:color="auto" w:fill="FFFFFF"/>
        </w:rPr>
        <w:footnoteReference w:id="169"/>
      </w:r>
      <w:r w:rsidRPr="00B17C11">
        <w:rPr>
          <w:rFonts w:ascii="Arial" w:hAnsi="Arial" w:cs="Arial"/>
          <w:sz w:val="24"/>
          <w:szCs w:val="24"/>
          <w:shd w:val="clear" w:color="auto" w:fill="FFFFFF"/>
        </w:rPr>
        <w:t xml:space="preserve"> For example, in </w:t>
      </w:r>
      <w:r w:rsidRPr="00B17C11">
        <w:rPr>
          <w:rFonts w:ascii="Arial" w:hAnsi="Arial" w:cs="Arial"/>
          <w:i/>
          <w:sz w:val="24"/>
          <w:szCs w:val="24"/>
          <w:shd w:val="clear" w:color="auto" w:fill="FFFFFF"/>
        </w:rPr>
        <w:t>Parker v Mobil Oil of Southern Africa (Pty) Ltd</w:t>
      </w:r>
      <w:r w:rsidR="0083100D" w:rsidRPr="00B17C11">
        <w:rPr>
          <w:rFonts w:ascii="Arial" w:hAnsi="Arial" w:cs="Arial"/>
          <w:i/>
          <w:sz w:val="24"/>
          <w:szCs w:val="24"/>
          <w:shd w:val="clear" w:color="auto" w:fill="FFFFFF"/>
        </w:rPr>
        <w:t>,</w:t>
      </w:r>
      <w:r w:rsidRPr="00B17C11">
        <w:rPr>
          <w:rFonts w:ascii="Arial" w:hAnsi="Arial" w:cs="Arial"/>
          <w:i/>
          <w:sz w:val="24"/>
          <w:szCs w:val="24"/>
          <w:shd w:val="clear" w:color="auto" w:fill="FFFFFF"/>
        </w:rPr>
        <w:t xml:space="preserve"> </w:t>
      </w:r>
      <w:r w:rsidRPr="00B17C11">
        <w:rPr>
          <w:rFonts w:ascii="Arial" w:hAnsi="Arial" w:cs="Arial"/>
          <w:sz w:val="24"/>
          <w:szCs w:val="24"/>
          <w:shd w:val="clear" w:color="auto" w:fill="FFFFFF"/>
        </w:rPr>
        <w:t>Van der Heever J observed that while a thief or a robber is entitled to be restored possession, there are no written records of the court assisting an applicant who outright admits that he has no right to the possession that he seeks to be restored to him.</w:t>
      </w:r>
      <w:r w:rsidRPr="00B17C11">
        <w:rPr>
          <w:rStyle w:val="FootnoteReference"/>
          <w:rFonts w:ascii="Arial" w:hAnsi="Arial" w:cs="Arial"/>
          <w:sz w:val="24"/>
          <w:szCs w:val="24"/>
          <w:shd w:val="clear" w:color="auto" w:fill="FFFFFF"/>
        </w:rPr>
        <w:footnoteReference w:id="170"/>
      </w:r>
      <w:r w:rsidRPr="00B17C11">
        <w:rPr>
          <w:rFonts w:ascii="Arial" w:hAnsi="Arial" w:cs="Arial"/>
          <w:sz w:val="24"/>
          <w:szCs w:val="24"/>
          <w:shd w:val="clear" w:color="auto" w:fill="FFFFFF"/>
        </w:rPr>
        <w:t xml:space="preserve"> In </w:t>
      </w:r>
      <w:r w:rsidRPr="00B17C11">
        <w:rPr>
          <w:rFonts w:ascii="Arial" w:hAnsi="Arial" w:cs="Arial"/>
          <w:i/>
          <w:sz w:val="24"/>
          <w:szCs w:val="24"/>
          <w:shd w:val="clear" w:color="auto" w:fill="FFFFFF"/>
        </w:rPr>
        <w:t>Coetzee v Coetzee</w:t>
      </w:r>
      <w:r w:rsidR="00301FB2" w:rsidRPr="00B17C11">
        <w:rPr>
          <w:rFonts w:ascii="Arial" w:hAnsi="Arial" w:cs="Arial"/>
          <w:i/>
          <w:sz w:val="24"/>
          <w:szCs w:val="24"/>
          <w:shd w:val="clear" w:color="auto" w:fill="FFFFFF"/>
        </w:rPr>
        <w:t>,</w:t>
      </w:r>
      <w:r w:rsidRPr="00B17C11">
        <w:rPr>
          <w:rFonts w:ascii="Arial" w:hAnsi="Arial" w:cs="Arial"/>
          <w:sz w:val="24"/>
          <w:szCs w:val="24"/>
          <w:shd w:val="clear" w:color="auto" w:fill="FFFFFF"/>
        </w:rPr>
        <w:t xml:space="preserve"> Van der </w:t>
      </w:r>
      <w:r w:rsidRPr="00B17C11">
        <w:rPr>
          <w:rFonts w:ascii="Arial" w:hAnsi="Arial" w:cs="Arial"/>
          <w:sz w:val="24"/>
          <w:szCs w:val="24"/>
          <w:shd w:val="clear" w:color="auto" w:fill="FFFFFF"/>
        </w:rPr>
        <w:lastRenderedPageBreak/>
        <w:t>Heever again demonstrated some kind of uneasiness and distrust regarding the restoration of possession to an unlawful despoiled possessor.</w:t>
      </w:r>
      <w:r w:rsidRPr="00B17C11">
        <w:rPr>
          <w:rStyle w:val="FootnoteReference"/>
          <w:rFonts w:ascii="Arial" w:hAnsi="Arial" w:cs="Arial"/>
          <w:sz w:val="24"/>
          <w:szCs w:val="24"/>
          <w:shd w:val="clear" w:color="auto" w:fill="FFFFFF"/>
        </w:rPr>
        <w:footnoteReference w:id="171"/>
      </w:r>
      <w:r w:rsidRPr="00B17C11">
        <w:rPr>
          <w:rFonts w:ascii="Arial" w:hAnsi="Arial" w:cs="Arial"/>
          <w:sz w:val="24"/>
          <w:szCs w:val="24"/>
          <w:shd w:val="clear" w:color="auto" w:fill="FFFFFF"/>
        </w:rPr>
        <w:t xml:space="preserve"> He stated that possession should not be restored if the applicant has no vestige of a reasonable or plausible claim.</w:t>
      </w:r>
      <w:r w:rsidRPr="00B17C11">
        <w:rPr>
          <w:rStyle w:val="FootnoteReference"/>
          <w:rFonts w:ascii="Arial" w:hAnsi="Arial" w:cs="Arial"/>
          <w:sz w:val="24"/>
          <w:szCs w:val="24"/>
          <w:shd w:val="clear" w:color="auto" w:fill="FFFFFF"/>
        </w:rPr>
        <w:footnoteReference w:id="172"/>
      </w:r>
    </w:p>
    <w:p w14:paraId="0679D1D6" w14:textId="578A4D90" w:rsidR="002028FD"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Furthermore, the idea that the spoliation remedy is strictly </w:t>
      </w:r>
      <w:r w:rsidR="00301FB2" w:rsidRPr="00B17C11">
        <w:rPr>
          <w:rFonts w:ascii="Arial" w:hAnsi="Arial" w:cs="Arial"/>
          <w:sz w:val="24"/>
          <w:szCs w:val="24"/>
          <w:shd w:val="clear" w:color="auto" w:fill="FFFFFF"/>
        </w:rPr>
        <w:t>possessor</w:t>
      </w:r>
      <w:r w:rsidRPr="00B17C11">
        <w:rPr>
          <w:rFonts w:ascii="Arial" w:hAnsi="Arial" w:cs="Arial"/>
          <w:sz w:val="24"/>
          <w:szCs w:val="24"/>
          <w:shd w:val="clear" w:color="auto" w:fill="FFFFFF"/>
        </w:rPr>
        <w:t>y has made it easy for courts to deny the restoration of possession where the despoiled thing is destroyed.</w:t>
      </w:r>
      <w:r w:rsidRPr="00B17C11">
        <w:rPr>
          <w:rStyle w:val="FootnoteReference"/>
          <w:rFonts w:ascii="Arial" w:hAnsi="Arial" w:cs="Arial"/>
          <w:sz w:val="24"/>
          <w:szCs w:val="24"/>
          <w:shd w:val="clear" w:color="auto" w:fill="FFFFFF"/>
        </w:rPr>
        <w:footnoteReference w:id="173"/>
      </w:r>
      <w:r w:rsidRPr="00B17C11">
        <w:rPr>
          <w:rFonts w:ascii="Arial" w:hAnsi="Arial" w:cs="Arial"/>
          <w:sz w:val="24"/>
          <w:szCs w:val="24"/>
          <w:shd w:val="clear" w:color="auto" w:fill="FFFFFF"/>
        </w:rPr>
        <w:t xml:space="preserve"> </w:t>
      </w:r>
      <w:r w:rsidR="00D97248" w:rsidRPr="00B17C11">
        <w:rPr>
          <w:rFonts w:ascii="Arial" w:hAnsi="Arial" w:cs="Arial"/>
          <w:sz w:val="24"/>
          <w:szCs w:val="24"/>
          <w:shd w:val="clear" w:color="auto" w:fill="FFFFFF"/>
        </w:rPr>
        <w:t>Ordinarily, a distinction would be drawn between damaged things and things that have been destroyed.</w:t>
      </w:r>
      <w:r w:rsidR="00D97248" w:rsidRPr="00B17C11">
        <w:rPr>
          <w:rStyle w:val="FootnoteReference"/>
          <w:rFonts w:ascii="Arial" w:hAnsi="Arial" w:cs="Arial"/>
          <w:sz w:val="24"/>
          <w:szCs w:val="24"/>
          <w:shd w:val="clear" w:color="auto" w:fill="FFFFFF"/>
        </w:rPr>
        <w:footnoteReference w:id="174"/>
      </w:r>
      <w:r w:rsidR="00D97248" w:rsidRPr="00B17C11">
        <w:rPr>
          <w:rFonts w:ascii="Arial" w:hAnsi="Arial" w:cs="Arial"/>
          <w:sz w:val="24"/>
          <w:szCs w:val="24"/>
          <w:shd w:val="clear" w:color="auto" w:fill="FFFFFF"/>
        </w:rPr>
        <w:t xml:space="preserve"> In respect of damaged things, an unlawful dispossessor can be directed to repair or reassemble the damaged thing to its former state</w:t>
      </w:r>
      <w:r w:rsidR="00242739" w:rsidRPr="00B17C11">
        <w:rPr>
          <w:rFonts w:ascii="Arial" w:hAnsi="Arial" w:cs="Arial"/>
          <w:sz w:val="24"/>
          <w:szCs w:val="24"/>
          <w:shd w:val="clear" w:color="auto" w:fill="FFFFFF"/>
        </w:rPr>
        <w:t>,</w:t>
      </w:r>
      <w:r w:rsidR="00D97248" w:rsidRPr="00B17C11">
        <w:rPr>
          <w:rFonts w:ascii="Arial" w:hAnsi="Arial" w:cs="Arial"/>
          <w:sz w:val="24"/>
          <w:szCs w:val="24"/>
          <w:shd w:val="clear" w:color="auto" w:fill="FFFFFF"/>
        </w:rPr>
        <w:t xml:space="preserve"> given that repairs and reparations are reasonable, such as the re-erection of a fence or the reconnection of electric panels.</w:t>
      </w:r>
      <w:r w:rsidR="00D97248" w:rsidRPr="00B17C11">
        <w:rPr>
          <w:rStyle w:val="FootnoteReference"/>
          <w:rFonts w:ascii="Arial" w:hAnsi="Arial" w:cs="Arial"/>
          <w:sz w:val="24"/>
          <w:szCs w:val="24"/>
          <w:shd w:val="clear" w:color="auto" w:fill="FFFFFF"/>
        </w:rPr>
        <w:footnoteReference w:id="175"/>
      </w:r>
      <w:r w:rsidR="00D97248" w:rsidRPr="00B17C11">
        <w:rPr>
          <w:rFonts w:ascii="Arial" w:hAnsi="Arial" w:cs="Arial"/>
          <w:sz w:val="24"/>
          <w:szCs w:val="24"/>
          <w:shd w:val="clear" w:color="auto" w:fill="FFFFFF"/>
        </w:rPr>
        <w:t xml:space="preserve"> With regards to the destruction of a thing, the court in </w:t>
      </w:r>
      <w:r w:rsidR="00D97248" w:rsidRPr="00B17C11">
        <w:rPr>
          <w:rFonts w:ascii="Arial" w:hAnsi="Arial" w:cs="Arial"/>
          <w:i/>
          <w:iCs/>
          <w:sz w:val="24"/>
          <w:szCs w:val="24"/>
          <w:shd w:val="clear" w:color="auto" w:fill="FFFFFF"/>
        </w:rPr>
        <w:t>Fredericks and Another v Stellenbosch Divisional Council</w:t>
      </w:r>
      <w:r w:rsidR="00D97248" w:rsidRPr="00B17C11">
        <w:rPr>
          <w:rFonts w:ascii="Arial" w:hAnsi="Arial" w:cs="Arial"/>
          <w:sz w:val="24"/>
          <w:szCs w:val="24"/>
          <w:shd w:val="clear" w:color="auto" w:fill="FFFFFF"/>
        </w:rPr>
        <w:t xml:space="preserve"> held that where the original thing is destroyed or could not be found, it must be replaced with one similar in size and quality.</w:t>
      </w:r>
      <w:r w:rsidR="00D97248" w:rsidRPr="00B17C11">
        <w:rPr>
          <w:rStyle w:val="FootnoteReference"/>
          <w:rFonts w:ascii="Arial" w:hAnsi="Arial" w:cs="Arial"/>
          <w:sz w:val="24"/>
          <w:szCs w:val="24"/>
          <w:shd w:val="clear" w:color="auto" w:fill="FFFFFF"/>
        </w:rPr>
        <w:footnoteReference w:id="176"/>
      </w:r>
      <w:r w:rsidR="00D97248" w:rsidRPr="00B17C11">
        <w:rPr>
          <w:rFonts w:ascii="Arial" w:hAnsi="Arial" w:cs="Arial"/>
          <w:sz w:val="24"/>
          <w:szCs w:val="24"/>
          <w:shd w:val="clear" w:color="auto" w:fill="FFFFFF"/>
        </w:rPr>
        <w:t xml:space="preserve"> This ruling suggested that the spoliation remedy can be applicable in a case where restoration required a substantial replacement of property.</w:t>
      </w:r>
      <w:r w:rsidR="00D97248" w:rsidRPr="00B17C11">
        <w:rPr>
          <w:rStyle w:val="FootnoteReference"/>
          <w:rFonts w:ascii="Arial" w:hAnsi="Arial" w:cs="Arial"/>
          <w:sz w:val="24"/>
          <w:szCs w:val="24"/>
          <w:shd w:val="clear" w:color="auto" w:fill="FFFFFF"/>
        </w:rPr>
        <w:footnoteReference w:id="177"/>
      </w:r>
      <w:r w:rsidR="00DB19D5" w:rsidRPr="00B17C11">
        <w:rPr>
          <w:rFonts w:ascii="Arial" w:hAnsi="Arial" w:cs="Arial"/>
          <w:sz w:val="24"/>
          <w:szCs w:val="24"/>
          <w:shd w:val="clear" w:color="auto" w:fill="FFFFFF"/>
        </w:rPr>
        <w:t xml:space="preserve"> </w:t>
      </w:r>
      <w:r w:rsidR="00F3729B" w:rsidRPr="00B17C11">
        <w:rPr>
          <w:rFonts w:ascii="Arial" w:hAnsi="Arial" w:cs="Arial"/>
          <w:sz w:val="24"/>
          <w:szCs w:val="24"/>
          <w:shd w:val="clear" w:color="auto" w:fill="FFFFFF"/>
        </w:rPr>
        <w:t>I</w:t>
      </w:r>
      <w:r w:rsidRPr="00B17C11">
        <w:rPr>
          <w:rFonts w:ascii="Arial" w:hAnsi="Arial" w:cs="Arial"/>
          <w:sz w:val="24"/>
          <w:szCs w:val="24"/>
          <w:shd w:val="clear" w:color="auto" w:fill="FFFFFF"/>
        </w:rPr>
        <w:t xml:space="preserve">n </w:t>
      </w:r>
      <w:r w:rsidRPr="00B17C11">
        <w:rPr>
          <w:rFonts w:ascii="Arial" w:hAnsi="Arial" w:cs="Arial"/>
          <w:i/>
          <w:sz w:val="24"/>
          <w:szCs w:val="24"/>
          <w:shd w:val="clear" w:color="auto" w:fill="FFFFFF"/>
        </w:rPr>
        <w:t>Rikhotso v Northcliff Ceramics (Pty) Ltd</w:t>
      </w:r>
      <w:r w:rsidR="00E778B3" w:rsidRPr="00B17C11">
        <w:rPr>
          <w:rFonts w:ascii="Arial" w:hAnsi="Arial" w:cs="Arial"/>
          <w:sz w:val="24"/>
          <w:szCs w:val="24"/>
          <w:shd w:val="clear" w:color="auto" w:fill="FFFFFF"/>
        </w:rPr>
        <w:t>,</w:t>
      </w:r>
      <w:r w:rsidR="00480A2E" w:rsidRPr="00B17C11">
        <w:rPr>
          <w:rFonts w:ascii="Arial" w:hAnsi="Arial" w:cs="Arial"/>
          <w:sz w:val="24"/>
          <w:szCs w:val="24"/>
          <w:shd w:val="clear" w:color="auto" w:fill="FFFFFF"/>
        </w:rPr>
        <w:t xml:space="preserve"> the court rejected this development</w:t>
      </w:r>
      <w:r w:rsidR="00242739" w:rsidRPr="00B17C11">
        <w:rPr>
          <w:rFonts w:ascii="Arial" w:hAnsi="Arial" w:cs="Arial"/>
          <w:sz w:val="24"/>
          <w:szCs w:val="24"/>
          <w:shd w:val="clear" w:color="auto" w:fill="FFFFFF"/>
        </w:rPr>
        <w:t>. It</w:t>
      </w:r>
      <w:r w:rsidR="00480A2E" w:rsidRPr="00B17C11">
        <w:rPr>
          <w:rFonts w:ascii="Arial" w:hAnsi="Arial" w:cs="Arial"/>
          <w:sz w:val="24"/>
          <w:szCs w:val="24"/>
          <w:shd w:val="clear" w:color="auto" w:fill="FFFFFF"/>
        </w:rPr>
        <w:t xml:space="preserve"> held that the spoliation remedy is only appropriate for </w:t>
      </w:r>
      <w:r w:rsidR="000D3CCF" w:rsidRPr="00B17C11">
        <w:rPr>
          <w:rFonts w:ascii="Arial" w:hAnsi="Arial" w:cs="Arial"/>
          <w:sz w:val="24"/>
          <w:szCs w:val="24"/>
          <w:shd w:val="clear" w:color="auto" w:fill="FFFFFF"/>
        </w:rPr>
        <w:t xml:space="preserve">the </w:t>
      </w:r>
      <w:r w:rsidR="00480A2E" w:rsidRPr="00B17C11">
        <w:rPr>
          <w:rFonts w:ascii="Arial" w:hAnsi="Arial" w:cs="Arial"/>
          <w:sz w:val="24"/>
          <w:szCs w:val="24"/>
          <w:shd w:val="clear" w:color="auto" w:fill="FFFFFF"/>
        </w:rPr>
        <w:t>restoration of possession and not the reparation or the replacement of destroyed property.</w:t>
      </w:r>
      <w:r w:rsidR="00480A2E" w:rsidRPr="00B17C11">
        <w:rPr>
          <w:rStyle w:val="FootnoteReference"/>
          <w:rFonts w:ascii="Arial" w:hAnsi="Arial" w:cs="Arial"/>
          <w:sz w:val="24"/>
          <w:szCs w:val="24"/>
          <w:shd w:val="clear" w:color="auto" w:fill="FFFFFF"/>
        </w:rPr>
        <w:footnoteReference w:id="178"/>
      </w:r>
      <w:r w:rsidR="00480A2E" w:rsidRPr="00B17C11">
        <w:rPr>
          <w:rFonts w:ascii="Arial" w:hAnsi="Arial" w:cs="Arial"/>
          <w:sz w:val="24"/>
          <w:szCs w:val="24"/>
          <w:shd w:val="clear" w:color="auto" w:fill="FFFFFF"/>
        </w:rPr>
        <w:t xml:space="preserve"> </w:t>
      </w:r>
      <w:r w:rsidR="00480A2E" w:rsidRPr="00B17C11">
        <w:rPr>
          <w:rFonts w:ascii="Arial" w:hAnsi="Arial" w:cs="Arial"/>
          <w:sz w:val="24"/>
          <w:szCs w:val="24"/>
          <w:shd w:val="clear" w:color="auto" w:fill="FFFFFF"/>
        </w:rPr>
        <w:lastRenderedPageBreak/>
        <w:t>Nugent J highlighted that there is no possessory entitlement to be decided upon where property is destroyed.</w:t>
      </w:r>
      <w:r w:rsidR="00480A2E" w:rsidRPr="00B17C11">
        <w:rPr>
          <w:rStyle w:val="FootnoteReference"/>
          <w:rFonts w:ascii="Arial" w:hAnsi="Arial" w:cs="Arial"/>
          <w:sz w:val="24"/>
          <w:szCs w:val="24"/>
          <w:shd w:val="clear" w:color="auto" w:fill="FFFFFF"/>
        </w:rPr>
        <w:footnoteReference w:id="179"/>
      </w:r>
    </w:p>
    <w:p w14:paraId="788F4073" w14:textId="77777777" w:rsidR="00C541B4" w:rsidRPr="00B17C11" w:rsidRDefault="00686E54" w:rsidP="00C541B4">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approach was later confirmed by the Supreme Court of Appeal in </w:t>
      </w:r>
      <w:r w:rsidRPr="00B17C11">
        <w:rPr>
          <w:rFonts w:ascii="Arial" w:hAnsi="Arial" w:cs="Arial"/>
          <w:i/>
          <w:iCs/>
          <w:sz w:val="24"/>
          <w:szCs w:val="24"/>
          <w:shd w:val="clear" w:color="auto" w:fill="FFFFFF"/>
        </w:rPr>
        <w:t>Tswelopele Non-Profit Organisation and Others v City of Tshwane Metropolitan Municipality and Others</w:t>
      </w:r>
      <w:r w:rsidRPr="00B17C11">
        <w:rPr>
          <w:rFonts w:ascii="Arial" w:hAnsi="Arial" w:cs="Arial"/>
          <w:sz w:val="24"/>
          <w:szCs w:val="24"/>
          <w:shd w:val="clear" w:color="auto" w:fill="FFFFFF"/>
        </w:rPr>
        <w:t>, where the court dismissed the claim for a spoliation order on the basis that materials used to construct the building were destroyed and the restoration of possession could not be possible.</w:t>
      </w:r>
      <w:r w:rsidRPr="00B17C11">
        <w:rPr>
          <w:rStyle w:val="FootnoteReference"/>
          <w:rFonts w:ascii="Arial" w:hAnsi="Arial" w:cs="Arial"/>
          <w:sz w:val="24"/>
          <w:szCs w:val="24"/>
          <w:shd w:val="clear" w:color="auto" w:fill="FFFFFF"/>
        </w:rPr>
        <w:footnoteReference w:id="180"/>
      </w:r>
      <w:r w:rsidR="004F78C1" w:rsidRPr="00B17C11">
        <w:rPr>
          <w:rFonts w:ascii="Arial" w:hAnsi="Arial" w:cs="Arial"/>
          <w:sz w:val="24"/>
          <w:szCs w:val="24"/>
          <w:shd w:val="clear" w:color="auto" w:fill="FFFFFF"/>
        </w:rPr>
        <w:t xml:space="preserve"> </w:t>
      </w:r>
      <w:r w:rsidR="004E3EF9" w:rsidRPr="00B17C11">
        <w:rPr>
          <w:rFonts w:ascii="Arial" w:hAnsi="Arial" w:cs="Arial"/>
          <w:sz w:val="24"/>
          <w:szCs w:val="24"/>
          <w:shd w:val="clear" w:color="auto" w:fill="FFFFFF"/>
        </w:rPr>
        <w:t>C</w:t>
      </w:r>
      <w:r w:rsidR="00F45F6E" w:rsidRPr="00B17C11">
        <w:rPr>
          <w:rFonts w:ascii="Arial" w:hAnsi="Arial" w:cs="Arial"/>
          <w:sz w:val="24"/>
          <w:szCs w:val="24"/>
          <w:shd w:val="clear" w:color="auto" w:fill="FFFFFF"/>
        </w:rPr>
        <w:t>a</w:t>
      </w:r>
      <w:r w:rsidR="004E3EF9" w:rsidRPr="00B17C11">
        <w:rPr>
          <w:rFonts w:ascii="Arial" w:hAnsi="Arial" w:cs="Arial"/>
          <w:sz w:val="24"/>
          <w:szCs w:val="24"/>
          <w:shd w:val="clear" w:color="auto" w:fill="FFFFFF"/>
        </w:rPr>
        <w:t xml:space="preserve">meron JA held that while the </w:t>
      </w:r>
      <w:proofErr w:type="spellStart"/>
      <w:r w:rsidR="004E3EF9" w:rsidRPr="00B17C11">
        <w:rPr>
          <w:rFonts w:ascii="Arial" w:hAnsi="Arial" w:cs="Arial"/>
          <w:i/>
          <w:sz w:val="24"/>
          <w:szCs w:val="24"/>
          <w:shd w:val="clear" w:color="auto" w:fill="FFFFFF"/>
        </w:rPr>
        <w:t>mandament</w:t>
      </w:r>
      <w:proofErr w:type="spellEnd"/>
      <w:r w:rsidR="004E3EF9" w:rsidRPr="00B17C11">
        <w:rPr>
          <w:rFonts w:ascii="Arial" w:hAnsi="Arial" w:cs="Arial"/>
          <w:sz w:val="24"/>
          <w:szCs w:val="24"/>
          <w:shd w:val="clear" w:color="auto" w:fill="FFFFFF"/>
        </w:rPr>
        <w:t xml:space="preserve"> prohibits breaches of the rule of law and serves as a disincentive to self-help, its object is the interim restoration of physical control and restoration of specified property – not its reconstituted equivalent.</w:t>
      </w:r>
      <w:r w:rsidR="004E3EF9" w:rsidRPr="00B17C11">
        <w:rPr>
          <w:rStyle w:val="FootnoteReference"/>
          <w:rFonts w:ascii="Arial" w:hAnsi="Arial" w:cs="Arial"/>
          <w:sz w:val="24"/>
          <w:szCs w:val="24"/>
          <w:shd w:val="clear" w:color="auto" w:fill="FFFFFF"/>
        </w:rPr>
        <w:footnoteReference w:id="181"/>
      </w:r>
      <w:r w:rsidR="00C541B4" w:rsidRPr="00B17C11">
        <w:rPr>
          <w:rFonts w:ascii="Arial" w:hAnsi="Arial" w:cs="Arial"/>
          <w:sz w:val="24"/>
          <w:szCs w:val="24"/>
          <w:shd w:val="clear" w:color="auto" w:fill="FFFFFF"/>
        </w:rPr>
        <w:t xml:space="preserve"> Though he declined the invitation to extend the common law remedy in terms of section 39(2) of the </w:t>
      </w:r>
      <w:r w:rsidR="00C541B4" w:rsidRPr="00B17C11">
        <w:rPr>
          <w:rFonts w:ascii="Arial" w:hAnsi="Arial" w:cs="Arial"/>
          <w:i/>
          <w:iCs/>
          <w:sz w:val="24"/>
          <w:szCs w:val="24"/>
          <w:shd w:val="clear" w:color="auto" w:fill="FFFFFF"/>
        </w:rPr>
        <w:t>Constitution</w:t>
      </w:r>
      <w:r w:rsidR="00C541B4" w:rsidRPr="00B17C11">
        <w:rPr>
          <w:rFonts w:ascii="Arial" w:hAnsi="Arial" w:cs="Arial"/>
          <w:sz w:val="24"/>
          <w:szCs w:val="24"/>
          <w:shd w:val="clear" w:color="auto" w:fill="FFFFFF"/>
        </w:rPr>
        <w:t xml:space="preserve"> to allow for a spoliation order where the thing has been destroyed, he developed a special remedy in line with section 26(1) on the basis of the housing right in the </w:t>
      </w:r>
      <w:r w:rsidR="00C541B4" w:rsidRPr="00B17C11">
        <w:rPr>
          <w:rFonts w:ascii="Arial" w:hAnsi="Arial" w:cs="Arial"/>
          <w:i/>
          <w:iCs/>
          <w:sz w:val="24"/>
          <w:szCs w:val="24"/>
          <w:shd w:val="clear" w:color="auto" w:fill="FFFFFF"/>
        </w:rPr>
        <w:t>Constitution</w:t>
      </w:r>
      <w:r w:rsidR="00C541B4" w:rsidRPr="00B17C11">
        <w:rPr>
          <w:rFonts w:ascii="Arial" w:hAnsi="Arial" w:cs="Arial"/>
          <w:sz w:val="24"/>
          <w:szCs w:val="24"/>
          <w:shd w:val="clear" w:color="auto" w:fill="FFFFFF"/>
        </w:rPr>
        <w:t>, which in substance, and as pointed out by Brand, ‘did exactly as would have been the case had the spoliation remedy been used’ because in the end, the residents were allowed to return to the land from which they were unlawfully removed and the City was directed to rebuild informal houses.</w:t>
      </w:r>
      <w:r w:rsidR="00C541B4" w:rsidRPr="00B17C11">
        <w:rPr>
          <w:rStyle w:val="FootnoteReference"/>
          <w:rFonts w:ascii="Arial" w:hAnsi="Arial" w:cs="Arial"/>
          <w:sz w:val="24"/>
          <w:szCs w:val="24"/>
          <w:shd w:val="clear" w:color="auto" w:fill="FFFFFF"/>
        </w:rPr>
        <w:footnoteReference w:id="182"/>
      </w:r>
    </w:p>
    <w:p w14:paraId="2643F77A" w14:textId="00B7DB67" w:rsidR="00CD3E07" w:rsidRPr="00B17C11" w:rsidRDefault="00CD3E07" w:rsidP="00CD3E07">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w:t>
      </w:r>
      <w:r w:rsidRPr="00B17C11">
        <w:rPr>
          <w:rFonts w:ascii="Arial" w:hAnsi="Arial" w:cs="Arial"/>
          <w:i/>
          <w:iCs/>
          <w:sz w:val="24"/>
          <w:szCs w:val="24"/>
          <w:shd w:val="clear" w:color="auto" w:fill="FFFFFF"/>
        </w:rPr>
        <w:t>Monteiro and Another v Diedricks</w:t>
      </w:r>
      <w:r w:rsidRPr="00B17C11">
        <w:rPr>
          <w:rFonts w:ascii="Arial" w:hAnsi="Arial" w:cs="Arial"/>
          <w:sz w:val="24"/>
          <w:szCs w:val="24"/>
          <w:shd w:val="clear" w:color="auto" w:fill="FFFFFF"/>
        </w:rPr>
        <w:t>, the Supreme Court of Appeal was asked to determine whether the spoliation remedy is an appropriate remedy where a party is no longer in possession of the property.</w:t>
      </w:r>
      <w:r w:rsidRPr="00B17C11">
        <w:rPr>
          <w:rStyle w:val="FootnoteReference"/>
          <w:rFonts w:ascii="Arial" w:hAnsi="Arial" w:cs="Arial"/>
          <w:sz w:val="24"/>
          <w:szCs w:val="24"/>
          <w:shd w:val="clear" w:color="auto" w:fill="FFFFFF"/>
        </w:rPr>
        <w:footnoteReference w:id="183"/>
      </w:r>
      <w:r w:rsidRPr="00B17C11">
        <w:rPr>
          <w:rFonts w:ascii="Arial" w:hAnsi="Arial" w:cs="Arial"/>
          <w:sz w:val="24"/>
          <w:szCs w:val="24"/>
          <w:shd w:val="clear" w:color="auto" w:fill="FFFFFF"/>
        </w:rPr>
        <w:t xml:space="preserve"> In deciding this matter, the court considered the controversy of the proper interpretation of the principle of the spoliation remedy. The majority judgment held that despite the spoliation remedy serving to deter breaches of the law, the court could not</w:t>
      </w:r>
      <w:r w:rsidR="00242739"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however, require a party to restore possession w</w:t>
      </w:r>
      <w:r w:rsidR="00242739" w:rsidRPr="00B17C11">
        <w:rPr>
          <w:rFonts w:ascii="Arial" w:hAnsi="Arial" w:cs="Arial"/>
          <w:sz w:val="24"/>
          <w:szCs w:val="24"/>
          <w:shd w:val="clear" w:color="auto" w:fill="FFFFFF"/>
        </w:rPr>
        <w:t>h</w:t>
      </w:r>
      <w:r w:rsidRPr="00B17C11">
        <w:rPr>
          <w:rFonts w:ascii="Arial" w:hAnsi="Arial" w:cs="Arial"/>
          <w:sz w:val="24"/>
          <w:szCs w:val="24"/>
          <w:shd w:val="clear" w:color="auto" w:fill="FFFFFF"/>
        </w:rPr>
        <w:t>ere compliance with the order is impossible.</w:t>
      </w:r>
      <w:r w:rsidRPr="00B17C11">
        <w:rPr>
          <w:rStyle w:val="FootnoteReference"/>
          <w:rFonts w:ascii="Arial" w:hAnsi="Arial" w:cs="Arial"/>
          <w:sz w:val="24"/>
          <w:szCs w:val="24"/>
          <w:shd w:val="clear" w:color="auto" w:fill="FFFFFF"/>
        </w:rPr>
        <w:footnoteReference w:id="184"/>
      </w:r>
      <w:r w:rsidRPr="00B17C11">
        <w:rPr>
          <w:rFonts w:ascii="Arial" w:hAnsi="Arial" w:cs="Arial"/>
          <w:sz w:val="24"/>
          <w:szCs w:val="24"/>
          <w:shd w:val="clear" w:color="auto" w:fill="FFFFFF"/>
        </w:rPr>
        <w:t xml:space="preserve"> Speaking for the minority judgment, Schippers JA pointed out that the spoliation remedy should apply in all cases of spoliation,  whether the spoliator acquires possession for himself or another, as long as afterward it is possible to restore the </w:t>
      </w:r>
      <w:r w:rsidRPr="00B17C11">
        <w:rPr>
          <w:rFonts w:ascii="Arial" w:hAnsi="Arial" w:cs="Arial"/>
          <w:i/>
          <w:iCs/>
          <w:sz w:val="24"/>
          <w:szCs w:val="24"/>
          <w:shd w:val="clear" w:color="auto" w:fill="FFFFFF"/>
        </w:rPr>
        <w:t>status quo ante</w:t>
      </w:r>
      <w:r w:rsidRPr="00B17C11">
        <w:rPr>
          <w:rFonts w:ascii="Arial" w:hAnsi="Arial" w:cs="Arial"/>
          <w:sz w:val="24"/>
          <w:szCs w:val="24"/>
          <w:shd w:val="clear" w:color="auto" w:fill="FFFFFF"/>
        </w:rPr>
        <w:t>.</w:t>
      </w:r>
      <w:r w:rsidRPr="00B17C11">
        <w:rPr>
          <w:rStyle w:val="FootnoteReference"/>
          <w:rFonts w:ascii="Arial" w:hAnsi="Arial" w:cs="Arial"/>
          <w:sz w:val="24"/>
          <w:szCs w:val="24"/>
          <w:shd w:val="clear" w:color="auto" w:fill="FFFFFF"/>
        </w:rPr>
        <w:footnoteReference w:id="185"/>
      </w:r>
      <w:r w:rsidRPr="00B17C11">
        <w:rPr>
          <w:rFonts w:ascii="Arial" w:hAnsi="Arial" w:cs="Arial"/>
          <w:sz w:val="24"/>
          <w:szCs w:val="24"/>
          <w:shd w:val="clear" w:color="auto" w:fill="FFFFFF"/>
        </w:rPr>
        <w:t xml:space="preserve"> </w:t>
      </w:r>
      <w:r w:rsidR="00C846DC" w:rsidRPr="00B17C11">
        <w:rPr>
          <w:rFonts w:ascii="Arial" w:hAnsi="Arial" w:cs="Arial"/>
          <w:sz w:val="24"/>
          <w:szCs w:val="24"/>
          <w:shd w:val="clear" w:color="auto" w:fill="FFFFFF"/>
        </w:rPr>
        <w:t xml:space="preserve">He </w:t>
      </w:r>
      <w:r w:rsidRPr="00B17C11">
        <w:rPr>
          <w:rFonts w:ascii="Arial" w:hAnsi="Arial" w:cs="Arial"/>
          <w:sz w:val="24"/>
          <w:szCs w:val="24"/>
          <w:shd w:val="clear" w:color="auto" w:fill="FFFFFF"/>
        </w:rPr>
        <w:t xml:space="preserve">argued that the aim of </w:t>
      </w:r>
      <w:r w:rsidRPr="00B17C11">
        <w:rPr>
          <w:rFonts w:ascii="Arial" w:hAnsi="Arial" w:cs="Arial"/>
          <w:sz w:val="24"/>
          <w:szCs w:val="24"/>
          <w:shd w:val="clear" w:color="auto" w:fill="FFFFFF"/>
        </w:rPr>
        <w:lastRenderedPageBreak/>
        <w:t>the spoliation remedy is rooted in the rule of law and the preservation of legal order in terms of which persons are prevented from taking the law into their own hands.</w:t>
      </w:r>
      <w:r w:rsidRPr="00B17C11">
        <w:rPr>
          <w:rStyle w:val="FootnoteReference"/>
          <w:rFonts w:ascii="Arial" w:hAnsi="Arial" w:cs="Arial"/>
          <w:sz w:val="24"/>
          <w:szCs w:val="24"/>
          <w:shd w:val="clear" w:color="auto" w:fill="FFFFFF"/>
        </w:rPr>
        <w:footnoteReference w:id="186"/>
      </w:r>
    </w:p>
    <w:p w14:paraId="04B149F5" w14:textId="65DD0312"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However, as already indicated above, the majority view is that the spoliation remedy serves to protect stable property relations from unlawful dispossession.</w:t>
      </w:r>
      <w:r w:rsidRPr="00B17C11">
        <w:rPr>
          <w:rStyle w:val="FootnoteReference"/>
          <w:rFonts w:ascii="Arial" w:hAnsi="Arial" w:cs="Arial"/>
          <w:sz w:val="24"/>
          <w:szCs w:val="24"/>
          <w:shd w:val="clear" w:color="auto" w:fill="FFFFFF"/>
        </w:rPr>
        <w:footnoteReference w:id="187"/>
      </w:r>
      <w:r w:rsidRPr="00B17C11">
        <w:rPr>
          <w:rFonts w:ascii="Arial" w:hAnsi="Arial" w:cs="Arial"/>
          <w:sz w:val="24"/>
          <w:szCs w:val="24"/>
          <w:shd w:val="clear" w:color="auto" w:fill="FFFFFF"/>
        </w:rPr>
        <w:t xml:space="preserve"> This is due to the importance of stable property relations in the participation of legal traffic and commerce.</w:t>
      </w:r>
      <w:r w:rsidRPr="00B17C11">
        <w:rPr>
          <w:rStyle w:val="FootnoteReference"/>
          <w:rFonts w:ascii="Arial" w:hAnsi="Arial" w:cs="Arial"/>
          <w:sz w:val="24"/>
          <w:szCs w:val="24"/>
          <w:shd w:val="clear" w:color="auto" w:fill="FFFFFF"/>
        </w:rPr>
        <w:footnoteReference w:id="188"/>
      </w:r>
      <w:r w:rsidRPr="00B17C11">
        <w:rPr>
          <w:rFonts w:ascii="Arial" w:hAnsi="Arial" w:cs="Arial"/>
          <w:sz w:val="24"/>
          <w:szCs w:val="24"/>
          <w:shd w:val="clear" w:color="auto" w:fill="FFFFFF"/>
        </w:rPr>
        <w:t xml:space="preserve"> It is furthermore argued that the spoliation remedy should not be viewed as a general remedy aimed at protecting public peace and order because this view is overly broad – and it might as well be said that all remedies protect public order and peace through the prohibition of lawlessness as their ultimate objective.</w:t>
      </w:r>
      <w:r w:rsidRPr="00B17C11">
        <w:rPr>
          <w:rStyle w:val="FootnoteReference"/>
          <w:rFonts w:ascii="Arial" w:hAnsi="Arial" w:cs="Arial"/>
          <w:sz w:val="24"/>
          <w:szCs w:val="24"/>
          <w:shd w:val="clear" w:color="auto" w:fill="FFFFFF"/>
        </w:rPr>
        <w:footnoteReference w:id="189"/>
      </w:r>
    </w:p>
    <w:p w14:paraId="4C532E1C" w14:textId="77777777" w:rsidR="00635917" w:rsidRPr="00B17C11" w:rsidRDefault="00635917" w:rsidP="004E3EF9">
      <w:pPr>
        <w:spacing w:line="360" w:lineRule="auto"/>
        <w:jc w:val="both"/>
        <w:rPr>
          <w:rFonts w:ascii="Arial" w:hAnsi="Arial" w:cs="Arial"/>
          <w:sz w:val="24"/>
          <w:szCs w:val="24"/>
          <w:shd w:val="clear" w:color="auto" w:fill="FFFFFF"/>
        </w:rPr>
      </w:pPr>
    </w:p>
    <w:p w14:paraId="206EE19F" w14:textId="5473FDEA" w:rsidR="004E3EF9" w:rsidRPr="00B17C11" w:rsidRDefault="004E3EF9" w:rsidP="00635917">
      <w:pPr>
        <w:pStyle w:val="Heading2"/>
        <w:rPr>
          <w:shd w:val="clear" w:color="auto" w:fill="FFFFFF"/>
        </w:rPr>
      </w:pPr>
      <w:bookmarkStart w:id="17" w:name="_Toc181339544"/>
      <w:r w:rsidRPr="00B17C11">
        <w:rPr>
          <w:shd w:val="clear" w:color="auto" w:fill="FFFFFF"/>
        </w:rPr>
        <w:t>2.</w:t>
      </w:r>
      <w:r w:rsidR="005A3078" w:rsidRPr="00B17C11">
        <w:rPr>
          <w:shd w:val="clear" w:color="auto" w:fill="FFFFFF"/>
        </w:rPr>
        <w:t>6</w:t>
      </w:r>
      <w:r w:rsidR="00635917" w:rsidRPr="00B17C11">
        <w:rPr>
          <w:shd w:val="clear" w:color="auto" w:fill="FFFFFF"/>
        </w:rPr>
        <w:tab/>
      </w:r>
      <w:r w:rsidRPr="00B17C11">
        <w:rPr>
          <w:shd w:val="clear" w:color="auto" w:fill="FFFFFF"/>
        </w:rPr>
        <w:t>Conclusion</w:t>
      </w:r>
      <w:bookmarkEnd w:id="17"/>
    </w:p>
    <w:p w14:paraId="58D24B48" w14:textId="4D28C3B7" w:rsidR="004E3EF9" w:rsidRPr="00B17C11" w:rsidRDefault="004E3EF9" w:rsidP="004E3EF9">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The fundamental principle of the spoliation remedy is that no person should be allowed to take the law into his own hands. This remedy addresses the unlawfulness of self-help by restoring possession to the despoiled person. All that the despoiled person has to prove is a stable possession of a kind that was unlawfully ousted. Although there is no actual judicial authority concerning a thief or a robber, there is nonetheless a strong view from case law suggesting that it is irrelevant how a person came to possession. What seems to be a major point of concern is the difference in opinion among scholars on the primary purpose of the spoliation remedy. Most of the authors agree that the spoliation remedy is strictly a possessory remedy that functions to restore possession</w:t>
      </w:r>
      <w:r w:rsidR="00301FB2" w:rsidRPr="00B17C11">
        <w:rPr>
          <w:rFonts w:ascii="Arial" w:hAnsi="Arial" w:cs="Arial"/>
          <w:sz w:val="24"/>
          <w:szCs w:val="24"/>
          <w:shd w:val="clear" w:color="auto" w:fill="FFFFFF"/>
        </w:rPr>
        <w:t>.</w:t>
      </w:r>
      <w:r w:rsidR="006920AA" w:rsidRPr="00B17C11">
        <w:rPr>
          <w:rFonts w:ascii="Arial" w:hAnsi="Arial" w:cs="Arial"/>
          <w:sz w:val="24"/>
          <w:szCs w:val="24"/>
          <w:shd w:val="clear" w:color="auto" w:fill="FFFFFF"/>
        </w:rPr>
        <w:t xml:space="preserve"> </w:t>
      </w:r>
      <w:r w:rsidR="00301FB2" w:rsidRPr="00B17C11">
        <w:rPr>
          <w:rFonts w:ascii="Arial" w:hAnsi="Arial" w:cs="Arial"/>
          <w:sz w:val="24"/>
          <w:szCs w:val="24"/>
          <w:shd w:val="clear" w:color="auto" w:fill="FFFFFF"/>
        </w:rPr>
        <w:t>In contrast,</w:t>
      </w:r>
      <w:r w:rsidRPr="00B17C11">
        <w:rPr>
          <w:rFonts w:ascii="Arial" w:hAnsi="Arial" w:cs="Arial"/>
          <w:sz w:val="24"/>
          <w:szCs w:val="24"/>
          <w:shd w:val="clear" w:color="auto" w:fill="FFFFFF"/>
        </w:rPr>
        <w:t xml:space="preserve"> others maintain that it serves to protect peace and order by preventing acts of self-help. This difference has profound implications </w:t>
      </w:r>
      <w:r w:rsidR="00242739" w:rsidRPr="00B17C11">
        <w:rPr>
          <w:rFonts w:ascii="Arial" w:hAnsi="Arial" w:cs="Arial"/>
          <w:sz w:val="24"/>
          <w:szCs w:val="24"/>
          <w:shd w:val="clear" w:color="auto" w:fill="FFFFFF"/>
        </w:rPr>
        <w:t>for</w:t>
      </w:r>
      <w:r w:rsidRPr="00B17C11">
        <w:rPr>
          <w:rFonts w:ascii="Arial" w:hAnsi="Arial" w:cs="Arial"/>
          <w:sz w:val="24"/>
          <w:szCs w:val="24"/>
          <w:shd w:val="clear" w:color="auto" w:fill="FFFFFF"/>
        </w:rPr>
        <w:t xml:space="preserve"> the scope and application of this remedy.</w:t>
      </w:r>
      <w:r w:rsidR="009A2409" w:rsidRPr="00B17C11">
        <w:rPr>
          <w:rFonts w:ascii="Arial" w:hAnsi="Arial" w:cs="Arial"/>
          <w:sz w:val="24"/>
          <w:szCs w:val="24"/>
          <w:shd w:val="clear" w:color="auto" w:fill="FFFFFF"/>
        </w:rPr>
        <w:t xml:space="preserve"> For instance, if it can be accepted that </w:t>
      </w:r>
      <w:r w:rsidR="00E47FE4" w:rsidRPr="00B17C11">
        <w:rPr>
          <w:rFonts w:ascii="Arial" w:hAnsi="Arial" w:cs="Arial"/>
          <w:sz w:val="24"/>
          <w:szCs w:val="24"/>
          <w:shd w:val="clear" w:color="auto" w:fill="FFFFFF"/>
        </w:rPr>
        <w:t xml:space="preserve">it serves </w:t>
      </w:r>
      <w:r w:rsidR="00E47FE4" w:rsidRPr="00B17C11">
        <w:rPr>
          <w:rFonts w:ascii="Arial" w:hAnsi="Arial" w:cs="Arial"/>
          <w:sz w:val="24"/>
          <w:szCs w:val="24"/>
          <w:shd w:val="clear" w:color="auto" w:fill="FFFFFF"/>
        </w:rPr>
        <w:lastRenderedPageBreak/>
        <w:t xml:space="preserve">to protect public </w:t>
      </w:r>
      <w:r w:rsidR="004940B2" w:rsidRPr="00B17C11">
        <w:rPr>
          <w:rFonts w:ascii="Arial" w:hAnsi="Arial" w:cs="Arial"/>
          <w:sz w:val="24"/>
          <w:szCs w:val="24"/>
          <w:shd w:val="clear" w:color="auto" w:fill="FFFFFF"/>
        </w:rPr>
        <w:t xml:space="preserve">order and </w:t>
      </w:r>
      <w:r w:rsidR="00E47FE4" w:rsidRPr="00B17C11">
        <w:rPr>
          <w:rFonts w:ascii="Arial" w:hAnsi="Arial" w:cs="Arial"/>
          <w:sz w:val="24"/>
          <w:szCs w:val="24"/>
          <w:shd w:val="clear" w:color="auto" w:fill="FFFFFF"/>
        </w:rPr>
        <w:t>peace</w:t>
      </w:r>
      <w:r w:rsidR="007F5AEF" w:rsidRPr="00B17C11">
        <w:rPr>
          <w:rFonts w:ascii="Arial" w:hAnsi="Arial" w:cs="Arial"/>
          <w:sz w:val="24"/>
          <w:szCs w:val="24"/>
          <w:shd w:val="clear" w:color="auto" w:fill="FFFFFF"/>
        </w:rPr>
        <w:t>, it</w:t>
      </w:r>
      <w:r w:rsidR="00A33930" w:rsidRPr="00B17C11">
        <w:rPr>
          <w:rFonts w:ascii="Arial" w:hAnsi="Arial" w:cs="Arial"/>
          <w:sz w:val="24"/>
          <w:szCs w:val="24"/>
          <w:shd w:val="clear" w:color="auto" w:fill="FFFFFF"/>
        </w:rPr>
        <w:t xml:space="preserve">s extension would be welcomed in all instances of </w:t>
      </w:r>
      <w:r w:rsidR="0010718C" w:rsidRPr="00B17C11">
        <w:rPr>
          <w:rFonts w:ascii="Arial" w:hAnsi="Arial" w:cs="Arial"/>
          <w:sz w:val="24"/>
          <w:szCs w:val="24"/>
          <w:shd w:val="clear" w:color="auto" w:fill="FFFFFF"/>
        </w:rPr>
        <w:t>self-help</w:t>
      </w:r>
      <w:r w:rsidR="005A5E83" w:rsidRPr="00B17C11">
        <w:rPr>
          <w:rFonts w:ascii="Arial" w:hAnsi="Arial" w:cs="Arial"/>
          <w:sz w:val="24"/>
          <w:szCs w:val="24"/>
          <w:shd w:val="clear" w:color="auto" w:fill="FFFFFF"/>
        </w:rPr>
        <w:t>, whether it be the landlord or other persons.</w:t>
      </w:r>
      <w:r w:rsidR="00B415B3" w:rsidRPr="00B17C11">
        <w:rPr>
          <w:rFonts w:ascii="Arial" w:hAnsi="Arial" w:cs="Arial"/>
          <w:sz w:val="24"/>
          <w:szCs w:val="24"/>
          <w:shd w:val="clear" w:color="auto" w:fill="FFFFFF"/>
        </w:rPr>
        <w:t xml:space="preserve"> These implications </w:t>
      </w:r>
      <w:r w:rsidR="005441A9" w:rsidRPr="00B17C11">
        <w:rPr>
          <w:rFonts w:ascii="Arial" w:hAnsi="Arial" w:cs="Arial"/>
          <w:sz w:val="24"/>
          <w:szCs w:val="24"/>
          <w:shd w:val="clear" w:color="auto" w:fill="FFFFFF"/>
        </w:rPr>
        <w:t>are</w:t>
      </w:r>
      <w:r w:rsidR="00B415B3" w:rsidRPr="00B17C11">
        <w:rPr>
          <w:rFonts w:ascii="Arial" w:hAnsi="Arial" w:cs="Arial"/>
          <w:sz w:val="24"/>
          <w:szCs w:val="24"/>
          <w:shd w:val="clear" w:color="auto" w:fill="FFFFFF"/>
        </w:rPr>
        <w:t xml:space="preserve"> discussed more extensively in </w:t>
      </w:r>
      <w:r w:rsidR="00A70F0F" w:rsidRPr="00B17C11">
        <w:rPr>
          <w:rFonts w:ascii="Arial" w:hAnsi="Arial" w:cs="Arial"/>
          <w:sz w:val="24"/>
          <w:szCs w:val="24"/>
          <w:shd w:val="clear" w:color="auto" w:fill="FFFFFF"/>
        </w:rPr>
        <w:t>c</w:t>
      </w:r>
      <w:r w:rsidR="00B415B3" w:rsidRPr="00B17C11">
        <w:rPr>
          <w:rFonts w:ascii="Arial" w:hAnsi="Arial" w:cs="Arial"/>
          <w:sz w:val="24"/>
          <w:szCs w:val="24"/>
          <w:shd w:val="clear" w:color="auto" w:fill="FFFFFF"/>
        </w:rPr>
        <w:t xml:space="preserve">hapter </w:t>
      </w:r>
      <w:r w:rsidR="00A70F0F" w:rsidRPr="00B17C11">
        <w:rPr>
          <w:rFonts w:ascii="Arial" w:hAnsi="Arial" w:cs="Arial"/>
          <w:sz w:val="24"/>
          <w:szCs w:val="24"/>
          <w:shd w:val="clear" w:color="auto" w:fill="FFFFFF"/>
        </w:rPr>
        <w:t>f</w:t>
      </w:r>
      <w:r w:rsidR="00B415B3" w:rsidRPr="00B17C11">
        <w:rPr>
          <w:rFonts w:ascii="Arial" w:hAnsi="Arial" w:cs="Arial"/>
          <w:sz w:val="24"/>
          <w:szCs w:val="24"/>
          <w:shd w:val="clear" w:color="auto" w:fill="FFFFFF"/>
        </w:rPr>
        <w:t>our.</w:t>
      </w:r>
      <w:r w:rsidR="006907E6" w:rsidRPr="00B17C11">
        <w:rPr>
          <w:rFonts w:ascii="Arial" w:hAnsi="Arial" w:cs="Arial"/>
          <w:sz w:val="24"/>
          <w:szCs w:val="24"/>
          <w:shd w:val="clear" w:color="auto" w:fill="FFFFFF"/>
        </w:rPr>
        <w:t xml:space="preserve"> </w:t>
      </w:r>
      <w:r w:rsidRPr="00B17C11">
        <w:rPr>
          <w:rFonts w:ascii="Arial" w:hAnsi="Arial" w:cs="Arial"/>
          <w:sz w:val="24"/>
          <w:szCs w:val="24"/>
          <w:shd w:val="clear" w:color="auto" w:fill="FFFFFF"/>
        </w:rPr>
        <w:t xml:space="preserve">The following chapter considers the development and application of the spoliation remedy on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-possession.</w:t>
      </w:r>
    </w:p>
    <w:p w14:paraId="780A1A25" w14:textId="77777777" w:rsidR="004E3EF9" w:rsidRPr="00B17C11" w:rsidRDefault="004E3EF9" w:rsidP="004E3EF9">
      <w:pPr>
        <w:spacing w:line="360" w:lineRule="auto"/>
        <w:jc w:val="both"/>
        <w:rPr>
          <w:rFonts w:ascii="Arial" w:hAnsi="Arial" w:cs="Arial"/>
          <w:sz w:val="24"/>
          <w:szCs w:val="24"/>
        </w:rPr>
      </w:pPr>
    </w:p>
    <w:p w14:paraId="3E0E9204" w14:textId="597E77D6" w:rsidR="004E3EF9" w:rsidRPr="00B17C11" w:rsidRDefault="004E3EF9">
      <w:pPr>
        <w:rPr>
          <w:rFonts w:ascii="Arial" w:hAnsi="Arial" w:cs="Arial"/>
          <w:sz w:val="24"/>
          <w:szCs w:val="24"/>
        </w:rPr>
      </w:pPr>
      <w:r w:rsidRPr="00B17C11">
        <w:rPr>
          <w:rFonts w:ascii="Arial" w:hAnsi="Arial" w:cs="Arial"/>
          <w:sz w:val="24"/>
          <w:szCs w:val="24"/>
        </w:rPr>
        <w:br w:type="page"/>
      </w:r>
    </w:p>
    <w:p w14:paraId="7E2BEB68" w14:textId="2CE5E02F" w:rsidR="00C72D03" w:rsidRPr="00B17C11" w:rsidRDefault="00C72D03" w:rsidP="00635917">
      <w:pPr>
        <w:pStyle w:val="Heading1"/>
        <w:rPr>
          <w:shd w:val="clear" w:color="auto" w:fill="FFFFFF"/>
        </w:rPr>
      </w:pPr>
      <w:bookmarkStart w:id="18" w:name="_Toc181339545"/>
      <w:r w:rsidRPr="00B17C11">
        <w:lastRenderedPageBreak/>
        <w:t xml:space="preserve">: </w:t>
      </w:r>
      <w:r w:rsidRPr="00B17C11">
        <w:rPr>
          <w:shd w:val="clear" w:color="auto" w:fill="FFFFFF"/>
        </w:rPr>
        <w:t>The development of the application of</w:t>
      </w:r>
      <w:r w:rsidR="00A70F0F" w:rsidRPr="00B17C11">
        <w:rPr>
          <w:shd w:val="clear" w:color="auto" w:fill="FFFFFF"/>
        </w:rPr>
        <w:t xml:space="preserve"> the</w:t>
      </w:r>
      <w:r w:rsidRPr="00B17C11">
        <w:rPr>
          <w:shd w:val="clear" w:color="auto" w:fill="FFFFFF"/>
        </w:rPr>
        <w:t xml:space="preserve"> spoliation remedy in the case of </w:t>
      </w:r>
      <w:r w:rsidRPr="00B17C11">
        <w:rPr>
          <w:i/>
          <w:iCs/>
          <w:shd w:val="clear" w:color="auto" w:fill="FFFFFF"/>
        </w:rPr>
        <w:t>quasi</w:t>
      </w:r>
      <w:r w:rsidRPr="00B17C11">
        <w:rPr>
          <w:shd w:val="clear" w:color="auto" w:fill="FFFFFF"/>
        </w:rPr>
        <w:t>-possession before the constitution</w:t>
      </w:r>
      <w:bookmarkEnd w:id="18"/>
      <w:r w:rsidRPr="00B17C11">
        <w:rPr>
          <w:shd w:val="clear" w:color="auto" w:fill="FFFFFF"/>
        </w:rPr>
        <w:t xml:space="preserve"> </w:t>
      </w:r>
    </w:p>
    <w:p w14:paraId="730919B0" w14:textId="77777777" w:rsidR="00635917" w:rsidRPr="00B17C11" w:rsidRDefault="00635917" w:rsidP="00635917">
      <w:pPr>
        <w:rPr>
          <w:lang w:val="en-GB"/>
        </w:rPr>
      </w:pPr>
    </w:p>
    <w:p w14:paraId="75F2FDF9" w14:textId="303B7A5F" w:rsidR="00C72D03" w:rsidRPr="00B17C11" w:rsidRDefault="00C72D03" w:rsidP="00635917">
      <w:pPr>
        <w:pStyle w:val="Heading2"/>
        <w:rPr>
          <w:shd w:val="clear" w:color="auto" w:fill="FFFFFF"/>
        </w:rPr>
      </w:pPr>
      <w:bookmarkStart w:id="19" w:name="_Toc181339546"/>
      <w:r w:rsidRPr="00B17C11">
        <w:rPr>
          <w:shd w:val="clear" w:color="auto" w:fill="FFFFFF"/>
        </w:rPr>
        <w:t>3.1</w:t>
      </w:r>
      <w:r w:rsidR="00635917" w:rsidRPr="00B17C11">
        <w:rPr>
          <w:shd w:val="clear" w:color="auto" w:fill="FFFFFF"/>
        </w:rPr>
        <w:tab/>
      </w:r>
      <w:r w:rsidRPr="00B17C11">
        <w:rPr>
          <w:shd w:val="clear" w:color="auto" w:fill="FFFFFF"/>
        </w:rPr>
        <w:t>Introduction</w:t>
      </w:r>
      <w:bookmarkEnd w:id="19"/>
      <w:r w:rsidRPr="00B17C11">
        <w:rPr>
          <w:shd w:val="clear" w:color="auto" w:fill="FFFFFF"/>
        </w:rPr>
        <w:t xml:space="preserve"> </w:t>
      </w:r>
    </w:p>
    <w:p w14:paraId="060629C7" w14:textId="1F474224" w:rsidR="00C72D03" w:rsidRPr="00B17C11" w:rsidRDefault="00C72D03" w:rsidP="00C72D03">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This chapter narrows </w:t>
      </w:r>
      <w:r w:rsidR="00A70F0F" w:rsidRPr="00B17C11">
        <w:rPr>
          <w:rFonts w:ascii="Arial" w:hAnsi="Arial" w:cs="Arial"/>
          <w:sz w:val="24"/>
          <w:szCs w:val="24"/>
          <w:shd w:val="clear" w:color="auto" w:fill="FFFFFF"/>
        </w:rPr>
        <w:t>the</w:t>
      </w:r>
      <w:r w:rsidRPr="00B17C11">
        <w:rPr>
          <w:rFonts w:ascii="Arial" w:hAnsi="Arial" w:cs="Arial"/>
          <w:sz w:val="24"/>
          <w:szCs w:val="24"/>
          <w:shd w:val="clear" w:color="auto" w:fill="FFFFFF"/>
        </w:rPr>
        <w:t xml:space="preserve"> scope o</w:t>
      </w:r>
      <w:r w:rsidR="00A70F0F" w:rsidRPr="00B17C11">
        <w:rPr>
          <w:rFonts w:ascii="Arial" w:hAnsi="Arial" w:cs="Arial"/>
          <w:sz w:val="24"/>
          <w:szCs w:val="24"/>
          <w:shd w:val="clear" w:color="auto" w:fill="FFFFFF"/>
        </w:rPr>
        <w:t>f</w:t>
      </w:r>
      <w:r w:rsidRPr="00B17C11">
        <w:rPr>
          <w:rFonts w:ascii="Arial" w:hAnsi="Arial" w:cs="Arial"/>
          <w:sz w:val="24"/>
          <w:szCs w:val="24"/>
          <w:shd w:val="clear" w:color="auto" w:fill="FFFFFF"/>
        </w:rPr>
        <w:t xml:space="preserve"> the spoliation remedy and focuses mainly on the concept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It explores how this concept was adopted into South African law and investigates the challenges encountered by our courts since its adoption before the </w:t>
      </w:r>
      <w:r w:rsidR="00E7114F" w:rsidRPr="00B17C11">
        <w:rPr>
          <w:rFonts w:ascii="Arial" w:hAnsi="Arial" w:cs="Arial"/>
          <w:i/>
          <w:iCs/>
          <w:sz w:val="24"/>
          <w:szCs w:val="24"/>
          <w:shd w:val="clear" w:color="auto" w:fill="FFFFFF"/>
        </w:rPr>
        <w:t>Constitution</w:t>
      </w:r>
      <w:r w:rsidRPr="00B17C11">
        <w:rPr>
          <w:rFonts w:ascii="Arial" w:hAnsi="Arial" w:cs="Arial"/>
          <w:sz w:val="24"/>
          <w:szCs w:val="24"/>
          <w:shd w:val="clear" w:color="auto" w:fill="FFFFFF"/>
        </w:rPr>
        <w:t xml:space="preserve">. This investigation is necessitated by the amount of confusion plaguing our courts over the application of the spoliation remedy in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cases. This chapter attempts to clarify this confusion by providing a detailed analysis of the peaceful and undisturbed control element of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t>
      </w:r>
      <w:proofErr w:type="spellStart"/>
      <w:r w:rsidRPr="00B17C11">
        <w:rPr>
          <w:rFonts w:ascii="Arial" w:hAnsi="Arial" w:cs="Arial"/>
          <w:sz w:val="24"/>
          <w:szCs w:val="24"/>
          <w:shd w:val="clear" w:color="auto" w:fill="FFFFFF"/>
        </w:rPr>
        <w:t>incorporeals</w:t>
      </w:r>
      <w:proofErr w:type="spellEnd"/>
      <w:r w:rsidRPr="00B17C11">
        <w:rPr>
          <w:rFonts w:ascii="Arial" w:hAnsi="Arial" w:cs="Arial"/>
          <w:sz w:val="24"/>
          <w:szCs w:val="24"/>
          <w:shd w:val="clear" w:color="auto" w:fill="FFFFFF"/>
        </w:rPr>
        <w:t xml:space="preserve"> and by further determining the kind of</w:t>
      </w:r>
      <w:r w:rsidRPr="00B17C11">
        <w:rPr>
          <w:rFonts w:ascii="Arial" w:hAnsi="Arial" w:cs="Arial"/>
          <w:i/>
          <w:iCs/>
          <w:sz w:val="24"/>
          <w:szCs w:val="24"/>
          <w:shd w:val="clear" w:color="auto" w:fill="FFFFFF"/>
        </w:rPr>
        <w:t xml:space="preserve"> quasi</w:t>
      </w:r>
      <w:r w:rsidRPr="00B17C11">
        <w:rPr>
          <w:rFonts w:ascii="Arial" w:hAnsi="Arial" w:cs="Arial"/>
          <w:sz w:val="24"/>
          <w:szCs w:val="24"/>
          <w:shd w:val="clear" w:color="auto" w:fill="FFFFFF"/>
        </w:rPr>
        <w:t>-possessory rights protectable under the spoliation remedy.</w:t>
      </w:r>
    </w:p>
    <w:p w14:paraId="424B6C4C" w14:textId="77777777" w:rsidR="00635917" w:rsidRPr="00B17C11" w:rsidRDefault="00635917" w:rsidP="00C72D03">
      <w:pPr>
        <w:spacing w:line="360" w:lineRule="auto"/>
        <w:jc w:val="both"/>
        <w:rPr>
          <w:rFonts w:ascii="Arial" w:hAnsi="Arial" w:cs="Arial"/>
          <w:b/>
          <w:bCs/>
          <w:sz w:val="24"/>
          <w:szCs w:val="24"/>
          <w:shd w:val="clear" w:color="auto" w:fill="FFFFFF"/>
        </w:rPr>
      </w:pPr>
    </w:p>
    <w:p w14:paraId="357D758F" w14:textId="3026A491" w:rsidR="00C72D03" w:rsidRPr="00B17C11" w:rsidRDefault="00C72D03" w:rsidP="00635917">
      <w:pPr>
        <w:pStyle w:val="Heading2"/>
        <w:rPr>
          <w:lang w:val="en-GB"/>
        </w:rPr>
      </w:pPr>
      <w:bookmarkStart w:id="20" w:name="_Toc181339547"/>
      <w:r w:rsidRPr="00B17C11">
        <w:rPr>
          <w:lang w:val="en-GB"/>
        </w:rPr>
        <w:t>3.2</w:t>
      </w:r>
      <w:r w:rsidR="00635917" w:rsidRPr="00B17C11">
        <w:rPr>
          <w:lang w:val="en-GB"/>
        </w:rPr>
        <w:tab/>
      </w:r>
      <w:r w:rsidRPr="00B17C11">
        <w:rPr>
          <w:i/>
          <w:iCs/>
          <w:lang w:val="en-GB"/>
        </w:rPr>
        <w:t>Quasi</w:t>
      </w:r>
      <w:r w:rsidRPr="00B17C11">
        <w:rPr>
          <w:lang w:val="en-GB"/>
        </w:rPr>
        <w:t>-possession</w:t>
      </w:r>
      <w:bookmarkEnd w:id="20"/>
      <w:r w:rsidRPr="00B17C11">
        <w:rPr>
          <w:lang w:val="en-GB"/>
        </w:rPr>
        <w:t xml:space="preserve"> </w:t>
      </w:r>
    </w:p>
    <w:p w14:paraId="2913C69E" w14:textId="51780724" w:rsidR="00C72D03" w:rsidRPr="00B17C11" w:rsidRDefault="00C72D03" w:rsidP="00C72D03">
      <w:pPr>
        <w:spacing w:line="360" w:lineRule="auto"/>
        <w:jc w:val="both"/>
        <w:rPr>
          <w:rFonts w:ascii="Arial" w:hAnsi="Arial" w:cs="Arial"/>
          <w:sz w:val="24"/>
          <w:szCs w:val="24"/>
        </w:rPr>
      </w:pPr>
      <w:r w:rsidRPr="00B17C11">
        <w:rPr>
          <w:rFonts w:ascii="Arial" w:hAnsi="Arial" w:cs="Arial"/>
          <w:sz w:val="24"/>
          <w:szCs w:val="24"/>
        </w:rPr>
        <w:t xml:space="preserve">In Roman Law, </w:t>
      </w:r>
      <w:r w:rsidR="0035451E" w:rsidRPr="00B17C11">
        <w:rPr>
          <w:rFonts w:ascii="Arial" w:hAnsi="Arial" w:cs="Arial"/>
          <w:sz w:val="24"/>
          <w:szCs w:val="24"/>
        </w:rPr>
        <w:t>p</w:t>
      </w:r>
      <w:r w:rsidRPr="00B17C11">
        <w:rPr>
          <w:rFonts w:ascii="Arial" w:hAnsi="Arial" w:cs="Arial"/>
          <w:sz w:val="24"/>
          <w:szCs w:val="24"/>
        </w:rPr>
        <w:t xml:space="preserve">rivate </w:t>
      </w:r>
      <w:r w:rsidR="0035451E" w:rsidRPr="00B17C11">
        <w:rPr>
          <w:rFonts w:ascii="Arial" w:hAnsi="Arial" w:cs="Arial"/>
          <w:sz w:val="24"/>
          <w:szCs w:val="24"/>
        </w:rPr>
        <w:t>l</w:t>
      </w:r>
      <w:r w:rsidRPr="00B17C11">
        <w:rPr>
          <w:rFonts w:ascii="Arial" w:hAnsi="Arial" w:cs="Arial"/>
          <w:sz w:val="24"/>
          <w:szCs w:val="24"/>
        </w:rPr>
        <w:t xml:space="preserve">aw was divided into </w:t>
      </w:r>
      <w:r w:rsidR="00301FB2" w:rsidRPr="00B17C11">
        <w:rPr>
          <w:rFonts w:ascii="Arial" w:hAnsi="Arial" w:cs="Arial"/>
          <w:sz w:val="24"/>
          <w:szCs w:val="24"/>
        </w:rPr>
        <w:t>three</w:t>
      </w:r>
      <w:r w:rsidRPr="00B17C11">
        <w:rPr>
          <w:rFonts w:ascii="Arial" w:hAnsi="Arial" w:cs="Arial"/>
          <w:sz w:val="24"/>
          <w:szCs w:val="24"/>
        </w:rPr>
        <w:t xml:space="preserve"> categories</w:t>
      </w:r>
      <w:r w:rsidR="00301FB2" w:rsidRPr="00B17C11">
        <w:rPr>
          <w:rFonts w:ascii="Arial" w:hAnsi="Arial" w:cs="Arial"/>
          <w:sz w:val="24"/>
          <w:szCs w:val="24"/>
        </w:rPr>
        <w:t>,</w:t>
      </w:r>
      <w:r w:rsidRPr="00B17C11">
        <w:rPr>
          <w:rFonts w:ascii="Arial" w:hAnsi="Arial" w:cs="Arial"/>
          <w:sz w:val="24"/>
          <w:szCs w:val="24"/>
        </w:rPr>
        <w:t xml:space="preserve"> namely, the law of things, the law of persons, and the law of actions.</w:t>
      </w:r>
      <w:r w:rsidRPr="00B17C11">
        <w:rPr>
          <w:rStyle w:val="FootnoteReference"/>
          <w:rFonts w:ascii="Arial" w:hAnsi="Arial" w:cs="Arial"/>
          <w:sz w:val="24"/>
          <w:szCs w:val="24"/>
        </w:rPr>
        <w:footnoteReference w:id="190"/>
      </w:r>
      <w:r w:rsidRPr="00B17C11">
        <w:rPr>
          <w:rFonts w:ascii="Arial" w:hAnsi="Arial" w:cs="Arial"/>
          <w:sz w:val="24"/>
          <w:szCs w:val="24"/>
        </w:rPr>
        <w:t xml:space="preserve"> Private law recognised and classified everything other than persons and actions as ‘things’.</w:t>
      </w:r>
      <w:r w:rsidRPr="00B17C11">
        <w:rPr>
          <w:rStyle w:val="FootnoteReference"/>
          <w:rFonts w:ascii="Arial" w:hAnsi="Arial" w:cs="Arial"/>
          <w:sz w:val="24"/>
          <w:szCs w:val="24"/>
        </w:rPr>
        <w:footnoteReference w:id="191"/>
      </w:r>
      <w:r w:rsidRPr="00B17C11">
        <w:rPr>
          <w:rFonts w:ascii="Arial" w:hAnsi="Arial" w:cs="Arial"/>
          <w:sz w:val="24"/>
          <w:szCs w:val="24"/>
        </w:rPr>
        <w:t xml:space="preserve"> The concept of things was widely interpreted to encompass everything that could form part of a person’s property, be the object of a right, and all that can be assessed in monetary value.</w:t>
      </w:r>
      <w:r w:rsidRPr="00B17C11">
        <w:rPr>
          <w:rStyle w:val="FootnoteReference"/>
          <w:rFonts w:ascii="Arial" w:hAnsi="Arial" w:cs="Arial"/>
          <w:sz w:val="24"/>
          <w:szCs w:val="24"/>
        </w:rPr>
        <w:footnoteReference w:id="192"/>
      </w:r>
      <w:r w:rsidRPr="00B17C11">
        <w:rPr>
          <w:rFonts w:ascii="Arial" w:hAnsi="Arial" w:cs="Arial"/>
          <w:sz w:val="24"/>
          <w:szCs w:val="24"/>
        </w:rPr>
        <w:t xml:space="preserve"> Incorporeal objects were also regarded as things in the legal sense.</w:t>
      </w:r>
      <w:r w:rsidRPr="00B17C11">
        <w:rPr>
          <w:rStyle w:val="FootnoteReference"/>
          <w:rFonts w:ascii="Arial" w:hAnsi="Arial" w:cs="Arial"/>
          <w:sz w:val="24"/>
          <w:szCs w:val="24"/>
        </w:rPr>
        <w:footnoteReference w:id="193"/>
      </w:r>
    </w:p>
    <w:p w14:paraId="76B762CD" w14:textId="163975EC" w:rsidR="00C72D03" w:rsidRPr="00AA2E35" w:rsidRDefault="00C72D03" w:rsidP="00C72D03">
      <w:pPr>
        <w:spacing w:line="360" w:lineRule="auto"/>
        <w:jc w:val="both"/>
        <w:rPr>
          <w:rFonts w:ascii="Arial" w:hAnsi="Arial" w:cs="Arial"/>
          <w:color w:val="000000" w:themeColor="text1"/>
          <w:sz w:val="24"/>
          <w:szCs w:val="24"/>
          <w:shd w:val="clear" w:color="auto" w:fill="FFFFFF"/>
        </w:rPr>
      </w:pPr>
      <w:r w:rsidRPr="00B17C11">
        <w:rPr>
          <w:rFonts w:ascii="Arial" w:hAnsi="Arial" w:cs="Arial"/>
          <w:sz w:val="24"/>
          <w:szCs w:val="24"/>
        </w:rPr>
        <w:t xml:space="preserve">The recognition of </w:t>
      </w:r>
      <w:proofErr w:type="spellStart"/>
      <w:r w:rsidRPr="00B17C11">
        <w:rPr>
          <w:rFonts w:ascii="Arial" w:hAnsi="Arial" w:cs="Arial"/>
          <w:sz w:val="24"/>
          <w:szCs w:val="24"/>
        </w:rPr>
        <w:t>incorporeals</w:t>
      </w:r>
      <w:proofErr w:type="spellEnd"/>
      <w:r w:rsidRPr="00B17C11">
        <w:rPr>
          <w:rFonts w:ascii="Arial" w:hAnsi="Arial" w:cs="Arial"/>
          <w:sz w:val="24"/>
          <w:szCs w:val="24"/>
        </w:rPr>
        <w:t xml:space="preserve"> led to what is known as </w:t>
      </w:r>
      <w:r w:rsidRPr="00B17C11">
        <w:rPr>
          <w:rFonts w:ascii="Arial" w:hAnsi="Arial" w:cs="Arial"/>
          <w:i/>
          <w:iCs/>
          <w:sz w:val="24"/>
          <w:szCs w:val="24"/>
        </w:rPr>
        <w:t>quasi</w:t>
      </w:r>
      <w:r w:rsidRPr="00B17C11">
        <w:rPr>
          <w:rFonts w:ascii="Arial" w:hAnsi="Arial" w:cs="Arial"/>
          <w:sz w:val="24"/>
          <w:szCs w:val="24"/>
        </w:rPr>
        <w:t>-possession.</w:t>
      </w:r>
      <w:r w:rsidRPr="00B17C11">
        <w:rPr>
          <w:rStyle w:val="FootnoteReference"/>
          <w:rFonts w:ascii="Arial" w:hAnsi="Arial" w:cs="Arial"/>
          <w:sz w:val="24"/>
          <w:szCs w:val="24"/>
        </w:rPr>
        <w:footnoteReference w:id="194"/>
      </w:r>
      <w:r w:rsidRPr="00B17C11">
        <w:rPr>
          <w:rFonts w:ascii="Arial" w:hAnsi="Arial" w:cs="Arial"/>
          <w:sz w:val="24"/>
          <w:szCs w:val="24"/>
        </w:rPr>
        <w:t xml:space="preserve"> In the same way that possession could apply to things capable of actual physical ownership, </w:t>
      </w:r>
      <w:r w:rsidRPr="00AA2E35">
        <w:rPr>
          <w:rFonts w:ascii="Arial" w:hAnsi="Arial" w:cs="Arial"/>
          <w:i/>
          <w:iCs/>
          <w:color w:val="000000" w:themeColor="text1"/>
          <w:sz w:val="24"/>
          <w:szCs w:val="24"/>
        </w:rPr>
        <w:lastRenderedPageBreak/>
        <w:t>quasi</w:t>
      </w:r>
      <w:r w:rsidRPr="00AA2E35">
        <w:rPr>
          <w:rFonts w:ascii="Arial" w:hAnsi="Arial" w:cs="Arial"/>
          <w:color w:val="000000" w:themeColor="text1"/>
          <w:sz w:val="24"/>
          <w:szCs w:val="24"/>
        </w:rPr>
        <w:t>-possession could apply to rights in things.</w:t>
      </w:r>
      <w:r w:rsidRPr="00AA2E35">
        <w:rPr>
          <w:rStyle w:val="FootnoteReference"/>
          <w:color w:val="000000" w:themeColor="text1"/>
        </w:rPr>
        <w:footnoteReference w:id="195"/>
      </w:r>
      <w:r w:rsidRPr="00AA2E35">
        <w:rPr>
          <w:rFonts w:ascii="Arial" w:hAnsi="Arial" w:cs="Arial"/>
          <w:color w:val="000000" w:themeColor="text1"/>
          <w:sz w:val="24"/>
          <w:szCs w:val="24"/>
        </w:rPr>
        <w:t xml:space="preserve"> In other words, possession implies the detention or enjoyment of a corporeal thing that a person holds or exercises</w:t>
      </w:r>
      <w:r w:rsidR="00A70F0F" w:rsidRPr="00AA2E35">
        <w:rPr>
          <w:rFonts w:ascii="Arial" w:hAnsi="Arial" w:cs="Arial"/>
          <w:color w:val="000000" w:themeColor="text1"/>
          <w:sz w:val="24"/>
          <w:szCs w:val="24"/>
        </w:rPr>
        <w:t xml:space="preserve"> control over</w:t>
      </w:r>
      <w:r w:rsidRPr="00AA2E35">
        <w:rPr>
          <w:rFonts w:ascii="Arial" w:hAnsi="Arial" w:cs="Arial"/>
          <w:color w:val="000000" w:themeColor="text1"/>
          <w:sz w:val="24"/>
          <w:szCs w:val="24"/>
        </w:rPr>
        <w:t xml:space="preserve"> for </w:t>
      </w:r>
      <w:r w:rsidRPr="00AA2E35">
        <w:rPr>
          <w:rFonts w:ascii="Arial" w:hAnsi="Arial" w:cs="Arial"/>
          <w:color w:val="000000" w:themeColor="text1"/>
          <w:sz w:val="24"/>
          <w:szCs w:val="24"/>
          <w:shd w:val="clear" w:color="auto" w:fill="FFFFFF"/>
        </w:rPr>
        <w:t>h</w:t>
      </w:r>
      <w:r w:rsidRPr="00AA2E35">
        <w:rPr>
          <w:rFonts w:ascii="Arial" w:hAnsi="Arial" w:cs="Arial"/>
          <w:color w:val="000000" w:themeColor="text1"/>
          <w:sz w:val="24"/>
          <w:szCs w:val="24"/>
        </w:rPr>
        <w:t>imself or on behalf of another person</w:t>
      </w:r>
      <w:r w:rsidR="00301FB2" w:rsidRPr="00AA2E35">
        <w:rPr>
          <w:rFonts w:ascii="Arial" w:hAnsi="Arial" w:cs="Arial"/>
          <w:color w:val="000000" w:themeColor="text1"/>
          <w:sz w:val="24"/>
          <w:szCs w:val="24"/>
        </w:rPr>
        <w:t>. In contrast,</w:t>
      </w:r>
      <w:r w:rsidRPr="00AA2E35">
        <w:rPr>
          <w:rFonts w:ascii="Arial" w:hAnsi="Arial" w:cs="Arial"/>
          <w:color w:val="000000" w:themeColor="text1"/>
          <w:sz w:val="24"/>
          <w:szCs w:val="24"/>
        </w:rPr>
        <w:t xml:space="preserve"> </w:t>
      </w:r>
      <w:r w:rsidRPr="00AA2E35">
        <w:rPr>
          <w:rFonts w:ascii="Arial" w:hAnsi="Arial" w:cs="Arial"/>
          <w:i/>
          <w:iCs/>
          <w:color w:val="000000" w:themeColor="text1"/>
          <w:sz w:val="24"/>
          <w:szCs w:val="24"/>
        </w:rPr>
        <w:t>quasi</w:t>
      </w:r>
      <w:r w:rsidRPr="00AA2E35">
        <w:rPr>
          <w:rFonts w:ascii="Arial" w:hAnsi="Arial" w:cs="Arial"/>
          <w:color w:val="000000" w:themeColor="text1"/>
          <w:sz w:val="24"/>
          <w:szCs w:val="24"/>
        </w:rPr>
        <w:t xml:space="preserve">-possession implies a similar exercise in relation to an incorporeal object or a real right such as a servitude. By analogy, the rules governing possession equally apply to the </w:t>
      </w:r>
      <w:r w:rsidRPr="00AA2E35">
        <w:rPr>
          <w:rFonts w:ascii="Arial" w:hAnsi="Arial" w:cs="Arial"/>
          <w:i/>
          <w:iCs/>
          <w:color w:val="000000" w:themeColor="text1"/>
          <w:sz w:val="24"/>
          <w:szCs w:val="24"/>
        </w:rPr>
        <w:t>quasi</w:t>
      </w:r>
      <w:r w:rsidRPr="00AA2E35">
        <w:rPr>
          <w:rFonts w:ascii="Arial" w:hAnsi="Arial" w:cs="Arial"/>
          <w:color w:val="000000" w:themeColor="text1"/>
          <w:sz w:val="24"/>
          <w:szCs w:val="24"/>
        </w:rPr>
        <w:t xml:space="preserve">-possession of </w:t>
      </w:r>
      <w:proofErr w:type="spellStart"/>
      <w:r w:rsidRPr="00AA2E35">
        <w:rPr>
          <w:rFonts w:ascii="Arial" w:hAnsi="Arial" w:cs="Arial"/>
          <w:color w:val="000000" w:themeColor="text1"/>
          <w:sz w:val="24"/>
          <w:szCs w:val="24"/>
        </w:rPr>
        <w:t>incorporeals</w:t>
      </w:r>
      <w:proofErr w:type="spellEnd"/>
      <w:r w:rsidRPr="00AA2E35">
        <w:rPr>
          <w:color w:val="000000" w:themeColor="text1"/>
        </w:rPr>
        <w:t>.</w:t>
      </w:r>
      <w:r w:rsidRPr="00AA2E35">
        <w:rPr>
          <w:rStyle w:val="FootnoteReference"/>
          <w:color w:val="000000" w:themeColor="text1"/>
        </w:rPr>
        <w:footnoteReference w:id="196"/>
      </w:r>
    </w:p>
    <w:p w14:paraId="745656A5" w14:textId="0A13F633" w:rsidR="00C72D03" w:rsidRPr="00AA2E35" w:rsidRDefault="00C72D03" w:rsidP="00C72D03">
      <w:pPr>
        <w:spacing w:line="360" w:lineRule="auto"/>
        <w:jc w:val="both"/>
        <w:rPr>
          <w:rFonts w:ascii="Arial" w:hAnsi="Arial" w:cs="Arial"/>
          <w:color w:val="000000" w:themeColor="text1"/>
          <w:sz w:val="24"/>
          <w:szCs w:val="24"/>
          <w:shd w:val="clear" w:color="auto" w:fill="FFFFFF"/>
        </w:rPr>
      </w:pPr>
      <w:r w:rsidRPr="00AA2E35">
        <w:rPr>
          <w:rFonts w:ascii="Arial" w:hAnsi="Arial" w:cs="Arial"/>
          <w:color w:val="000000" w:themeColor="text1"/>
          <w:sz w:val="24"/>
          <w:szCs w:val="24"/>
          <w:shd w:val="clear" w:color="auto" w:fill="FFFFFF"/>
        </w:rPr>
        <w:t xml:space="preserve">The concept of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 xml:space="preserve">-possession of </w:t>
      </w:r>
      <w:proofErr w:type="spellStart"/>
      <w:r w:rsidRPr="00AA2E35">
        <w:rPr>
          <w:rFonts w:ascii="Arial" w:hAnsi="Arial" w:cs="Arial"/>
          <w:color w:val="000000" w:themeColor="text1"/>
          <w:sz w:val="24"/>
          <w:szCs w:val="24"/>
          <w:shd w:val="clear" w:color="auto" w:fill="FFFFFF"/>
        </w:rPr>
        <w:t>incoporeals</w:t>
      </w:r>
      <w:proofErr w:type="spellEnd"/>
      <w:r w:rsidRPr="00AA2E35">
        <w:rPr>
          <w:rFonts w:ascii="Arial" w:hAnsi="Arial" w:cs="Arial"/>
          <w:color w:val="000000" w:themeColor="text1"/>
          <w:sz w:val="24"/>
          <w:szCs w:val="24"/>
          <w:shd w:val="clear" w:color="auto" w:fill="FFFFFF"/>
        </w:rPr>
        <w:t xml:space="preserve"> was known in Roman-Dutch law yet applied in a somewhat peculiar manner to spoliation.</w:t>
      </w:r>
      <w:r w:rsidRPr="00AA2E35">
        <w:rPr>
          <w:rStyle w:val="FootnoteReference"/>
          <w:rFonts w:ascii="Arial" w:hAnsi="Arial" w:cs="Arial"/>
          <w:color w:val="000000" w:themeColor="text1"/>
          <w:sz w:val="24"/>
          <w:szCs w:val="24"/>
          <w:shd w:val="clear" w:color="auto" w:fill="FFFFFF"/>
        </w:rPr>
        <w:footnoteReference w:id="197"/>
      </w:r>
      <w:r w:rsidRPr="00AA2E35">
        <w:rPr>
          <w:rFonts w:ascii="Arial" w:hAnsi="Arial" w:cs="Arial"/>
          <w:color w:val="000000" w:themeColor="text1"/>
          <w:sz w:val="24"/>
          <w:szCs w:val="24"/>
          <w:shd w:val="clear" w:color="auto" w:fill="FFFFFF"/>
        </w:rPr>
        <w:t xml:space="preserve"> In South African law, the judgment of the court in </w:t>
      </w:r>
      <w:r w:rsidRPr="00AA2E35">
        <w:rPr>
          <w:rFonts w:ascii="Arial" w:hAnsi="Arial" w:cs="Arial"/>
          <w:i/>
          <w:iCs/>
          <w:color w:val="000000" w:themeColor="text1"/>
          <w:sz w:val="24"/>
          <w:szCs w:val="24"/>
          <w:shd w:val="clear" w:color="auto" w:fill="FFFFFF"/>
        </w:rPr>
        <w:t>Nino Bonino v De Lange</w:t>
      </w:r>
      <w:r w:rsidRPr="00AA2E35">
        <w:rPr>
          <w:rFonts w:ascii="Arial" w:hAnsi="Arial" w:cs="Arial"/>
          <w:color w:val="000000" w:themeColor="text1"/>
          <w:sz w:val="24"/>
          <w:szCs w:val="24"/>
          <w:shd w:val="clear" w:color="auto" w:fill="FFFFFF"/>
        </w:rPr>
        <w:t xml:space="preserve"> is cited as authority for the assertion that the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 xml:space="preserve">-possession of </w:t>
      </w:r>
      <w:proofErr w:type="spellStart"/>
      <w:r w:rsidRPr="00AA2E35">
        <w:rPr>
          <w:rFonts w:ascii="Arial" w:hAnsi="Arial" w:cs="Arial"/>
          <w:color w:val="000000" w:themeColor="text1"/>
          <w:sz w:val="24"/>
          <w:szCs w:val="24"/>
          <w:shd w:val="clear" w:color="auto" w:fill="FFFFFF"/>
        </w:rPr>
        <w:t>incorporeals</w:t>
      </w:r>
      <w:proofErr w:type="spellEnd"/>
      <w:r w:rsidRPr="00AA2E35">
        <w:rPr>
          <w:rFonts w:ascii="Arial" w:hAnsi="Arial" w:cs="Arial"/>
          <w:color w:val="000000" w:themeColor="text1"/>
          <w:sz w:val="24"/>
          <w:szCs w:val="24"/>
          <w:shd w:val="clear" w:color="auto" w:fill="FFFFFF"/>
        </w:rPr>
        <w:t xml:space="preserve"> is protected against spoliation.</w:t>
      </w:r>
      <w:r w:rsidRPr="00AA2E35">
        <w:rPr>
          <w:rStyle w:val="FootnoteReference"/>
          <w:rFonts w:ascii="Arial" w:hAnsi="Arial" w:cs="Arial"/>
          <w:color w:val="000000" w:themeColor="text1"/>
          <w:sz w:val="24"/>
          <w:szCs w:val="24"/>
          <w:shd w:val="clear" w:color="auto" w:fill="FFFFFF"/>
        </w:rPr>
        <w:footnoteReference w:id="198"/>
      </w:r>
      <w:r w:rsidRPr="00AA2E35">
        <w:rPr>
          <w:rFonts w:ascii="Arial" w:hAnsi="Arial" w:cs="Arial"/>
          <w:color w:val="000000" w:themeColor="text1"/>
          <w:sz w:val="24"/>
          <w:szCs w:val="24"/>
          <w:shd w:val="clear" w:color="auto" w:fill="FFFFFF"/>
        </w:rPr>
        <w:t xml:space="preserve"> This concept was adopted in South African law by Barry AJ in </w:t>
      </w:r>
      <w:r w:rsidRPr="00AA2E35">
        <w:rPr>
          <w:rFonts w:ascii="Arial" w:hAnsi="Arial" w:cs="Arial"/>
          <w:i/>
          <w:color w:val="000000" w:themeColor="text1"/>
          <w:sz w:val="24"/>
          <w:szCs w:val="24"/>
          <w:shd w:val="clear" w:color="auto" w:fill="FFFFFF"/>
        </w:rPr>
        <w:t>Pretorius and Another v Pretorius</w:t>
      </w:r>
      <w:r w:rsidRPr="00AA2E35">
        <w:rPr>
          <w:rFonts w:ascii="Arial" w:hAnsi="Arial" w:cs="Arial"/>
          <w:color w:val="000000" w:themeColor="text1"/>
          <w:sz w:val="24"/>
          <w:szCs w:val="24"/>
          <w:shd w:val="clear" w:color="auto" w:fill="FFFFFF"/>
        </w:rPr>
        <w:t>.</w:t>
      </w:r>
      <w:r w:rsidRPr="00AA2E35">
        <w:rPr>
          <w:rStyle w:val="FootnoteReference"/>
          <w:rFonts w:ascii="Arial" w:hAnsi="Arial" w:cs="Arial"/>
          <w:color w:val="000000" w:themeColor="text1"/>
          <w:sz w:val="24"/>
          <w:szCs w:val="24"/>
          <w:shd w:val="clear" w:color="auto" w:fill="FFFFFF"/>
        </w:rPr>
        <w:footnoteReference w:id="199"/>
      </w:r>
      <w:r w:rsidRPr="00AA2E35">
        <w:rPr>
          <w:rFonts w:ascii="Arial" w:hAnsi="Arial" w:cs="Arial"/>
          <w:color w:val="000000" w:themeColor="text1"/>
          <w:sz w:val="24"/>
          <w:szCs w:val="24"/>
          <w:shd w:val="clear" w:color="auto" w:fill="FFFFFF"/>
        </w:rPr>
        <w:t xml:space="preserve"> In his judgment, he cited with approval the text of Voet where, in extending the applicability of interdicts to </w:t>
      </w:r>
      <w:proofErr w:type="spellStart"/>
      <w:r w:rsidRPr="00AA2E35">
        <w:rPr>
          <w:rFonts w:ascii="Arial" w:hAnsi="Arial" w:cs="Arial"/>
          <w:color w:val="000000" w:themeColor="text1"/>
          <w:sz w:val="24"/>
          <w:szCs w:val="24"/>
          <w:shd w:val="clear" w:color="auto" w:fill="FFFFFF"/>
        </w:rPr>
        <w:t>incorporeals</w:t>
      </w:r>
      <w:proofErr w:type="spellEnd"/>
      <w:r w:rsidRPr="00AA2E35">
        <w:rPr>
          <w:rFonts w:ascii="Arial" w:hAnsi="Arial" w:cs="Arial"/>
          <w:color w:val="000000" w:themeColor="text1"/>
          <w:sz w:val="24"/>
          <w:szCs w:val="24"/>
          <w:shd w:val="clear" w:color="auto" w:fill="FFFFFF"/>
        </w:rPr>
        <w:t>, he demonstrated that the physical fact of occupation is present in</w:t>
      </w:r>
      <w:r w:rsidR="00A70F0F" w:rsidRPr="00AA2E35">
        <w:rPr>
          <w:rFonts w:ascii="Arial" w:hAnsi="Arial" w:cs="Arial"/>
          <w:color w:val="000000" w:themeColor="text1"/>
          <w:sz w:val="24"/>
          <w:szCs w:val="24"/>
          <w:shd w:val="clear" w:color="auto" w:fill="FFFFFF"/>
        </w:rPr>
        <w:t xml:space="preserve"> the</w:t>
      </w:r>
      <w:r w:rsidRPr="00AA2E35">
        <w:rPr>
          <w:rFonts w:ascii="Arial" w:hAnsi="Arial" w:cs="Arial"/>
          <w:color w:val="000000" w:themeColor="text1"/>
          <w:sz w:val="24"/>
          <w:szCs w:val="24"/>
          <w:shd w:val="clear" w:color="auto" w:fill="FFFFFF"/>
        </w:rPr>
        <w:t xml:space="preserve"> servitudes of usufruct and use.</w:t>
      </w:r>
      <w:r w:rsidRPr="00AA2E35">
        <w:rPr>
          <w:rStyle w:val="FootnoteReference"/>
          <w:rFonts w:ascii="Arial" w:hAnsi="Arial" w:cs="Arial"/>
          <w:color w:val="000000" w:themeColor="text1"/>
          <w:sz w:val="24"/>
          <w:szCs w:val="24"/>
          <w:shd w:val="clear" w:color="auto" w:fill="FFFFFF"/>
        </w:rPr>
        <w:footnoteReference w:id="200"/>
      </w:r>
      <w:r w:rsidRPr="00AA2E35">
        <w:rPr>
          <w:rFonts w:ascii="Arial" w:hAnsi="Arial" w:cs="Arial"/>
          <w:color w:val="000000" w:themeColor="text1"/>
          <w:sz w:val="24"/>
          <w:szCs w:val="24"/>
          <w:shd w:val="clear" w:color="auto" w:fill="FFFFFF"/>
        </w:rPr>
        <w:t xml:space="preserve"> As a consequence, this enabled him to extend interdicts to praedial servitudes such as a right of way because while a person cannot be said to be in actual physical possession</w:t>
      </w:r>
      <w:r w:rsidR="00814DA1" w:rsidRPr="00AA2E35">
        <w:rPr>
          <w:rFonts w:ascii="Arial" w:hAnsi="Arial" w:cs="Arial"/>
          <w:color w:val="000000" w:themeColor="text1"/>
          <w:sz w:val="24"/>
          <w:szCs w:val="24"/>
          <w:shd w:val="clear" w:color="auto" w:fill="FFFFFF"/>
        </w:rPr>
        <w:t xml:space="preserve"> thereof</w:t>
      </w:r>
      <w:r w:rsidRPr="00AA2E35">
        <w:rPr>
          <w:rFonts w:ascii="Arial" w:hAnsi="Arial" w:cs="Arial"/>
          <w:color w:val="000000" w:themeColor="text1"/>
          <w:sz w:val="24"/>
          <w:szCs w:val="24"/>
          <w:shd w:val="clear" w:color="auto" w:fill="FFFFFF"/>
        </w:rPr>
        <w:t xml:space="preserve">, he has in law the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-possession in the same way as in the case of usufruct.</w:t>
      </w:r>
      <w:r w:rsidRPr="00AA2E35">
        <w:rPr>
          <w:rStyle w:val="FootnoteReference"/>
          <w:rFonts w:ascii="Arial" w:hAnsi="Arial" w:cs="Arial"/>
          <w:color w:val="000000" w:themeColor="text1"/>
          <w:sz w:val="24"/>
          <w:szCs w:val="24"/>
          <w:shd w:val="clear" w:color="auto" w:fill="FFFFFF"/>
        </w:rPr>
        <w:footnoteReference w:id="201"/>
      </w:r>
    </w:p>
    <w:p w14:paraId="2F46E1AB" w14:textId="27972CDB" w:rsidR="00C72D03" w:rsidRPr="00AA2E35" w:rsidRDefault="00C72D03" w:rsidP="00C72D03">
      <w:pPr>
        <w:spacing w:line="360" w:lineRule="auto"/>
        <w:jc w:val="both"/>
        <w:rPr>
          <w:rFonts w:ascii="Arial" w:hAnsi="Arial" w:cs="Arial"/>
          <w:color w:val="000000" w:themeColor="text1"/>
          <w:sz w:val="24"/>
          <w:szCs w:val="24"/>
          <w:shd w:val="clear" w:color="auto" w:fill="FFFFFF"/>
        </w:rPr>
      </w:pPr>
      <w:r w:rsidRPr="00AA2E35">
        <w:rPr>
          <w:rFonts w:ascii="Arial" w:hAnsi="Arial" w:cs="Arial"/>
          <w:color w:val="000000" w:themeColor="text1"/>
          <w:sz w:val="24"/>
          <w:szCs w:val="24"/>
          <w:shd w:val="clear" w:color="auto" w:fill="FFFFFF"/>
        </w:rPr>
        <w:t xml:space="preserve">Soon after the </w:t>
      </w:r>
      <w:r w:rsidRPr="00AA2E35">
        <w:rPr>
          <w:rFonts w:ascii="Arial" w:hAnsi="Arial" w:cs="Arial"/>
          <w:i/>
          <w:iCs/>
          <w:color w:val="000000" w:themeColor="text1"/>
          <w:sz w:val="24"/>
          <w:szCs w:val="24"/>
          <w:shd w:val="clear" w:color="auto" w:fill="FFFFFF"/>
        </w:rPr>
        <w:t>Pretorius</w:t>
      </w:r>
      <w:r w:rsidRPr="00AA2E35">
        <w:rPr>
          <w:rFonts w:ascii="Arial" w:hAnsi="Arial" w:cs="Arial"/>
          <w:color w:val="000000" w:themeColor="text1"/>
          <w:sz w:val="24"/>
          <w:szCs w:val="24"/>
          <w:shd w:val="clear" w:color="auto" w:fill="FFFFFF"/>
        </w:rPr>
        <w:t xml:space="preserve"> judgment, the concept of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 xml:space="preserve">-possession was firmly grounded in South African law. It was furthermore accepted that the spoliation remedy equally applies to cases of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 xml:space="preserve">-possession of all incorporeal rights. This was confirmed in </w:t>
      </w:r>
      <w:r w:rsidRPr="00AA2E35">
        <w:rPr>
          <w:rFonts w:ascii="Arial" w:hAnsi="Arial" w:cs="Arial"/>
          <w:i/>
          <w:color w:val="000000" w:themeColor="text1"/>
          <w:sz w:val="24"/>
          <w:szCs w:val="24"/>
          <w:shd w:val="clear" w:color="auto" w:fill="FFFFFF"/>
        </w:rPr>
        <w:t>Nienaber v Stuckey</w:t>
      </w:r>
      <w:r w:rsidRPr="00AA2E35">
        <w:rPr>
          <w:rFonts w:ascii="Arial" w:hAnsi="Arial" w:cs="Arial"/>
          <w:color w:val="000000" w:themeColor="text1"/>
          <w:sz w:val="24"/>
          <w:szCs w:val="24"/>
          <w:shd w:val="clear" w:color="auto" w:fill="FFFFFF"/>
        </w:rPr>
        <w:t xml:space="preserve"> when Greenberg JA held that the spoliation remedy is available to persons deprived of incorporeal rights.</w:t>
      </w:r>
      <w:r w:rsidRPr="00AA2E35">
        <w:rPr>
          <w:rStyle w:val="FootnoteReference"/>
          <w:rFonts w:ascii="Arial" w:hAnsi="Arial" w:cs="Arial"/>
          <w:color w:val="000000" w:themeColor="text1"/>
          <w:sz w:val="24"/>
          <w:szCs w:val="24"/>
          <w:shd w:val="clear" w:color="auto" w:fill="FFFFFF"/>
        </w:rPr>
        <w:footnoteReference w:id="202"/>
      </w:r>
      <w:r w:rsidRPr="00AA2E35">
        <w:rPr>
          <w:rFonts w:ascii="Arial" w:hAnsi="Arial" w:cs="Arial"/>
          <w:color w:val="000000" w:themeColor="text1"/>
          <w:sz w:val="24"/>
          <w:szCs w:val="24"/>
          <w:shd w:val="clear" w:color="auto" w:fill="FFFFFF"/>
        </w:rPr>
        <w:t xml:space="preserve"> In other words, the spoliation </w:t>
      </w:r>
      <w:r w:rsidRPr="00AA2E35">
        <w:rPr>
          <w:rFonts w:ascii="Arial" w:hAnsi="Arial" w:cs="Arial"/>
          <w:color w:val="000000" w:themeColor="text1"/>
          <w:sz w:val="24"/>
          <w:szCs w:val="24"/>
          <w:shd w:val="clear" w:color="auto" w:fill="FFFFFF"/>
        </w:rPr>
        <w:lastRenderedPageBreak/>
        <w:t xml:space="preserve">remedy was also granted to protect the </w:t>
      </w:r>
      <w:r w:rsidRPr="00AA2E35">
        <w:rPr>
          <w:rFonts w:ascii="Arial" w:hAnsi="Arial" w:cs="Arial"/>
          <w:i/>
          <w:iCs/>
          <w:color w:val="000000" w:themeColor="text1"/>
          <w:sz w:val="24"/>
          <w:szCs w:val="24"/>
          <w:shd w:val="clear" w:color="auto" w:fill="FFFFFF"/>
        </w:rPr>
        <w:t>quasi</w:t>
      </w:r>
      <w:r w:rsidRPr="00AA2E35">
        <w:rPr>
          <w:rFonts w:ascii="Arial" w:hAnsi="Arial" w:cs="Arial"/>
          <w:color w:val="000000" w:themeColor="text1"/>
          <w:sz w:val="24"/>
          <w:szCs w:val="24"/>
          <w:shd w:val="clear" w:color="auto" w:fill="FFFFFF"/>
        </w:rPr>
        <w:t xml:space="preserve">-possession of incorporeal rights other than </w:t>
      </w:r>
      <w:proofErr w:type="spellStart"/>
      <w:r w:rsidRPr="00AA2E35">
        <w:rPr>
          <w:rFonts w:ascii="Arial" w:hAnsi="Arial" w:cs="Arial"/>
          <w:color w:val="000000" w:themeColor="text1"/>
          <w:sz w:val="24"/>
          <w:szCs w:val="24"/>
          <w:shd w:val="clear" w:color="auto" w:fill="FFFFFF"/>
        </w:rPr>
        <w:t>servitutal</w:t>
      </w:r>
      <w:proofErr w:type="spellEnd"/>
      <w:r w:rsidRPr="00AA2E35">
        <w:rPr>
          <w:rFonts w:ascii="Arial" w:hAnsi="Arial" w:cs="Arial"/>
          <w:color w:val="000000" w:themeColor="text1"/>
          <w:sz w:val="24"/>
          <w:szCs w:val="24"/>
          <w:shd w:val="clear" w:color="auto" w:fill="FFFFFF"/>
        </w:rPr>
        <w:t xml:space="preserve"> rights.</w:t>
      </w:r>
    </w:p>
    <w:p w14:paraId="4D4C1BFC" w14:textId="6DA08EE5" w:rsidR="00C72D03" w:rsidRPr="00B17C11" w:rsidRDefault="00C72D03" w:rsidP="00C72D03">
      <w:pPr>
        <w:spacing w:line="360" w:lineRule="auto"/>
        <w:jc w:val="both"/>
        <w:rPr>
          <w:rFonts w:ascii="Arial" w:hAnsi="Arial" w:cs="Arial"/>
          <w:sz w:val="24"/>
          <w:szCs w:val="24"/>
          <w:shd w:val="clear" w:color="auto" w:fill="FFFFFF"/>
        </w:rPr>
      </w:pPr>
      <w:r w:rsidRPr="00AA2E35">
        <w:rPr>
          <w:rFonts w:ascii="Arial" w:hAnsi="Arial" w:cs="Arial"/>
          <w:color w:val="000000" w:themeColor="text1"/>
          <w:sz w:val="24"/>
          <w:szCs w:val="24"/>
          <w:shd w:val="clear" w:color="auto" w:fill="FFFFFF"/>
        </w:rPr>
        <w:t xml:space="preserve">For instance, in </w:t>
      </w:r>
      <w:r w:rsidRPr="00AA2E35">
        <w:rPr>
          <w:rFonts w:ascii="Arial" w:hAnsi="Arial" w:cs="Arial"/>
          <w:i/>
          <w:color w:val="000000" w:themeColor="text1"/>
          <w:sz w:val="24"/>
          <w:szCs w:val="24"/>
          <w:shd w:val="clear" w:color="auto" w:fill="FFFFFF"/>
        </w:rPr>
        <w:t>Nisenbaum and Nisenbaum v Express Buildings (Pty) Ltd</w:t>
      </w:r>
      <w:r w:rsidR="00301FB2" w:rsidRPr="00AA2E35">
        <w:rPr>
          <w:rFonts w:ascii="Arial" w:hAnsi="Arial" w:cs="Arial"/>
          <w:i/>
          <w:color w:val="000000" w:themeColor="text1"/>
          <w:sz w:val="24"/>
          <w:szCs w:val="24"/>
          <w:shd w:val="clear" w:color="auto" w:fill="FFFFFF"/>
        </w:rPr>
        <w:t>,</w:t>
      </w:r>
      <w:r w:rsidRPr="00AA2E35">
        <w:rPr>
          <w:rFonts w:ascii="Arial" w:hAnsi="Arial" w:cs="Arial"/>
          <w:color w:val="000000" w:themeColor="text1"/>
          <w:sz w:val="24"/>
          <w:szCs w:val="24"/>
          <w:shd w:val="clear" w:color="auto" w:fill="FFFFFF"/>
        </w:rPr>
        <w:t xml:space="preserve"> the respondent was ordered to restore water to business premises leased by applicants.</w:t>
      </w:r>
      <w:r w:rsidRPr="00AA2E35">
        <w:rPr>
          <w:rStyle w:val="FootnoteReference"/>
          <w:rFonts w:ascii="Arial" w:hAnsi="Arial" w:cs="Arial"/>
          <w:color w:val="000000" w:themeColor="text1"/>
          <w:sz w:val="24"/>
          <w:szCs w:val="24"/>
          <w:shd w:val="clear" w:color="auto" w:fill="FFFFFF"/>
        </w:rPr>
        <w:footnoteReference w:id="203"/>
      </w:r>
      <w:r w:rsidRPr="00AA2E35">
        <w:rPr>
          <w:rFonts w:ascii="Arial" w:hAnsi="Arial" w:cs="Arial"/>
          <w:color w:val="000000" w:themeColor="text1"/>
          <w:sz w:val="24"/>
          <w:szCs w:val="24"/>
          <w:shd w:val="clear" w:color="auto" w:fill="FFFFFF"/>
        </w:rPr>
        <w:t xml:space="preserve"> In this case, the applicants were business partners who had entered into a lease agreement with the respondent (a company that erects and lets buildings) to occupy the second floor of the building to c</w:t>
      </w:r>
      <w:r w:rsidR="00814DA1" w:rsidRPr="00AA2E35">
        <w:rPr>
          <w:rFonts w:ascii="Arial" w:hAnsi="Arial" w:cs="Arial"/>
          <w:color w:val="000000" w:themeColor="text1"/>
          <w:sz w:val="24"/>
          <w:szCs w:val="24"/>
          <w:shd w:val="clear" w:color="auto" w:fill="FFFFFF"/>
        </w:rPr>
        <w:t>onduct</w:t>
      </w:r>
      <w:r w:rsidRPr="00AA2E35">
        <w:rPr>
          <w:rFonts w:ascii="Arial" w:hAnsi="Arial" w:cs="Arial"/>
          <w:color w:val="000000" w:themeColor="text1"/>
          <w:sz w:val="24"/>
          <w:szCs w:val="24"/>
          <w:shd w:val="clear" w:color="auto" w:fill="FFFFFF"/>
        </w:rPr>
        <w:t xml:space="preserve"> their business as clothing manufacturers.</w:t>
      </w:r>
      <w:r w:rsidRPr="00AA2E35">
        <w:rPr>
          <w:rStyle w:val="FootnoteReference"/>
          <w:rFonts w:ascii="Arial" w:hAnsi="Arial" w:cs="Arial"/>
          <w:color w:val="000000" w:themeColor="text1"/>
          <w:sz w:val="24"/>
          <w:szCs w:val="24"/>
          <w:shd w:val="clear" w:color="auto" w:fill="FFFFFF"/>
        </w:rPr>
        <w:footnoteReference w:id="204"/>
      </w:r>
      <w:r w:rsidRPr="00AA2E35">
        <w:rPr>
          <w:rFonts w:ascii="Arial" w:hAnsi="Arial" w:cs="Arial"/>
          <w:color w:val="000000" w:themeColor="text1"/>
          <w:sz w:val="24"/>
          <w:szCs w:val="24"/>
          <w:shd w:val="clear" w:color="auto" w:fill="FFFFFF"/>
        </w:rPr>
        <w:t xml:space="preserve"> Later, the respondent intended to demolish the existing building and erect a modern business and factory premises. The respondent personally met with the applicants and gave them a notice </w:t>
      </w:r>
      <w:r w:rsidRPr="00B17C11">
        <w:rPr>
          <w:rFonts w:ascii="Arial" w:hAnsi="Arial" w:cs="Arial"/>
          <w:sz w:val="24"/>
          <w:szCs w:val="24"/>
          <w:shd w:val="clear" w:color="auto" w:fill="FFFFFF"/>
        </w:rPr>
        <w:t>to vacate the premises within one year from the date of notice.</w:t>
      </w:r>
      <w:r w:rsidRPr="00B17C11">
        <w:rPr>
          <w:rStyle w:val="FootnoteReference"/>
          <w:rFonts w:ascii="Arial" w:hAnsi="Arial" w:cs="Arial"/>
          <w:sz w:val="24"/>
          <w:szCs w:val="24"/>
          <w:shd w:val="clear" w:color="auto" w:fill="FFFFFF"/>
        </w:rPr>
        <w:footnoteReference w:id="205"/>
      </w:r>
    </w:p>
    <w:p w14:paraId="7BDA7B98" w14:textId="3358D91C" w:rsidR="00C72D03" w:rsidRPr="00B17C11" w:rsidRDefault="00C72D03" w:rsidP="00C72D03">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In anticipation of the evacuation of the premises, the respondent began with clearing operations for excavation while </w:t>
      </w:r>
      <w:r w:rsidR="00814DA1" w:rsidRPr="00B17C11">
        <w:rPr>
          <w:rFonts w:ascii="Arial" w:hAnsi="Arial" w:cs="Arial"/>
          <w:sz w:val="24"/>
          <w:szCs w:val="24"/>
          <w:shd w:val="clear" w:color="auto" w:fill="FFFFFF"/>
        </w:rPr>
        <w:t xml:space="preserve">the </w:t>
      </w:r>
      <w:r w:rsidRPr="00B17C11">
        <w:rPr>
          <w:rFonts w:ascii="Arial" w:hAnsi="Arial" w:cs="Arial"/>
          <w:sz w:val="24"/>
          <w:szCs w:val="24"/>
          <w:shd w:val="clear" w:color="auto" w:fill="FFFFFF"/>
        </w:rPr>
        <w:t xml:space="preserve">applicants still had about </w:t>
      </w:r>
      <w:r w:rsidR="00301FB2" w:rsidRPr="00B17C11">
        <w:rPr>
          <w:rFonts w:ascii="Arial" w:hAnsi="Arial" w:cs="Arial"/>
          <w:sz w:val="24"/>
          <w:szCs w:val="24"/>
          <w:shd w:val="clear" w:color="auto" w:fill="FFFFFF"/>
        </w:rPr>
        <w:t>seven</w:t>
      </w:r>
      <w:r w:rsidRPr="00B17C11">
        <w:rPr>
          <w:rFonts w:ascii="Arial" w:hAnsi="Arial" w:cs="Arial"/>
          <w:sz w:val="24"/>
          <w:szCs w:val="24"/>
          <w:shd w:val="clear" w:color="auto" w:fill="FFFFFF"/>
        </w:rPr>
        <w:t xml:space="preserve"> months of tenancy. Regrettably, the excavation caused the ground to cave, almost resulting in the fire escape and the lavatory collapsing. Out of fear that the probable collapse might result in loss of life and bodily injury, the respondent was advised to demolish both the fire escape and the lavatory. As a result, the supply of water to the premises occupied by the applicants was negligently or unintentionally cut off, thereby causing great inconvenience to the applicant’s manufacturing business and other personal uses.</w:t>
      </w:r>
      <w:r w:rsidRPr="00B17C11">
        <w:rPr>
          <w:rStyle w:val="FootnoteReference"/>
          <w:rFonts w:ascii="Arial" w:hAnsi="Arial" w:cs="Arial"/>
          <w:sz w:val="24"/>
          <w:szCs w:val="24"/>
          <w:shd w:val="clear" w:color="auto" w:fill="FFFFFF"/>
        </w:rPr>
        <w:footnoteReference w:id="206"/>
      </w:r>
    </w:p>
    <w:p w14:paraId="07C46963" w14:textId="1ABF7762" w:rsidR="00C72D03" w:rsidRPr="00B17C11" w:rsidRDefault="00C72D03" w:rsidP="00C72D03">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Following this, the applicants requested the restoration of the fire escape, the lavatories, and the water supply. In consideration of this matter, De Villiers J stated that:</w:t>
      </w:r>
    </w:p>
    <w:p w14:paraId="150BB57D" w14:textId="429CEB85" w:rsidR="00C72D03" w:rsidRPr="00B17C11" w:rsidRDefault="00E8217F" w:rsidP="00C72D03">
      <w:pPr>
        <w:spacing w:line="240" w:lineRule="auto"/>
        <w:ind w:left="720" w:right="284"/>
        <w:jc w:val="both"/>
        <w:rPr>
          <w:rFonts w:ascii="Arial" w:hAnsi="Arial" w:cs="Arial"/>
          <w:sz w:val="20"/>
          <w:szCs w:val="20"/>
          <w:shd w:val="clear" w:color="auto" w:fill="FFFFFF"/>
        </w:rPr>
      </w:pPr>
      <w:r w:rsidRPr="00B17C11">
        <w:rPr>
          <w:rFonts w:ascii="Arial" w:hAnsi="Arial" w:cs="Arial"/>
          <w:sz w:val="20"/>
          <w:szCs w:val="20"/>
          <w:shd w:val="clear" w:color="auto" w:fill="FFFFFF"/>
        </w:rPr>
        <w:t>‘</w:t>
      </w:r>
      <w:r w:rsidR="00301FB2" w:rsidRPr="00B17C11">
        <w:rPr>
          <w:rFonts w:ascii="Arial" w:hAnsi="Arial" w:cs="Arial"/>
          <w:sz w:val="20"/>
          <w:szCs w:val="20"/>
          <w:shd w:val="clear" w:color="auto" w:fill="FFFFFF"/>
        </w:rPr>
        <w:t>W</w:t>
      </w:r>
      <w:r w:rsidR="00C72D03" w:rsidRPr="00B17C11">
        <w:rPr>
          <w:rFonts w:ascii="Arial" w:hAnsi="Arial" w:cs="Arial"/>
          <w:sz w:val="20"/>
          <w:szCs w:val="20"/>
          <w:shd w:val="clear" w:color="auto" w:fill="FFFFFF"/>
        </w:rPr>
        <w:t>here a landlord acts in a high-handed manner, removes a portion of the leased premises or breaks it down to build somewhere else, however difficult it may be and however expensive, the court might very well, in a case which would savour much more of spoliation than the present one, actually order the landlord to restore the building, and the court would put a very high standard on such performance as a mark of disapproval of the high-handed action of the landlord.</w:t>
      </w:r>
      <w:r w:rsidRPr="00B17C11">
        <w:rPr>
          <w:rFonts w:ascii="Arial" w:hAnsi="Arial" w:cs="Arial"/>
          <w:sz w:val="20"/>
          <w:szCs w:val="20"/>
          <w:shd w:val="clear" w:color="auto" w:fill="FFFFFF"/>
        </w:rPr>
        <w:t>’</w:t>
      </w:r>
      <w:r w:rsidR="00C72D03" w:rsidRPr="00B17C11">
        <w:rPr>
          <w:rStyle w:val="FootnoteReference"/>
          <w:rFonts w:ascii="Arial" w:hAnsi="Arial" w:cs="Arial"/>
          <w:sz w:val="20"/>
          <w:szCs w:val="20"/>
          <w:shd w:val="clear" w:color="auto" w:fill="FFFFFF"/>
        </w:rPr>
        <w:footnoteReference w:id="207"/>
      </w:r>
    </w:p>
    <w:p w14:paraId="7D3E2A90" w14:textId="1100B4B6" w:rsidR="00C72D03" w:rsidRPr="00B17C11" w:rsidRDefault="00C72D03" w:rsidP="00C72D03">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In light of the fact that the removal of the fire escape and the lavatories was based on grounds of safety and as a matter of urgency, it could not be said that there was a high-handed action on the part of the landlord.</w:t>
      </w:r>
      <w:r w:rsidRPr="00B17C11">
        <w:rPr>
          <w:rStyle w:val="FootnoteReference"/>
          <w:rFonts w:ascii="Arial" w:hAnsi="Arial" w:cs="Arial"/>
          <w:sz w:val="24"/>
          <w:szCs w:val="24"/>
          <w:shd w:val="clear" w:color="auto" w:fill="FFFFFF"/>
        </w:rPr>
        <w:footnoteReference w:id="208"/>
      </w:r>
      <w:r w:rsidRPr="00B17C11">
        <w:rPr>
          <w:rFonts w:ascii="Arial" w:hAnsi="Arial" w:cs="Arial"/>
          <w:sz w:val="24"/>
          <w:szCs w:val="24"/>
          <w:shd w:val="clear" w:color="auto" w:fill="FFFFFF"/>
        </w:rPr>
        <w:t xml:space="preserve"> However, as far as the severance of water is concerned, the court ordered the respondent to restore water to the premises occupied by the applicants.</w:t>
      </w:r>
      <w:r w:rsidRPr="00B17C11">
        <w:rPr>
          <w:rStyle w:val="FootnoteReference"/>
          <w:rFonts w:ascii="Arial" w:hAnsi="Arial" w:cs="Arial"/>
          <w:sz w:val="24"/>
          <w:szCs w:val="24"/>
          <w:shd w:val="clear" w:color="auto" w:fill="FFFFFF"/>
        </w:rPr>
        <w:footnoteReference w:id="209"/>
      </w:r>
    </w:p>
    <w:p w14:paraId="4869B4C4" w14:textId="77777777" w:rsidR="00635917" w:rsidRPr="00B17C11" w:rsidRDefault="00635917" w:rsidP="00C72D03">
      <w:pPr>
        <w:spacing w:line="360" w:lineRule="auto"/>
        <w:jc w:val="both"/>
        <w:rPr>
          <w:rFonts w:ascii="Arial" w:hAnsi="Arial" w:cs="Arial"/>
          <w:sz w:val="24"/>
          <w:szCs w:val="24"/>
          <w:shd w:val="clear" w:color="auto" w:fill="FFFFFF"/>
        </w:rPr>
      </w:pPr>
    </w:p>
    <w:p w14:paraId="54F3D251" w14:textId="4396D004" w:rsidR="00C72D03" w:rsidRPr="00B17C11" w:rsidRDefault="00C72D03" w:rsidP="00635917">
      <w:pPr>
        <w:pStyle w:val="Heading2"/>
        <w:rPr>
          <w:shd w:val="clear" w:color="auto" w:fill="FFFFFF"/>
        </w:rPr>
      </w:pPr>
      <w:bookmarkStart w:id="21" w:name="_Toc181339548"/>
      <w:r w:rsidRPr="00B17C11">
        <w:rPr>
          <w:shd w:val="clear" w:color="auto" w:fill="FFFFFF"/>
        </w:rPr>
        <w:t>3.3 The peaceful and undisturbed control element o</w:t>
      </w:r>
      <w:r w:rsidR="00814DA1" w:rsidRPr="00B17C11">
        <w:rPr>
          <w:shd w:val="clear" w:color="auto" w:fill="FFFFFF"/>
        </w:rPr>
        <w:t>F</w:t>
      </w:r>
      <w:r w:rsidRPr="00B17C11">
        <w:rPr>
          <w:shd w:val="clear" w:color="auto" w:fill="FFFFFF"/>
        </w:rPr>
        <w:t xml:space="preserve"> </w:t>
      </w:r>
      <w:r w:rsidRPr="00B17C11">
        <w:rPr>
          <w:i/>
          <w:iCs/>
          <w:shd w:val="clear" w:color="auto" w:fill="FFFFFF"/>
        </w:rPr>
        <w:t>quasi</w:t>
      </w:r>
      <w:r w:rsidRPr="00B17C11">
        <w:rPr>
          <w:shd w:val="clear" w:color="auto" w:fill="FFFFFF"/>
        </w:rPr>
        <w:t>-possession of incorporeals</w:t>
      </w:r>
      <w:bookmarkEnd w:id="21"/>
    </w:p>
    <w:p w14:paraId="28D85EF2" w14:textId="2FC103E7" w:rsidR="00C72D03" w:rsidRPr="00B17C11" w:rsidRDefault="00C72D03" w:rsidP="00C72D03">
      <w:pPr>
        <w:spacing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It is clear from the previous discussion that the </w:t>
      </w:r>
      <w:r w:rsidRPr="00B17C11">
        <w:rPr>
          <w:rFonts w:ascii="Arial" w:hAnsi="Arial" w:cs="Arial"/>
          <w:i/>
          <w:iCs/>
          <w:sz w:val="24"/>
          <w:szCs w:val="24"/>
          <w:shd w:val="clear" w:color="auto" w:fill="FFFFFF"/>
        </w:rPr>
        <w:t>quasi</w:t>
      </w:r>
      <w:r w:rsidRPr="00B17C11">
        <w:rPr>
          <w:rFonts w:ascii="Arial" w:hAnsi="Arial" w:cs="Arial"/>
          <w:sz w:val="24"/>
          <w:szCs w:val="24"/>
          <w:shd w:val="clear" w:color="auto" w:fill="FFFFFF"/>
        </w:rPr>
        <w:t xml:space="preserve">-possession of </w:t>
      </w:r>
      <w:proofErr w:type="spellStart"/>
      <w:r w:rsidRPr="00B17C11">
        <w:rPr>
          <w:rFonts w:ascii="Arial" w:hAnsi="Arial" w:cs="Arial"/>
          <w:sz w:val="24"/>
          <w:szCs w:val="24"/>
          <w:shd w:val="clear" w:color="auto" w:fill="FFFFFF"/>
        </w:rPr>
        <w:t>incorporeal</w:t>
      </w:r>
      <w:r w:rsidR="00814DA1" w:rsidRPr="00B17C11">
        <w:rPr>
          <w:rFonts w:ascii="Arial" w:hAnsi="Arial" w:cs="Arial"/>
          <w:sz w:val="24"/>
          <w:szCs w:val="24"/>
          <w:shd w:val="clear" w:color="auto" w:fill="FFFFFF"/>
        </w:rPr>
        <w:t>s</w:t>
      </w:r>
      <w:proofErr w:type="spellEnd"/>
      <w:r w:rsidRPr="00B17C11">
        <w:rPr>
          <w:rFonts w:ascii="Arial" w:hAnsi="Arial" w:cs="Arial"/>
          <w:sz w:val="24"/>
          <w:szCs w:val="24"/>
          <w:shd w:val="clear" w:color="auto" w:fill="FFFFFF"/>
        </w:rPr>
        <w:t xml:space="preserve"> finds protection under the spoliation remedy. However, the fundamental problem </w:t>
      </w:r>
      <w:r w:rsidR="00DB1B23" w:rsidRPr="00B17C11">
        <w:rPr>
          <w:rFonts w:ascii="Arial" w:hAnsi="Arial" w:cs="Arial"/>
          <w:sz w:val="24"/>
          <w:szCs w:val="24"/>
          <w:shd w:val="clear" w:color="auto" w:fill="FFFFFF"/>
        </w:rPr>
        <w:t xml:space="preserve">with the protection of </w:t>
      </w:r>
      <w:r w:rsidR="00DB1B23" w:rsidRPr="00B17C11">
        <w:rPr>
          <w:rFonts w:ascii="Arial" w:hAnsi="Arial" w:cs="Arial"/>
          <w:i/>
          <w:iCs/>
          <w:sz w:val="24"/>
          <w:szCs w:val="24"/>
          <w:shd w:val="clear" w:color="auto" w:fill="FFFFFF"/>
        </w:rPr>
        <w:t>quasi</w:t>
      </w:r>
      <w:r w:rsidR="00DB1B23" w:rsidRPr="00B17C11">
        <w:rPr>
          <w:rFonts w:ascii="Arial" w:hAnsi="Arial" w:cs="Arial"/>
          <w:sz w:val="24"/>
          <w:szCs w:val="24"/>
          <w:shd w:val="clear" w:color="auto" w:fill="FFFFFF"/>
        </w:rPr>
        <w:t>-possession stems from having to prove the physical possession</w:t>
      </w:r>
      <w:r w:rsidRPr="00B17C11">
        <w:rPr>
          <w:rFonts w:ascii="Arial" w:hAnsi="Arial" w:cs="Arial"/>
          <w:sz w:val="24"/>
          <w:szCs w:val="24"/>
          <w:shd w:val="clear" w:color="auto" w:fill="FFFFFF"/>
        </w:rPr>
        <w:t xml:space="preserve"> required in standard cases of the spoliation remedy.</w:t>
      </w:r>
      <w:r w:rsidRPr="00B17C11">
        <w:rPr>
          <w:rStyle w:val="FootnoteReference"/>
          <w:rFonts w:ascii="Arial" w:hAnsi="Arial" w:cs="Arial"/>
          <w:sz w:val="24"/>
          <w:szCs w:val="24"/>
          <w:shd w:val="clear" w:color="auto" w:fill="FFFFFF"/>
        </w:rPr>
        <w:footnoteReference w:id="210"/>
      </w:r>
      <w:r w:rsidRPr="00B17C11">
        <w:rPr>
          <w:rFonts w:ascii="Arial" w:hAnsi="Arial" w:cs="Arial"/>
          <w:sz w:val="24"/>
          <w:szCs w:val="24"/>
          <w:shd w:val="clear" w:color="auto" w:fill="FFFFFF"/>
        </w:rPr>
        <w:t xml:space="preserve"> This part of the research discusses the earliest cases where this problem was encountered.</w:t>
      </w:r>
    </w:p>
    <w:p w14:paraId="0FBF2483" w14:textId="6A63B3C3"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In </w:t>
      </w:r>
      <w:r w:rsidRPr="00F21DBE">
        <w:rPr>
          <w:rFonts w:ascii="Arial" w:hAnsi="Arial" w:cs="Arial"/>
          <w:i/>
          <w:iCs/>
          <w:color w:val="000000" w:themeColor="text1"/>
          <w:sz w:val="24"/>
          <w:szCs w:val="24"/>
          <w:shd w:val="clear" w:color="auto" w:fill="FFFFFF"/>
        </w:rPr>
        <w:t xml:space="preserve">Bennett Pringle (Pty) Ltd v Adelaide Municipality, </w:t>
      </w:r>
      <w:r w:rsidRPr="00F21DBE">
        <w:rPr>
          <w:rFonts w:ascii="Arial" w:hAnsi="Arial" w:cs="Arial"/>
          <w:color w:val="000000" w:themeColor="text1"/>
          <w:sz w:val="24"/>
          <w:szCs w:val="24"/>
          <w:shd w:val="clear" w:color="auto" w:fill="FFFFFF"/>
        </w:rPr>
        <w:t>the applicant leased a building from the respondent to be used as an abattoir and a wholesale butchery.</w:t>
      </w:r>
      <w:r w:rsidRPr="00F21DBE">
        <w:rPr>
          <w:rStyle w:val="FootnoteReference"/>
          <w:rFonts w:ascii="Arial" w:hAnsi="Arial" w:cs="Arial"/>
          <w:color w:val="000000" w:themeColor="text1"/>
          <w:sz w:val="24"/>
          <w:szCs w:val="24"/>
          <w:shd w:val="clear" w:color="auto" w:fill="FFFFFF"/>
        </w:rPr>
        <w:footnoteReference w:id="211"/>
      </w:r>
      <w:r w:rsidRPr="00F21DBE">
        <w:rPr>
          <w:rFonts w:ascii="Arial" w:hAnsi="Arial" w:cs="Arial"/>
          <w:color w:val="000000" w:themeColor="text1"/>
          <w:sz w:val="24"/>
          <w:szCs w:val="24"/>
          <w:shd w:val="clear" w:color="auto" w:fill="FFFFFF"/>
        </w:rPr>
        <w:t xml:space="preserve"> A dispute arose regarding the duration of the lease agreement.</w:t>
      </w:r>
      <w:r w:rsidRPr="00F21DBE">
        <w:rPr>
          <w:rStyle w:val="FootnoteReference"/>
          <w:rFonts w:ascii="Arial" w:hAnsi="Arial" w:cs="Arial"/>
          <w:color w:val="000000" w:themeColor="text1"/>
          <w:sz w:val="24"/>
          <w:szCs w:val="24"/>
          <w:shd w:val="clear" w:color="auto" w:fill="FFFFFF"/>
        </w:rPr>
        <w:footnoteReference w:id="212"/>
      </w:r>
      <w:r w:rsidRPr="00F21DBE">
        <w:rPr>
          <w:rFonts w:ascii="Arial" w:hAnsi="Arial" w:cs="Arial"/>
          <w:color w:val="000000" w:themeColor="text1"/>
          <w:sz w:val="24"/>
          <w:szCs w:val="24"/>
          <w:shd w:val="clear" w:color="auto" w:fill="FFFFFF"/>
        </w:rPr>
        <w:t xml:space="preserve"> The applicant argued that the lease agreement did not expire and that he had been deprived of exercising his right as an abattoir.</w:t>
      </w:r>
      <w:r w:rsidRPr="00F21DBE">
        <w:rPr>
          <w:rStyle w:val="FootnoteReference"/>
          <w:rFonts w:ascii="Arial" w:hAnsi="Arial" w:cs="Arial"/>
          <w:color w:val="000000" w:themeColor="text1"/>
          <w:sz w:val="24"/>
          <w:szCs w:val="24"/>
          <w:shd w:val="clear" w:color="auto" w:fill="FFFFFF"/>
        </w:rPr>
        <w:footnoteReference w:id="213"/>
      </w:r>
      <w:r w:rsidRPr="00F21DBE">
        <w:rPr>
          <w:rFonts w:ascii="Arial" w:hAnsi="Arial" w:cs="Arial"/>
          <w:color w:val="000000" w:themeColor="text1"/>
          <w:sz w:val="24"/>
          <w:szCs w:val="24"/>
          <w:shd w:val="clear" w:color="auto" w:fill="FFFFFF"/>
        </w:rPr>
        <w:t xml:space="preserve"> The respondent opposed the applicant’s claim for a spoliation order on the basis that before, during, or after the alleged expiry of the lease agreement, there was no change in the factual situation</w:t>
      </w:r>
      <w:r w:rsidR="00301FB2" w:rsidRPr="00F21DBE">
        <w:rPr>
          <w:rFonts w:ascii="Arial" w:hAnsi="Arial" w:cs="Arial"/>
          <w:color w:val="000000" w:themeColor="text1"/>
          <w:sz w:val="24"/>
          <w:szCs w:val="24"/>
          <w:shd w:val="clear" w:color="auto" w:fill="FFFFFF"/>
        </w:rPr>
        <w:t>. T</w:t>
      </w:r>
      <w:r w:rsidRPr="00F21DBE">
        <w:rPr>
          <w:rFonts w:ascii="Arial" w:hAnsi="Arial" w:cs="Arial"/>
          <w:color w:val="000000" w:themeColor="text1"/>
          <w:sz w:val="24"/>
          <w:szCs w:val="24"/>
          <w:shd w:val="clear" w:color="auto" w:fill="FFFFFF"/>
        </w:rPr>
        <w:t>herefore</w:t>
      </w:r>
      <w:r w:rsidR="00E5288D"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the applicant did not possess the premises or been deprived of possession.</w:t>
      </w:r>
      <w:r w:rsidRPr="00F21DBE">
        <w:rPr>
          <w:rStyle w:val="FootnoteReference"/>
          <w:rFonts w:ascii="Arial" w:hAnsi="Arial" w:cs="Arial"/>
          <w:color w:val="000000" w:themeColor="text1"/>
          <w:sz w:val="24"/>
          <w:szCs w:val="24"/>
          <w:shd w:val="clear" w:color="auto" w:fill="FFFFFF"/>
        </w:rPr>
        <w:footnoteReference w:id="214"/>
      </w:r>
      <w:r w:rsidRPr="00F21DBE">
        <w:rPr>
          <w:rFonts w:ascii="Arial" w:hAnsi="Arial" w:cs="Arial"/>
          <w:color w:val="000000" w:themeColor="text1"/>
          <w:sz w:val="24"/>
          <w:szCs w:val="24"/>
          <w:shd w:val="clear" w:color="auto" w:fill="FFFFFF"/>
        </w:rPr>
        <w:t xml:space="preserve"> He further submitted that:</w:t>
      </w:r>
    </w:p>
    <w:p w14:paraId="32E86AB7" w14:textId="65341F82" w:rsidR="00C72D03" w:rsidRPr="00F21DBE" w:rsidRDefault="00C72D03" w:rsidP="00C72D03">
      <w:pPr>
        <w:spacing w:line="240" w:lineRule="auto"/>
        <w:ind w:left="720" w:right="284"/>
        <w:jc w:val="both"/>
        <w:rPr>
          <w:rFonts w:ascii="Arial" w:hAnsi="Arial" w:cs="Arial"/>
          <w:color w:val="000000" w:themeColor="text1"/>
          <w:sz w:val="24"/>
          <w:szCs w:val="24"/>
          <w:shd w:val="clear" w:color="auto" w:fill="FFFFFF"/>
        </w:rPr>
      </w:pPr>
      <w:r w:rsidRPr="00F21DBE">
        <w:rPr>
          <w:rFonts w:ascii="Arial" w:hAnsi="Arial" w:cs="Arial"/>
          <w:color w:val="000000" w:themeColor="text1"/>
          <w:sz w:val="20"/>
          <w:szCs w:val="20"/>
          <w:shd w:val="clear" w:color="auto" w:fill="FFFFFF"/>
        </w:rPr>
        <w:t xml:space="preserve">‘despite the existence of the lease, the </w:t>
      </w:r>
      <w:r w:rsidRPr="00F21DBE">
        <w:rPr>
          <w:rFonts w:ascii="Arial" w:hAnsi="Arial" w:cs="Arial"/>
          <w:i/>
          <w:iCs/>
          <w:color w:val="000000" w:themeColor="text1"/>
          <w:sz w:val="20"/>
          <w:szCs w:val="20"/>
          <w:shd w:val="clear" w:color="auto" w:fill="FFFFFF"/>
        </w:rPr>
        <w:t>de facto</w:t>
      </w:r>
      <w:r w:rsidRPr="00F21DBE">
        <w:rPr>
          <w:rFonts w:ascii="Arial" w:hAnsi="Arial" w:cs="Arial"/>
          <w:color w:val="000000" w:themeColor="text1"/>
          <w:sz w:val="20"/>
          <w:szCs w:val="20"/>
          <w:shd w:val="clear" w:color="auto" w:fill="FFFFFF"/>
        </w:rPr>
        <w:t xml:space="preserve"> position regarding possession at all times remained unaltered and in terminating the lease respondent did not take control to any greater extent than it has always had’</w:t>
      </w:r>
      <w:r w:rsidRPr="00F21DBE">
        <w:rPr>
          <w:rFonts w:ascii="Arial" w:hAnsi="Arial" w:cs="Arial"/>
          <w:color w:val="000000" w:themeColor="text1"/>
          <w:sz w:val="24"/>
          <w:szCs w:val="24"/>
          <w:shd w:val="clear" w:color="auto" w:fill="FFFFFF"/>
        </w:rPr>
        <w:t>.</w:t>
      </w:r>
      <w:r w:rsidRPr="00F21DBE">
        <w:rPr>
          <w:rStyle w:val="FootnoteReference"/>
          <w:rFonts w:ascii="Arial" w:hAnsi="Arial" w:cs="Arial"/>
          <w:color w:val="000000" w:themeColor="text1"/>
          <w:sz w:val="24"/>
          <w:szCs w:val="24"/>
          <w:shd w:val="clear" w:color="auto" w:fill="FFFFFF"/>
        </w:rPr>
        <w:footnoteReference w:id="215"/>
      </w:r>
    </w:p>
    <w:p w14:paraId="1952C001" w14:textId="77777777"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lastRenderedPageBreak/>
        <w:t>It was also denied that the applicant operated the abattoir or rendered services as an abattoir operator.</w:t>
      </w:r>
      <w:r w:rsidRPr="00F21DBE">
        <w:rPr>
          <w:rStyle w:val="FootnoteReference"/>
          <w:rFonts w:ascii="Arial" w:hAnsi="Arial" w:cs="Arial"/>
          <w:color w:val="000000" w:themeColor="text1"/>
          <w:sz w:val="24"/>
          <w:szCs w:val="24"/>
          <w:shd w:val="clear" w:color="auto" w:fill="FFFFFF"/>
        </w:rPr>
        <w:footnoteReference w:id="216"/>
      </w:r>
    </w:p>
    <w:p w14:paraId="169CB1D2" w14:textId="2F13F338"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In deciding this matter, </w:t>
      </w:r>
      <w:proofErr w:type="spellStart"/>
      <w:r w:rsidRPr="00F21DBE">
        <w:rPr>
          <w:rFonts w:ascii="Arial" w:hAnsi="Arial" w:cs="Arial"/>
          <w:color w:val="000000" w:themeColor="text1"/>
          <w:sz w:val="24"/>
          <w:szCs w:val="24"/>
          <w:shd w:val="clear" w:color="auto" w:fill="FFFFFF"/>
        </w:rPr>
        <w:t>Addleson</w:t>
      </w:r>
      <w:proofErr w:type="spellEnd"/>
      <w:r w:rsidRPr="00F21DBE">
        <w:rPr>
          <w:rFonts w:ascii="Arial" w:hAnsi="Arial" w:cs="Arial"/>
          <w:color w:val="000000" w:themeColor="text1"/>
          <w:sz w:val="24"/>
          <w:szCs w:val="24"/>
          <w:shd w:val="clear" w:color="auto" w:fill="FFFFFF"/>
        </w:rPr>
        <w:t xml:space="preserve"> J began by noting that the deprivation of possession and the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 xml:space="preserve">-possession of </w:t>
      </w:r>
      <w:proofErr w:type="spellStart"/>
      <w:r w:rsidRPr="00F21DBE">
        <w:rPr>
          <w:rFonts w:ascii="Arial" w:hAnsi="Arial" w:cs="Arial"/>
          <w:color w:val="000000" w:themeColor="text1"/>
          <w:sz w:val="24"/>
          <w:szCs w:val="24"/>
          <w:shd w:val="clear" w:color="auto" w:fill="FFFFFF"/>
        </w:rPr>
        <w:t>incorporeals</w:t>
      </w:r>
      <w:proofErr w:type="spellEnd"/>
      <w:r w:rsidRPr="00F21DBE">
        <w:rPr>
          <w:rFonts w:ascii="Arial" w:hAnsi="Arial" w:cs="Arial"/>
          <w:color w:val="000000" w:themeColor="text1"/>
          <w:sz w:val="24"/>
          <w:szCs w:val="24"/>
          <w:shd w:val="clear" w:color="auto" w:fill="FFFFFF"/>
        </w:rPr>
        <w:t xml:space="preserve"> is protected against spoliation.</w:t>
      </w:r>
      <w:r w:rsidRPr="00F21DBE">
        <w:rPr>
          <w:rStyle w:val="FootnoteReference"/>
          <w:rFonts w:ascii="Arial" w:hAnsi="Arial" w:cs="Arial"/>
          <w:color w:val="000000" w:themeColor="text1"/>
          <w:sz w:val="24"/>
          <w:szCs w:val="24"/>
          <w:shd w:val="clear" w:color="auto" w:fill="FFFFFF"/>
        </w:rPr>
        <w:footnoteReference w:id="217"/>
      </w:r>
      <w:r w:rsidRPr="00F21DBE">
        <w:rPr>
          <w:rFonts w:ascii="Arial" w:hAnsi="Arial" w:cs="Arial"/>
          <w:color w:val="000000" w:themeColor="text1"/>
          <w:sz w:val="24"/>
          <w:szCs w:val="24"/>
          <w:shd w:val="clear" w:color="auto" w:fill="FFFFFF"/>
        </w:rPr>
        <w:t xml:space="preserve"> He moved on to state that the spoliation remedy is available to any person enjoying the physical use of the thing, at least to the extent that he derives benefit from such use.</w:t>
      </w:r>
      <w:r w:rsidRPr="00F21DBE">
        <w:rPr>
          <w:rStyle w:val="FootnoteReference"/>
          <w:rFonts w:ascii="Arial" w:hAnsi="Arial" w:cs="Arial"/>
          <w:color w:val="000000" w:themeColor="text1"/>
          <w:sz w:val="24"/>
          <w:szCs w:val="24"/>
          <w:shd w:val="clear" w:color="auto" w:fill="FFFFFF"/>
        </w:rPr>
        <w:footnoteReference w:id="218"/>
      </w:r>
      <w:r w:rsidRPr="00F21DBE">
        <w:rPr>
          <w:rFonts w:ascii="Arial" w:hAnsi="Arial" w:cs="Arial"/>
          <w:color w:val="000000" w:themeColor="text1"/>
          <w:sz w:val="24"/>
          <w:szCs w:val="24"/>
          <w:shd w:val="clear" w:color="auto" w:fill="FFFFFF"/>
        </w:rPr>
        <w:t xml:space="preserve"> In </w:t>
      </w:r>
      <w:proofErr w:type="spellStart"/>
      <w:r w:rsidRPr="00F21DBE">
        <w:rPr>
          <w:rFonts w:ascii="Arial" w:hAnsi="Arial" w:cs="Arial"/>
          <w:i/>
          <w:iCs/>
          <w:color w:val="000000" w:themeColor="text1"/>
          <w:sz w:val="24"/>
          <w:szCs w:val="24"/>
          <w:shd w:val="clear" w:color="auto" w:fill="FFFFFF"/>
        </w:rPr>
        <w:t>casu</w:t>
      </w:r>
      <w:proofErr w:type="spellEnd"/>
      <w:r w:rsidRPr="00F21DBE">
        <w:rPr>
          <w:rFonts w:ascii="Arial" w:hAnsi="Arial" w:cs="Arial"/>
          <w:color w:val="000000" w:themeColor="text1"/>
          <w:sz w:val="24"/>
          <w:szCs w:val="24"/>
          <w:shd w:val="clear" w:color="auto" w:fill="FFFFFF"/>
        </w:rPr>
        <w:t>, the applicant was licensed as an abattoir and responsible for maintaining the premises of the building.</w:t>
      </w:r>
      <w:r w:rsidRPr="00F21DBE">
        <w:rPr>
          <w:rStyle w:val="FootnoteReference"/>
          <w:rFonts w:ascii="Arial" w:hAnsi="Arial" w:cs="Arial"/>
          <w:color w:val="000000" w:themeColor="text1"/>
          <w:sz w:val="24"/>
          <w:szCs w:val="24"/>
          <w:shd w:val="clear" w:color="auto" w:fill="FFFFFF"/>
        </w:rPr>
        <w:footnoteReference w:id="219"/>
      </w:r>
      <w:r w:rsidRPr="00F21DBE">
        <w:rPr>
          <w:rFonts w:ascii="Arial" w:hAnsi="Arial" w:cs="Arial"/>
          <w:color w:val="000000" w:themeColor="text1"/>
          <w:sz w:val="24"/>
          <w:szCs w:val="24"/>
          <w:shd w:val="clear" w:color="auto" w:fill="FFFFFF"/>
        </w:rPr>
        <w:t xml:space="preserve"> The fact that he exercised physical control o</w:t>
      </w:r>
      <w:r w:rsidR="00814DA1" w:rsidRPr="00F21DBE">
        <w:rPr>
          <w:rFonts w:ascii="Arial" w:hAnsi="Arial" w:cs="Arial"/>
          <w:color w:val="000000" w:themeColor="text1"/>
          <w:sz w:val="24"/>
          <w:szCs w:val="24"/>
          <w:shd w:val="clear" w:color="auto" w:fill="FFFFFF"/>
        </w:rPr>
        <w:t>ver</w:t>
      </w:r>
      <w:r w:rsidRPr="00F21DBE">
        <w:rPr>
          <w:rFonts w:ascii="Arial" w:hAnsi="Arial" w:cs="Arial"/>
          <w:color w:val="000000" w:themeColor="text1"/>
          <w:sz w:val="24"/>
          <w:szCs w:val="24"/>
          <w:shd w:val="clear" w:color="auto" w:fill="FFFFFF"/>
        </w:rPr>
        <w:t xml:space="preserve"> the premises, irrespective of how very little or intermittingly physical, the exercise in itself indicated the existence of control that was transferred to him by the respondent through the lease agreement.</w:t>
      </w:r>
      <w:r w:rsidRPr="00F21DBE">
        <w:rPr>
          <w:rStyle w:val="FootnoteReference"/>
          <w:rFonts w:ascii="Arial" w:hAnsi="Arial" w:cs="Arial"/>
          <w:color w:val="000000" w:themeColor="text1"/>
          <w:sz w:val="24"/>
          <w:szCs w:val="24"/>
          <w:shd w:val="clear" w:color="auto" w:fill="FFFFFF"/>
        </w:rPr>
        <w:footnoteReference w:id="220"/>
      </w:r>
      <w:r w:rsidRPr="00F21DBE">
        <w:rPr>
          <w:rFonts w:ascii="Arial" w:hAnsi="Arial" w:cs="Arial"/>
          <w:color w:val="000000" w:themeColor="text1"/>
          <w:sz w:val="24"/>
          <w:szCs w:val="24"/>
          <w:shd w:val="clear" w:color="auto" w:fill="FFFFFF"/>
        </w:rPr>
        <w:t xml:space="preserve"> Choosing to do less than necessary to use the premises as an abattoir did not mean he exercised no rights at all.</w:t>
      </w:r>
      <w:r w:rsidRPr="00F21DBE">
        <w:rPr>
          <w:rStyle w:val="FootnoteReference"/>
          <w:rFonts w:ascii="Arial" w:hAnsi="Arial" w:cs="Arial"/>
          <w:color w:val="000000" w:themeColor="text1"/>
          <w:sz w:val="24"/>
          <w:szCs w:val="24"/>
          <w:shd w:val="clear" w:color="auto" w:fill="FFFFFF"/>
        </w:rPr>
        <w:footnoteReference w:id="221"/>
      </w:r>
    </w:p>
    <w:p w14:paraId="145E7565" w14:textId="3BB560EA"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The court found that the determining factor is whether the conduct of the possessor indicates the exercise of a </w:t>
      </w:r>
      <w:r w:rsidR="000E549E" w:rsidRPr="00F21DBE">
        <w:rPr>
          <w:rFonts w:ascii="Arial" w:hAnsi="Arial" w:cs="Arial"/>
          <w:color w:val="000000" w:themeColor="text1"/>
          <w:sz w:val="24"/>
          <w:szCs w:val="24"/>
          <w:shd w:val="clear" w:color="auto" w:fill="FFFFFF"/>
        </w:rPr>
        <w:t>right</w:t>
      </w:r>
      <w:r w:rsidRPr="00F21DBE">
        <w:rPr>
          <w:rFonts w:ascii="Arial" w:hAnsi="Arial" w:cs="Arial"/>
          <w:color w:val="000000" w:themeColor="text1"/>
          <w:sz w:val="24"/>
          <w:szCs w:val="24"/>
          <w:shd w:val="clear" w:color="auto" w:fill="FFFFFF"/>
        </w:rPr>
        <w:t xml:space="preserve"> or actions associated with the exercise of the right in question.</w:t>
      </w:r>
      <w:r w:rsidRPr="00F21DBE">
        <w:rPr>
          <w:rStyle w:val="FootnoteReference"/>
          <w:rFonts w:ascii="Arial" w:hAnsi="Arial" w:cs="Arial"/>
          <w:color w:val="000000" w:themeColor="text1"/>
          <w:sz w:val="24"/>
          <w:szCs w:val="24"/>
          <w:shd w:val="clear" w:color="auto" w:fill="FFFFFF"/>
        </w:rPr>
        <w:footnoteReference w:id="222"/>
      </w:r>
      <w:r w:rsidRPr="00F21DBE">
        <w:rPr>
          <w:rFonts w:ascii="Arial" w:hAnsi="Arial" w:cs="Arial"/>
          <w:color w:val="000000" w:themeColor="text1"/>
          <w:sz w:val="24"/>
          <w:szCs w:val="24"/>
          <w:shd w:val="clear" w:color="auto" w:fill="FFFFFF"/>
        </w:rPr>
        <w:t xml:space="preserve"> According to the court, the applicant performed acts indicative of control and occupation of the premises, which amounted to possession for purposes of the spoliation remedy.</w:t>
      </w:r>
      <w:r w:rsidRPr="00F21DBE">
        <w:rPr>
          <w:rStyle w:val="FootnoteReference"/>
          <w:rFonts w:ascii="Arial" w:hAnsi="Arial" w:cs="Arial"/>
          <w:color w:val="000000" w:themeColor="text1"/>
          <w:sz w:val="24"/>
          <w:szCs w:val="24"/>
          <w:shd w:val="clear" w:color="auto" w:fill="FFFFFF"/>
        </w:rPr>
        <w:footnoteReference w:id="223"/>
      </w:r>
    </w:p>
    <w:p w14:paraId="06CA6EB3" w14:textId="00BF4256"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In </w:t>
      </w:r>
      <w:proofErr w:type="spellStart"/>
      <w:r w:rsidRPr="00F21DBE">
        <w:rPr>
          <w:rFonts w:ascii="Arial" w:hAnsi="Arial" w:cs="Arial"/>
          <w:i/>
          <w:color w:val="000000" w:themeColor="text1"/>
          <w:sz w:val="24"/>
          <w:szCs w:val="24"/>
          <w:shd w:val="clear" w:color="auto" w:fill="FFFFFF"/>
        </w:rPr>
        <w:t>Ntshwaqele</w:t>
      </w:r>
      <w:proofErr w:type="spellEnd"/>
      <w:r w:rsidRPr="00F21DBE">
        <w:rPr>
          <w:rFonts w:ascii="Arial" w:hAnsi="Arial" w:cs="Arial"/>
          <w:i/>
          <w:color w:val="000000" w:themeColor="text1"/>
          <w:sz w:val="24"/>
          <w:szCs w:val="24"/>
          <w:shd w:val="clear" w:color="auto" w:fill="FFFFFF"/>
        </w:rPr>
        <w:t xml:space="preserve"> and Others v Chairman, Western Cape Regional Services Council and Others, </w:t>
      </w:r>
      <w:r w:rsidRPr="00F21DBE">
        <w:rPr>
          <w:rFonts w:ascii="Arial" w:hAnsi="Arial" w:cs="Arial"/>
          <w:color w:val="000000" w:themeColor="text1"/>
          <w:sz w:val="24"/>
          <w:szCs w:val="24"/>
          <w:shd w:val="clear" w:color="auto" w:fill="FFFFFF"/>
        </w:rPr>
        <w:t xml:space="preserve">the court overruled the earlier decision in </w:t>
      </w:r>
      <w:r w:rsidRPr="00F21DBE">
        <w:rPr>
          <w:rFonts w:ascii="Arial" w:hAnsi="Arial" w:cs="Arial"/>
          <w:i/>
          <w:color w:val="000000" w:themeColor="text1"/>
          <w:sz w:val="24"/>
          <w:szCs w:val="24"/>
          <w:shd w:val="clear" w:color="auto" w:fill="FFFFFF"/>
        </w:rPr>
        <w:t>Jansen v Madden</w:t>
      </w:r>
      <w:r w:rsidR="00301FB2" w:rsidRPr="00F21DBE">
        <w:rPr>
          <w:rFonts w:ascii="Arial" w:hAnsi="Arial" w:cs="Arial"/>
          <w:i/>
          <w:color w:val="000000" w:themeColor="text1"/>
          <w:sz w:val="24"/>
          <w:szCs w:val="24"/>
          <w:shd w:val="clear" w:color="auto" w:fill="FFFFFF"/>
        </w:rPr>
        <w:t xml:space="preserve">. </w:t>
      </w:r>
      <w:r w:rsidR="00301FB2" w:rsidRPr="00F21DBE">
        <w:rPr>
          <w:rFonts w:ascii="Arial" w:hAnsi="Arial" w:cs="Arial"/>
          <w:iCs/>
          <w:color w:val="000000" w:themeColor="text1"/>
          <w:sz w:val="24"/>
          <w:szCs w:val="24"/>
          <w:shd w:val="clear" w:color="auto" w:fill="FFFFFF"/>
        </w:rPr>
        <w:t>It</w:t>
      </w:r>
      <w:r w:rsidRPr="00F21DBE">
        <w:rPr>
          <w:rFonts w:ascii="Arial" w:hAnsi="Arial" w:cs="Arial"/>
          <w:iCs/>
          <w:color w:val="000000" w:themeColor="text1"/>
          <w:sz w:val="24"/>
          <w:szCs w:val="24"/>
          <w:shd w:val="clear" w:color="auto" w:fill="FFFFFF"/>
        </w:rPr>
        <w:t xml:space="preserve"> </w:t>
      </w:r>
      <w:r w:rsidRPr="00F21DBE">
        <w:rPr>
          <w:rFonts w:ascii="Arial" w:hAnsi="Arial" w:cs="Arial"/>
          <w:color w:val="000000" w:themeColor="text1"/>
          <w:sz w:val="24"/>
          <w:szCs w:val="24"/>
          <w:shd w:val="clear" w:color="auto" w:fill="FFFFFF"/>
        </w:rPr>
        <w:t xml:space="preserve">confirmed the opposite approach in </w:t>
      </w:r>
      <w:r w:rsidRPr="00F21DBE">
        <w:rPr>
          <w:rFonts w:ascii="Arial" w:hAnsi="Arial" w:cs="Arial"/>
          <w:i/>
          <w:color w:val="000000" w:themeColor="text1"/>
          <w:sz w:val="24"/>
          <w:szCs w:val="24"/>
          <w:shd w:val="clear" w:color="auto" w:fill="FFFFFF"/>
        </w:rPr>
        <w:t>Van Wyk v Kleynhans</w:t>
      </w:r>
      <w:r w:rsidRPr="00F21DBE">
        <w:rPr>
          <w:rFonts w:ascii="Arial" w:hAnsi="Arial" w:cs="Arial"/>
          <w:color w:val="000000" w:themeColor="text1"/>
          <w:sz w:val="24"/>
          <w:szCs w:val="24"/>
          <w:shd w:val="clear" w:color="auto" w:fill="FFFFFF"/>
        </w:rPr>
        <w:t>.</w:t>
      </w:r>
      <w:r w:rsidRPr="00F21DBE">
        <w:rPr>
          <w:rStyle w:val="FootnoteReference"/>
          <w:rFonts w:ascii="Arial" w:hAnsi="Arial" w:cs="Arial"/>
          <w:color w:val="000000" w:themeColor="text1"/>
          <w:sz w:val="24"/>
          <w:szCs w:val="24"/>
          <w:shd w:val="clear" w:color="auto" w:fill="FFFFFF"/>
        </w:rPr>
        <w:footnoteReference w:id="224"/>
      </w:r>
    </w:p>
    <w:p w14:paraId="1F0575B0" w14:textId="487CEA6E"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In </w:t>
      </w:r>
      <w:r w:rsidRPr="00F21DBE">
        <w:rPr>
          <w:rFonts w:ascii="Arial" w:hAnsi="Arial" w:cs="Arial"/>
          <w:i/>
          <w:iCs/>
          <w:color w:val="000000" w:themeColor="text1"/>
          <w:sz w:val="24"/>
          <w:szCs w:val="24"/>
          <w:shd w:val="clear" w:color="auto" w:fill="FFFFFF"/>
        </w:rPr>
        <w:t>Jansen v Madden</w:t>
      </w:r>
      <w:r w:rsidRPr="00F21DBE">
        <w:rPr>
          <w:rFonts w:ascii="Arial" w:hAnsi="Arial" w:cs="Arial"/>
          <w:color w:val="000000" w:themeColor="text1"/>
          <w:sz w:val="24"/>
          <w:szCs w:val="24"/>
          <w:shd w:val="clear" w:color="auto" w:fill="FFFFFF"/>
        </w:rPr>
        <w:t>, the respondent removed a gate that allowed the applicant a right of way by erecting a fence that obstructed the road. The applicant claimed that he had been using the road for an uninterrupted period of 6 years</w:t>
      </w:r>
      <w:r w:rsidR="00301FB2"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implying that he was in possession of a right of way and was deprived thereof by the removal of the gate through which he used to drive his cattle to the nearest farm.</w:t>
      </w:r>
      <w:r w:rsidRPr="00F21DBE">
        <w:rPr>
          <w:rStyle w:val="FootnoteReference"/>
          <w:rFonts w:ascii="Arial" w:hAnsi="Arial" w:cs="Arial"/>
          <w:color w:val="000000" w:themeColor="text1"/>
          <w:sz w:val="24"/>
          <w:szCs w:val="24"/>
          <w:shd w:val="clear" w:color="auto" w:fill="FFFFFF"/>
        </w:rPr>
        <w:footnoteReference w:id="225"/>
      </w:r>
      <w:r w:rsidRPr="00F21DBE">
        <w:rPr>
          <w:rFonts w:ascii="Arial" w:hAnsi="Arial" w:cs="Arial"/>
          <w:color w:val="000000" w:themeColor="text1"/>
          <w:sz w:val="24"/>
          <w:szCs w:val="24"/>
          <w:shd w:val="clear" w:color="auto" w:fill="FFFFFF"/>
        </w:rPr>
        <w:t xml:space="preserve"> The court referred to </w:t>
      </w:r>
      <w:r w:rsidRPr="00F21DBE">
        <w:rPr>
          <w:rFonts w:ascii="Arial" w:hAnsi="Arial" w:cs="Arial"/>
          <w:color w:val="000000" w:themeColor="text1"/>
          <w:sz w:val="24"/>
          <w:szCs w:val="24"/>
          <w:shd w:val="clear" w:color="auto" w:fill="FFFFFF"/>
        </w:rPr>
        <w:lastRenderedPageBreak/>
        <w:t xml:space="preserve">the judgment of Greenberg JA in </w:t>
      </w:r>
      <w:r w:rsidRPr="00F21DBE">
        <w:rPr>
          <w:rFonts w:ascii="Arial" w:hAnsi="Arial" w:cs="Arial"/>
          <w:i/>
          <w:color w:val="000000" w:themeColor="text1"/>
          <w:sz w:val="24"/>
          <w:szCs w:val="24"/>
          <w:shd w:val="clear" w:color="auto" w:fill="FFFFFF"/>
        </w:rPr>
        <w:t>Nienaber v Stuckey</w:t>
      </w:r>
      <w:r w:rsidRPr="00F21DBE">
        <w:rPr>
          <w:rFonts w:ascii="Arial" w:hAnsi="Arial" w:cs="Arial"/>
          <w:color w:val="000000" w:themeColor="text1"/>
          <w:sz w:val="24"/>
          <w:szCs w:val="24"/>
          <w:shd w:val="clear" w:color="auto" w:fill="FFFFFF"/>
        </w:rPr>
        <w:t xml:space="preserve"> where</w:t>
      </w:r>
      <w:r w:rsidR="00301FB2"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after referring to </w:t>
      </w:r>
      <w:r w:rsidRPr="00F21DBE">
        <w:rPr>
          <w:rFonts w:ascii="Arial" w:hAnsi="Arial" w:cs="Arial"/>
          <w:i/>
          <w:color w:val="000000" w:themeColor="text1"/>
          <w:sz w:val="24"/>
          <w:szCs w:val="24"/>
          <w:shd w:val="clear" w:color="auto" w:fill="FFFFFF"/>
        </w:rPr>
        <w:t>Nino Bonino v De Lange</w:t>
      </w:r>
      <w:r w:rsidRPr="00F21DBE">
        <w:rPr>
          <w:rFonts w:ascii="Arial" w:hAnsi="Arial" w:cs="Arial"/>
          <w:color w:val="000000" w:themeColor="text1"/>
          <w:sz w:val="24"/>
          <w:szCs w:val="24"/>
          <w:shd w:val="clear" w:color="auto" w:fill="FFFFFF"/>
        </w:rPr>
        <w:t xml:space="preserve"> and other authorities, stated that:</w:t>
      </w:r>
    </w:p>
    <w:p w14:paraId="2F809E4E" w14:textId="40509FE9" w:rsidR="00C72D03" w:rsidRPr="00F21DBE" w:rsidRDefault="00C72D03" w:rsidP="00C72D03">
      <w:pPr>
        <w:spacing w:line="240" w:lineRule="auto"/>
        <w:ind w:left="720" w:right="284"/>
        <w:jc w:val="both"/>
        <w:rPr>
          <w:rFonts w:ascii="Arial" w:hAnsi="Arial" w:cs="Arial"/>
          <w:color w:val="000000" w:themeColor="text1"/>
          <w:sz w:val="20"/>
          <w:szCs w:val="20"/>
          <w:shd w:val="clear" w:color="auto" w:fill="FFFFFF"/>
        </w:rPr>
      </w:pPr>
      <w:r w:rsidRPr="00F21DBE">
        <w:rPr>
          <w:rFonts w:ascii="Arial" w:hAnsi="Arial" w:cs="Arial"/>
          <w:color w:val="000000" w:themeColor="text1"/>
          <w:sz w:val="20"/>
          <w:szCs w:val="20"/>
          <w:shd w:val="clear" w:color="auto" w:fill="FFFFFF"/>
        </w:rPr>
        <w:t xml:space="preserve">‘the fact that these authorities state generally, and without any limitation or exception, that the possession of incorporeal right is protected against spoliation means that the holders of such </w:t>
      </w:r>
      <w:proofErr w:type="spellStart"/>
      <w:r w:rsidRPr="00F21DBE">
        <w:rPr>
          <w:rFonts w:ascii="Arial" w:hAnsi="Arial" w:cs="Arial"/>
          <w:color w:val="000000" w:themeColor="text1"/>
          <w:sz w:val="20"/>
          <w:szCs w:val="20"/>
          <w:shd w:val="clear" w:color="auto" w:fill="FFFFFF"/>
        </w:rPr>
        <w:t>servitutal</w:t>
      </w:r>
      <w:proofErr w:type="spellEnd"/>
      <w:r w:rsidRPr="00F21DBE">
        <w:rPr>
          <w:rFonts w:ascii="Arial" w:hAnsi="Arial" w:cs="Arial"/>
          <w:color w:val="000000" w:themeColor="text1"/>
          <w:sz w:val="20"/>
          <w:szCs w:val="20"/>
          <w:shd w:val="clear" w:color="auto" w:fill="FFFFFF"/>
        </w:rPr>
        <w:t xml:space="preserve"> rights as rights of way... are entitled to the relief against dispossession by spoliation’.</w:t>
      </w:r>
      <w:r w:rsidRPr="00F21DBE">
        <w:rPr>
          <w:rStyle w:val="FootnoteReference"/>
          <w:rFonts w:ascii="Arial" w:hAnsi="Arial" w:cs="Arial"/>
          <w:color w:val="000000" w:themeColor="text1"/>
          <w:sz w:val="20"/>
          <w:szCs w:val="20"/>
          <w:shd w:val="clear" w:color="auto" w:fill="FFFFFF"/>
        </w:rPr>
        <w:footnoteReference w:id="226"/>
      </w:r>
    </w:p>
    <w:p w14:paraId="7445E71B" w14:textId="77777777"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The court understood this passage to imply that a </w:t>
      </w:r>
      <w:proofErr w:type="spellStart"/>
      <w:r w:rsidRPr="00F21DBE">
        <w:rPr>
          <w:rFonts w:ascii="Arial" w:hAnsi="Arial" w:cs="Arial"/>
          <w:color w:val="000000" w:themeColor="text1"/>
          <w:sz w:val="24"/>
          <w:szCs w:val="24"/>
          <w:shd w:val="clear" w:color="auto" w:fill="FFFFFF"/>
        </w:rPr>
        <w:t>servitutal</w:t>
      </w:r>
      <w:proofErr w:type="spellEnd"/>
      <w:r w:rsidRPr="00F21DBE">
        <w:rPr>
          <w:rFonts w:ascii="Arial" w:hAnsi="Arial" w:cs="Arial"/>
          <w:color w:val="000000" w:themeColor="text1"/>
          <w:sz w:val="24"/>
          <w:szCs w:val="24"/>
          <w:shd w:val="clear" w:color="auto" w:fill="FFFFFF"/>
        </w:rPr>
        <w:t xml:space="preserve"> right finds protection against dispossession by spoliation and that the applicant must prove on a balance of probabilities that he is the holder of a </w:t>
      </w:r>
      <w:proofErr w:type="spellStart"/>
      <w:r w:rsidRPr="00F21DBE">
        <w:rPr>
          <w:rFonts w:ascii="Arial" w:hAnsi="Arial" w:cs="Arial"/>
          <w:color w:val="000000" w:themeColor="text1"/>
          <w:sz w:val="24"/>
          <w:szCs w:val="24"/>
          <w:shd w:val="clear" w:color="auto" w:fill="FFFFFF"/>
        </w:rPr>
        <w:t>servitutal</w:t>
      </w:r>
      <w:proofErr w:type="spellEnd"/>
      <w:r w:rsidRPr="00F21DBE">
        <w:rPr>
          <w:rFonts w:ascii="Arial" w:hAnsi="Arial" w:cs="Arial"/>
          <w:color w:val="000000" w:themeColor="text1"/>
          <w:sz w:val="24"/>
          <w:szCs w:val="24"/>
          <w:shd w:val="clear" w:color="auto" w:fill="FFFFFF"/>
        </w:rPr>
        <w:t xml:space="preserve"> right or the alleged right.</w:t>
      </w:r>
      <w:r w:rsidRPr="00F21DBE">
        <w:rPr>
          <w:rStyle w:val="FootnoteReference"/>
          <w:rFonts w:ascii="Arial" w:hAnsi="Arial" w:cs="Arial"/>
          <w:color w:val="000000" w:themeColor="text1"/>
          <w:sz w:val="24"/>
          <w:szCs w:val="24"/>
          <w:shd w:val="clear" w:color="auto" w:fill="FFFFFF"/>
        </w:rPr>
        <w:footnoteReference w:id="227"/>
      </w:r>
    </w:p>
    <w:p w14:paraId="38BFEFAB" w14:textId="77777777"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In </w:t>
      </w:r>
      <w:r w:rsidRPr="00F21DBE">
        <w:rPr>
          <w:rFonts w:ascii="Arial" w:hAnsi="Arial" w:cs="Arial"/>
          <w:i/>
          <w:color w:val="000000" w:themeColor="text1"/>
          <w:sz w:val="24"/>
          <w:szCs w:val="24"/>
          <w:shd w:val="clear" w:color="auto" w:fill="FFFFFF"/>
        </w:rPr>
        <w:t>Van Wyk v Kleynhans</w:t>
      </w:r>
      <w:r w:rsidRPr="00F21DBE">
        <w:rPr>
          <w:rFonts w:ascii="Arial" w:hAnsi="Arial" w:cs="Arial"/>
          <w:color w:val="000000" w:themeColor="text1"/>
          <w:sz w:val="24"/>
          <w:szCs w:val="24"/>
          <w:shd w:val="clear" w:color="auto" w:fill="FFFFFF"/>
        </w:rPr>
        <w:t xml:space="preserve">, the magistrate’s court relied on the approach in </w:t>
      </w:r>
      <w:r w:rsidRPr="00F21DBE">
        <w:rPr>
          <w:rFonts w:ascii="Arial" w:hAnsi="Arial" w:cs="Arial"/>
          <w:i/>
          <w:color w:val="000000" w:themeColor="text1"/>
          <w:sz w:val="24"/>
          <w:szCs w:val="24"/>
          <w:shd w:val="clear" w:color="auto" w:fill="FFFFFF"/>
        </w:rPr>
        <w:t xml:space="preserve">Jansen v Madden </w:t>
      </w:r>
      <w:r w:rsidRPr="00F21DBE">
        <w:rPr>
          <w:rFonts w:ascii="Arial" w:hAnsi="Arial" w:cs="Arial"/>
          <w:color w:val="000000" w:themeColor="text1"/>
          <w:sz w:val="24"/>
          <w:szCs w:val="24"/>
          <w:shd w:val="clear" w:color="auto" w:fill="FFFFFF"/>
        </w:rPr>
        <w:t>to hold that the appellant must prove on the balance of probabilities that he had a right of way over the respondent’s farm.</w:t>
      </w:r>
      <w:r w:rsidRPr="00F21DBE">
        <w:rPr>
          <w:rStyle w:val="FootnoteReference"/>
          <w:rFonts w:ascii="Arial" w:hAnsi="Arial" w:cs="Arial"/>
          <w:color w:val="000000" w:themeColor="text1"/>
          <w:sz w:val="24"/>
          <w:szCs w:val="24"/>
          <w:shd w:val="clear" w:color="auto" w:fill="FFFFFF"/>
        </w:rPr>
        <w:footnoteReference w:id="228"/>
      </w:r>
      <w:r w:rsidRPr="00F21DBE">
        <w:rPr>
          <w:rFonts w:ascii="Arial" w:hAnsi="Arial" w:cs="Arial"/>
          <w:color w:val="000000" w:themeColor="text1"/>
          <w:sz w:val="24"/>
          <w:szCs w:val="24"/>
          <w:shd w:val="clear" w:color="auto" w:fill="FFFFFF"/>
        </w:rPr>
        <w:t xml:space="preserve"> This judgement was set aside, and it was held that the court should instead examine whether the control usually associated with exercising the right in question was exercised.</w:t>
      </w:r>
      <w:r w:rsidRPr="00F21DBE">
        <w:rPr>
          <w:rStyle w:val="FootnoteReference"/>
          <w:rFonts w:ascii="Arial" w:hAnsi="Arial" w:cs="Arial"/>
          <w:color w:val="000000" w:themeColor="text1"/>
          <w:sz w:val="24"/>
          <w:szCs w:val="24"/>
          <w:shd w:val="clear" w:color="auto" w:fill="FFFFFF"/>
        </w:rPr>
        <w:footnoteReference w:id="229"/>
      </w:r>
    </w:p>
    <w:p w14:paraId="365A4C83" w14:textId="0F94D6CF"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In the present case (</w:t>
      </w:r>
      <w:proofErr w:type="spellStart"/>
      <w:r w:rsidRPr="00F21DBE">
        <w:rPr>
          <w:rFonts w:ascii="Arial" w:hAnsi="Arial" w:cs="Arial"/>
          <w:i/>
          <w:color w:val="000000" w:themeColor="text1"/>
          <w:sz w:val="24"/>
          <w:szCs w:val="24"/>
          <w:shd w:val="clear" w:color="auto" w:fill="FFFFFF"/>
        </w:rPr>
        <w:t>Ntshwaqele</w:t>
      </w:r>
      <w:proofErr w:type="spellEnd"/>
      <w:r w:rsidRPr="00F21DBE">
        <w:rPr>
          <w:rFonts w:ascii="Arial" w:hAnsi="Arial" w:cs="Arial"/>
          <w:i/>
          <w:color w:val="000000" w:themeColor="text1"/>
          <w:sz w:val="24"/>
          <w:szCs w:val="24"/>
          <w:shd w:val="clear" w:color="auto" w:fill="FFFFFF"/>
        </w:rPr>
        <w:t xml:space="preserve"> and Others</w:t>
      </w:r>
      <w:r w:rsidRPr="00F21DBE">
        <w:rPr>
          <w:rFonts w:ascii="Arial" w:hAnsi="Arial" w:cs="Arial"/>
          <w:iCs/>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the applicants lived in shacks illegally erected in the Noordhoek area. When this area was put up for sale, the option-holders were authorised to take necessary measures to remove</w:t>
      </w:r>
      <w:r w:rsidR="00814DA1" w:rsidRPr="00F21DBE">
        <w:rPr>
          <w:rFonts w:ascii="Arial" w:hAnsi="Arial" w:cs="Arial"/>
          <w:color w:val="000000" w:themeColor="text1"/>
          <w:sz w:val="24"/>
          <w:szCs w:val="24"/>
          <w:shd w:val="clear" w:color="auto" w:fill="FFFFFF"/>
        </w:rPr>
        <w:t xml:space="preserve"> the</w:t>
      </w:r>
      <w:r w:rsidRPr="00F21DBE">
        <w:rPr>
          <w:rFonts w:ascii="Arial" w:hAnsi="Arial" w:cs="Arial"/>
          <w:color w:val="000000" w:themeColor="text1"/>
          <w:sz w:val="24"/>
          <w:szCs w:val="24"/>
          <w:shd w:val="clear" w:color="auto" w:fill="FFFFFF"/>
        </w:rPr>
        <w:t xml:space="preserve"> applicants and others who occupied this area.</w:t>
      </w:r>
      <w:r w:rsidRPr="00F21DBE">
        <w:rPr>
          <w:rStyle w:val="FootnoteReference"/>
          <w:rFonts w:ascii="Arial" w:hAnsi="Arial" w:cs="Arial"/>
          <w:color w:val="000000" w:themeColor="text1"/>
          <w:sz w:val="24"/>
          <w:szCs w:val="24"/>
          <w:shd w:val="clear" w:color="auto" w:fill="FFFFFF"/>
        </w:rPr>
        <w:footnoteReference w:id="230"/>
      </w:r>
      <w:r w:rsidRPr="00F21DBE">
        <w:rPr>
          <w:rFonts w:ascii="Arial" w:hAnsi="Arial" w:cs="Arial"/>
          <w:color w:val="000000" w:themeColor="text1"/>
          <w:sz w:val="24"/>
          <w:szCs w:val="24"/>
          <w:shd w:val="clear" w:color="auto" w:fill="FFFFFF"/>
        </w:rPr>
        <w:t xml:space="preserve"> Following this and several meetings held between various stakeholders, the respondents</w:t>
      </w:r>
      <w:r w:rsidR="00301FB2"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with the assistance of the police</w:t>
      </w:r>
      <w:r w:rsidR="00301FB2"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instigated the removal of the applicants to Khayelitsha Cape flats - and demolished the shacks.</w:t>
      </w:r>
      <w:r w:rsidRPr="00F21DBE">
        <w:rPr>
          <w:rStyle w:val="FootnoteReference"/>
          <w:rFonts w:ascii="Arial" w:hAnsi="Arial" w:cs="Arial"/>
          <w:color w:val="000000" w:themeColor="text1"/>
          <w:sz w:val="24"/>
          <w:szCs w:val="24"/>
          <w:shd w:val="clear" w:color="auto" w:fill="FFFFFF"/>
        </w:rPr>
        <w:footnoteReference w:id="231"/>
      </w:r>
      <w:r w:rsidRPr="00F21DBE">
        <w:rPr>
          <w:rFonts w:ascii="Arial" w:hAnsi="Arial" w:cs="Arial"/>
          <w:color w:val="000000" w:themeColor="text1"/>
          <w:sz w:val="24"/>
          <w:szCs w:val="24"/>
          <w:shd w:val="clear" w:color="auto" w:fill="FFFFFF"/>
        </w:rPr>
        <w:t xml:space="preserve"> The court held that in a case of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-possession of an incorporeal, it is sufficient for an applicant to show that he actually exercised occupation or use of the land in question.</w:t>
      </w:r>
      <w:r w:rsidRPr="00F21DBE">
        <w:rPr>
          <w:rStyle w:val="FootnoteReference"/>
          <w:rFonts w:ascii="Arial" w:hAnsi="Arial" w:cs="Arial"/>
          <w:color w:val="000000" w:themeColor="text1"/>
          <w:sz w:val="24"/>
          <w:szCs w:val="24"/>
          <w:shd w:val="clear" w:color="auto" w:fill="FFFFFF"/>
        </w:rPr>
        <w:footnoteReference w:id="232"/>
      </w:r>
    </w:p>
    <w:p w14:paraId="41360BD1" w14:textId="6D7B650B"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To summarise, the court in </w:t>
      </w:r>
      <w:r w:rsidRPr="00F21DBE">
        <w:rPr>
          <w:rFonts w:ascii="Arial" w:hAnsi="Arial" w:cs="Arial"/>
          <w:i/>
          <w:iCs/>
          <w:color w:val="000000" w:themeColor="text1"/>
          <w:sz w:val="24"/>
          <w:szCs w:val="24"/>
          <w:shd w:val="clear" w:color="auto" w:fill="FFFFFF"/>
        </w:rPr>
        <w:t xml:space="preserve">Jansen </w:t>
      </w:r>
      <w:r w:rsidRPr="00F21DBE">
        <w:rPr>
          <w:rFonts w:ascii="Arial" w:hAnsi="Arial" w:cs="Arial"/>
          <w:color w:val="000000" w:themeColor="text1"/>
          <w:sz w:val="24"/>
          <w:szCs w:val="24"/>
          <w:shd w:val="clear" w:color="auto" w:fill="FFFFFF"/>
        </w:rPr>
        <w:t xml:space="preserve">suggested that the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 xml:space="preserve">-possession protected by the spoliation remedy was the </w:t>
      </w:r>
      <w:proofErr w:type="spellStart"/>
      <w:r w:rsidRPr="00F21DBE">
        <w:rPr>
          <w:rFonts w:ascii="Arial" w:hAnsi="Arial" w:cs="Arial"/>
          <w:color w:val="000000" w:themeColor="text1"/>
          <w:sz w:val="24"/>
          <w:szCs w:val="24"/>
          <w:shd w:val="clear" w:color="auto" w:fill="FFFFFF"/>
        </w:rPr>
        <w:t>survitutal</w:t>
      </w:r>
      <w:proofErr w:type="spellEnd"/>
      <w:r w:rsidRPr="00F21DBE">
        <w:rPr>
          <w:rFonts w:ascii="Arial" w:hAnsi="Arial" w:cs="Arial"/>
          <w:color w:val="000000" w:themeColor="text1"/>
          <w:sz w:val="24"/>
          <w:szCs w:val="24"/>
          <w:shd w:val="clear" w:color="auto" w:fill="FFFFFF"/>
        </w:rPr>
        <w:t xml:space="preserve"> right. While this judgment was a good starting point towards the recognition of the kind of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 xml:space="preserve">-possession protectable under the </w:t>
      </w:r>
      <w:r w:rsidRPr="00F21DBE">
        <w:rPr>
          <w:rFonts w:ascii="Arial" w:hAnsi="Arial" w:cs="Arial"/>
          <w:color w:val="000000" w:themeColor="text1"/>
          <w:sz w:val="24"/>
          <w:szCs w:val="24"/>
          <w:shd w:val="clear" w:color="auto" w:fill="FFFFFF"/>
        </w:rPr>
        <w:lastRenderedPageBreak/>
        <w:t xml:space="preserve">spoliation remedy, it was rejected for suggesting that the applicant must prove that he is the holder of the alleged right in order to establish possession where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-possession is concerned.</w:t>
      </w:r>
      <w:r w:rsidRPr="00F21DBE">
        <w:rPr>
          <w:rStyle w:val="FootnoteReference"/>
          <w:rFonts w:ascii="Arial" w:hAnsi="Arial" w:cs="Arial"/>
          <w:color w:val="000000" w:themeColor="text1"/>
          <w:sz w:val="24"/>
          <w:szCs w:val="24"/>
          <w:shd w:val="clear" w:color="auto" w:fill="FFFFFF"/>
        </w:rPr>
        <w:footnoteReference w:id="233"/>
      </w:r>
      <w:r w:rsidRPr="00F21DBE">
        <w:rPr>
          <w:rFonts w:ascii="Arial" w:hAnsi="Arial" w:cs="Arial"/>
          <w:color w:val="000000" w:themeColor="text1"/>
          <w:sz w:val="24"/>
          <w:szCs w:val="24"/>
          <w:shd w:val="clear" w:color="auto" w:fill="FFFFFF"/>
        </w:rPr>
        <w:t xml:space="preserve"> In</w:t>
      </w:r>
      <w:r w:rsidRPr="00F21DBE">
        <w:rPr>
          <w:rFonts w:ascii="Arial" w:hAnsi="Arial" w:cs="Arial"/>
          <w:i/>
          <w:iCs/>
          <w:color w:val="000000" w:themeColor="text1"/>
          <w:sz w:val="24"/>
          <w:szCs w:val="24"/>
          <w:shd w:val="clear" w:color="auto" w:fill="FFFFFF"/>
        </w:rPr>
        <w:t xml:space="preserve"> Bennett Pringle, </w:t>
      </w:r>
      <w:r w:rsidRPr="00F21DBE">
        <w:rPr>
          <w:rFonts w:ascii="Arial" w:hAnsi="Arial" w:cs="Arial"/>
          <w:color w:val="000000" w:themeColor="text1"/>
          <w:sz w:val="24"/>
          <w:szCs w:val="24"/>
          <w:shd w:val="clear" w:color="auto" w:fill="FFFFFF"/>
        </w:rPr>
        <w:t xml:space="preserve">the court traced the applicant’s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 xml:space="preserve">-possession of a right to physical acts and use of the thing. This approach was followed in </w:t>
      </w:r>
      <w:proofErr w:type="spellStart"/>
      <w:r w:rsidRPr="00F21DBE">
        <w:rPr>
          <w:rFonts w:ascii="Arial" w:hAnsi="Arial" w:cs="Arial"/>
          <w:i/>
          <w:iCs/>
          <w:color w:val="000000" w:themeColor="text1"/>
          <w:sz w:val="24"/>
          <w:szCs w:val="24"/>
          <w:shd w:val="clear" w:color="auto" w:fill="FFFFFF"/>
        </w:rPr>
        <w:t>Nsthwaqala</w:t>
      </w:r>
      <w:proofErr w:type="spellEnd"/>
      <w:r w:rsidRPr="00F21DBE">
        <w:rPr>
          <w:rFonts w:ascii="Arial" w:hAnsi="Arial" w:cs="Arial"/>
          <w:i/>
          <w:iCs/>
          <w:color w:val="000000" w:themeColor="text1"/>
          <w:sz w:val="24"/>
          <w:szCs w:val="24"/>
          <w:shd w:val="clear" w:color="auto" w:fill="FFFFFF"/>
        </w:rPr>
        <w:t xml:space="preserve"> and Others</w:t>
      </w:r>
      <w:r w:rsidRPr="00F21DBE">
        <w:rPr>
          <w:rFonts w:ascii="Arial" w:hAnsi="Arial" w:cs="Arial"/>
          <w:color w:val="000000" w:themeColor="text1"/>
          <w:sz w:val="24"/>
          <w:szCs w:val="24"/>
          <w:shd w:val="clear" w:color="auto" w:fill="FFFFFF"/>
        </w:rPr>
        <w:t xml:space="preserve"> where occupation and use of the physical thing was the point of departure to determining possession in incorporeal cases. Here</w:t>
      </w:r>
      <w:r w:rsidR="00301FB2"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we see a slight development in relation to how the courts tackled the notion of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-possession in spoliation proceedings.</w:t>
      </w:r>
    </w:p>
    <w:p w14:paraId="51701CAD" w14:textId="125EA3CF" w:rsidR="00C72D03" w:rsidRPr="00F21DBE" w:rsidRDefault="00C72D03" w:rsidP="00C72D03">
      <w:pPr>
        <w:spacing w:line="360" w:lineRule="auto"/>
        <w:jc w:val="both"/>
        <w:rPr>
          <w:rFonts w:ascii="Arial" w:hAnsi="Arial" w:cs="Arial"/>
          <w:color w:val="000000" w:themeColor="text1"/>
          <w:sz w:val="24"/>
          <w:szCs w:val="24"/>
          <w:shd w:val="clear" w:color="auto" w:fill="FFFFFF"/>
        </w:rPr>
      </w:pPr>
      <w:r w:rsidRPr="00F21DBE">
        <w:rPr>
          <w:rFonts w:ascii="Arial" w:hAnsi="Arial" w:cs="Arial"/>
          <w:color w:val="000000" w:themeColor="text1"/>
          <w:sz w:val="24"/>
          <w:szCs w:val="24"/>
          <w:shd w:val="clear" w:color="auto" w:fill="FFFFFF"/>
        </w:rPr>
        <w:t xml:space="preserve">Thus far, the characterisation of the right and the exercise of acts emanating from the alleged right is what the applicant needs to prove </w:t>
      </w:r>
      <w:r w:rsidR="00C949F6" w:rsidRPr="00F21DBE">
        <w:rPr>
          <w:rFonts w:ascii="Arial" w:hAnsi="Arial" w:cs="Arial"/>
          <w:color w:val="000000" w:themeColor="text1"/>
          <w:sz w:val="24"/>
          <w:szCs w:val="24"/>
          <w:shd w:val="clear" w:color="auto" w:fill="FFFFFF"/>
        </w:rPr>
        <w:t>to</w:t>
      </w:r>
      <w:r w:rsidRPr="00F21DBE">
        <w:rPr>
          <w:rFonts w:ascii="Arial" w:hAnsi="Arial" w:cs="Arial"/>
          <w:color w:val="000000" w:themeColor="text1"/>
          <w:sz w:val="24"/>
          <w:szCs w:val="24"/>
          <w:shd w:val="clear" w:color="auto" w:fill="FFFFFF"/>
        </w:rPr>
        <w:t xml:space="preserve"> establish the first requirement</w:t>
      </w:r>
      <w:r w:rsidR="00B03E6F" w:rsidRPr="00F21DBE">
        <w:rPr>
          <w:rFonts w:ascii="Arial" w:hAnsi="Arial" w:cs="Arial"/>
          <w:color w:val="000000" w:themeColor="text1"/>
          <w:sz w:val="24"/>
          <w:szCs w:val="24"/>
          <w:shd w:val="clear" w:color="auto" w:fill="FFFFFF"/>
        </w:rPr>
        <w:t>,</w:t>
      </w:r>
      <w:r w:rsidRPr="00F21DBE">
        <w:rPr>
          <w:rFonts w:ascii="Arial" w:hAnsi="Arial" w:cs="Arial"/>
          <w:color w:val="000000" w:themeColor="text1"/>
          <w:sz w:val="24"/>
          <w:szCs w:val="24"/>
          <w:shd w:val="clear" w:color="auto" w:fill="FFFFFF"/>
        </w:rPr>
        <w:t xml:space="preserve"> i.e. </w:t>
      </w:r>
      <w:r w:rsidRPr="00F21DBE">
        <w:rPr>
          <w:rFonts w:ascii="Arial" w:hAnsi="Arial" w:cs="Arial"/>
          <w:bCs/>
          <w:color w:val="000000" w:themeColor="text1"/>
          <w:sz w:val="24"/>
          <w:szCs w:val="24"/>
          <w:shd w:val="clear" w:color="auto" w:fill="FFFFFF"/>
        </w:rPr>
        <w:t xml:space="preserve">the peaceful and undisturbed control element </w:t>
      </w:r>
      <w:r w:rsidR="000B0379" w:rsidRPr="00F21DBE">
        <w:rPr>
          <w:rFonts w:ascii="Arial" w:hAnsi="Arial" w:cs="Arial"/>
          <w:bCs/>
          <w:color w:val="000000" w:themeColor="text1"/>
          <w:sz w:val="24"/>
          <w:szCs w:val="24"/>
          <w:shd w:val="clear" w:color="auto" w:fill="FFFFFF"/>
        </w:rPr>
        <w:t>where</w:t>
      </w:r>
      <w:r w:rsidRPr="00F21DBE">
        <w:rPr>
          <w:rFonts w:ascii="Arial" w:hAnsi="Arial" w:cs="Arial"/>
          <w:bCs/>
          <w:color w:val="000000" w:themeColor="text1"/>
          <w:sz w:val="24"/>
          <w:szCs w:val="24"/>
          <w:shd w:val="clear" w:color="auto" w:fill="FFFFFF"/>
        </w:rPr>
        <w:t xml:space="preserve"> the </w:t>
      </w:r>
      <w:r w:rsidRPr="00F21DBE">
        <w:rPr>
          <w:rFonts w:ascii="Arial" w:hAnsi="Arial" w:cs="Arial"/>
          <w:bCs/>
          <w:i/>
          <w:iCs/>
          <w:color w:val="000000" w:themeColor="text1"/>
          <w:sz w:val="24"/>
          <w:szCs w:val="24"/>
          <w:shd w:val="clear" w:color="auto" w:fill="FFFFFF"/>
        </w:rPr>
        <w:t>quasi</w:t>
      </w:r>
      <w:r w:rsidRPr="00F21DBE">
        <w:rPr>
          <w:rFonts w:ascii="Arial" w:hAnsi="Arial" w:cs="Arial"/>
          <w:bCs/>
          <w:color w:val="000000" w:themeColor="text1"/>
          <w:sz w:val="24"/>
          <w:szCs w:val="24"/>
          <w:shd w:val="clear" w:color="auto" w:fill="FFFFFF"/>
        </w:rPr>
        <w:t xml:space="preserve">-possession of </w:t>
      </w:r>
      <w:proofErr w:type="spellStart"/>
      <w:r w:rsidRPr="00F21DBE">
        <w:rPr>
          <w:rFonts w:ascii="Arial" w:hAnsi="Arial" w:cs="Arial"/>
          <w:bCs/>
          <w:color w:val="000000" w:themeColor="text1"/>
          <w:sz w:val="24"/>
          <w:szCs w:val="24"/>
          <w:shd w:val="clear" w:color="auto" w:fill="FFFFFF"/>
        </w:rPr>
        <w:t>incorporeals</w:t>
      </w:r>
      <w:proofErr w:type="spellEnd"/>
      <w:r w:rsidR="000B0379" w:rsidRPr="00F21DBE">
        <w:rPr>
          <w:rFonts w:ascii="Arial" w:hAnsi="Arial" w:cs="Arial"/>
          <w:bCs/>
          <w:color w:val="000000" w:themeColor="text1"/>
          <w:sz w:val="24"/>
          <w:szCs w:val="24"/>
          <w:shd w:val="clear" w:color="auto" w:fill="FFFFFF"/>
        </w:rPr>
        <w:t xml:space="preserve"> is concerned</w:t>
      </w:r>
      <w:r w:rsidRPr="00F21DBE">
        <w:rPr>
          <w:rFonts w:ascii="Arial" w:hAnsi="Arial" w:cs="Arial"/>
          <w:bCs/>
          <w:color w:val="000000" w:themeColor="text1"/>
          <w:sz w:val="24"/>
          <w:szCs w:val="24"/>
          <w:shd w:val="clear" w:color="auto" w:fill="FFFFFF"/>
        </w:rPr>
        <w:t>.</w:t>
      </w:r>
      <w:r w:rsidRPr="00F21DBE">
        <w:rPr>
          <w:rStyle w:val="FootnoteReference"/>
          <w:rFonts w:ascii="Arial" w:hAnsi="Arial" w:cs="Arial"/>
          <w:bCs/>
          <w:color w:val="000000" w:themeColor="text1"/>
          <w:sz w:val="24"/>
          <w:szCs w:val="24"/>
          <w:shd w:val="clear" w:color="auto" w:fill="FFFFFF"/>
        </w:rPr>
        <w:footnoteReference w:id="234"/>
      </w:r>
      <w:r w:rsidRPr="00F21DBE">
        <w:rPr>
          <w:rFonts w:ascii="Arial" w:hAnsi="Arial" w:cs="Arial"/>
          <w:color w:val="000000" w:themeColor="text1"/>
          <w:sz w:val="24"/>
          <w:szCs w:val="24"/>
          <w:shd w:val="clear" w:color="auto" w:fill="FFFFFF"/>
        </w:rPr>
        <w:t xml:space="preserve"> The following discussion narrows the scope of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 xml:space="preserve">-possession to determine exactly the kind of </w:t>
      </w:r>
      <w:r w:rsidRPr="00F21DBE">
        <w:rPr>
          <w:rFonts w:ascii="Arial" w:hAnsi="Arial" w:cs="Arial"/>
          <w:i/>
          <w:iCs/>
          <w:color w:val="000000" w:themeColor="text1"/>
          <w:sz w:val="24"/>
          <w:szCs w:val="24"/>
          <w:shd w:val="clear" w:color="auto" w:fill="FFFFFF"/>
        </w:rPr>
        <w:t>quasi</w:t>
      </w:r>
      <w:r w:rsidRPr="00F21DBE">
        <w:rPr>
          <w:rFonts w:ascii="Arial" w:hAnsi="Arial" w:cs="Arial"/>
          <w:color w:val="000000" w:themeColor="text1"/>
          <w:sz w:val="24"/>
          <w:szCs w:val="24"/>
          <w:shd w:val="clear" w:color="auto" w:fill="FFFFFF"/>
        </w:rPr>
        <w:t>-possession rights protected by the spoliation remedy.</w:t>
      </w:r>
    </w:p>
    <w:p w14:paraId="799B2795" w14:textId="77777777" w:rsidR="00937CD5" w:rsidRPr="00B17C11" w:rsidRDefault="00937CD5" w:rsidP="00C72D03">
      <w:pPr>
        <w:spacing w:line="360" w:lineRule="auto"/>
        <w:jc w:val="both"/>
        <w:rPr>
          <w:rFonts w:ascii="Arial" w:hAnsi="Arial" w:cs="Arial"/>
          <w:sz w:val="24"/>
          <w:szCs w:val="24"/>
          <w:shd w:val="clear" w:color="auto" w:fill="FFFFFF"/>
        </w:rPr>
      </w:pPr>
    </w:p>
    <w:p w14:paraId="55090B30" w14:textId="77777777" w:rsidR="00C72D03" w:rsidRPr="004B0F7D" w:rsidRDefault="00C72D03" w:rsidP="00255733">
      <w:pPr>
        <w:pStyle w:val="Heading3"/>
        <w:rPr>
          <w:color w:val="000000" w:themeColor="text1"/>
        </w:rPr>
      </w:pPr>
      <w:bookmarkStart w:id="22" w:name="_Toc181339549"/>
      <w:r w:rsidRPr="00B17C11">
        <w:t xml:space="preserve">3.3.1 The kind of </w:t>
      </w:r>
      <w:r w:rsidRPr="00B17C11">
        <w:rPr>
          <w:i/>
          <w:iCs/>
        </w:rPr>
        <w:t>quasi</w:t>
      </w:r>
      <w:r w:rsidRPr="00B17C11">
        <w:t xml:space="preserve">-possession rights protectable under the spoliation </w:t>
      </w:r>
      <w:r w:rsidRPr="004B0F7D">
        <w:rPr>
          <w:color w:val="000000" w:themeColor="text1"/>
        </w:rPr>
        <w:t>remedy</w:t>
      </w:r>
      <w:bookmarkEnd w:id="22"/>
    </w:p>
    <w:p w14:paraId="56FF1152" w14:textId="53BEEB7A"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While the term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 xml:space="preserve">-possession concerns the possession of rights, it does not necessarily mean that the spoliation remedy protects the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-possession of all rights.</w:t>
      </w:r>
      <w:r w:rsidRPr="004B0F7D">
        <w:rPr>
          <w:rStyle w:val="FootnoteReference"/>
          <w:rFonts w:ascii="Arial" w:hAnsi="Arial" w:cs="Arial"/>
          <w:color w:val="000000" w:themeColor="text1"/>
          <w:sz w:val="24"/>
          <w:szCs w:val="24"/>
          <w:shd w:val="clear" w:color="auto" w:fill="FFFFFF"/>
        </w:rPr>
        <w:footnoteReference w:id="235"/>
      </w:r>
      <w:r w:rsidRPr="004B0F7D">
        <w:rPr>
          <w:rFonts w:ascii="Arial" w:hAnsi="Arial" w:cs="Arial"/>
          <w:color w:val="000000" w:themeColor="text1"/>
          <w:sz w:val="24"/>
          <w:szCs w:val="24"/>
          <w:shd w:val="clear" w:color="auto" w:fill="FFFFFF"/>
        </w:rPr>
        <w:t xml:space="preserve"> A distinction is drawn between the spoliation of </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 and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w:t>
      </w:r>
      <w:r w:rsidRPr="004B0F7D">
        <w:rPr>
          <w:rStyle w:val="FootnoteReference"/>
          <w:rFonts w:ascii="Arial" w:hAnsi="Arial" w:cs="Arial"/>
          <w:color w:val="000000" w:themeColor="text1"/>
          <w:sz w:val="24"/>
          <w:szCs w:val="24"/>
          <w:shd w:val="clear" w:color="auto" w:fill="FFFFFF"/>
        </w:rPr>
        <w:footnoteReference w:id="236"/>
      </w:r>
      <w:r w:rsidRPr="004B0F7D">
        <w:rPr>
          <w:rFonts w:ascii="Arial" w:hAnsi="Arial" w:cs="Arial"/>
          <w:color w:val="000000" w:themeColor="text1"/>
          <w:sz w:val="24"/>
          <w:szCs w:val="24"/>
          <w:shd w:val="clear" w:color="auto" w:fill="FFFFFF"/>
        </w:rPr>
        <w:t xml:space="preserve"> This discussion sets out how courts ordinarily prove possession when dealing with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 xml:space="preserve">-possession of </w:t>
      </w:r>
      <w:proofErr w:type="spellStart"/>
      <w:r w:rsidRPr="004B0F7D">
        <w:rPr>
          <w:rFonts w:ascii="Arial" w:hAnsi="Arial" w:cs="Arial"/>
          <w:color w:val="000000" w:themeColor="text1"/>
          <w:sz w:val="24"/>
          <w:szCs w:val="24"/>
          <w:shd w:val="clear" w:color="auto" w:fill="FFFFFF"/>
        </w:rPr>
        <w:t>incorporeals</w:t>
      </w:r>
      <w:proofErr w:type="spellEnd"/>
      <w:r w:rsidRPr="004B0F7D">
        <w:rPr>
          <w:rFonts w:ascii="Arial" w:hAnsi="Arial" w:cs="Arial"/>
          <w:color w:val="000000" w:themeColor="text1"/>
          <w:sz w:val="24"/>
          <w:szCs w:val="24"/>
          <w:shd w:val="clear" w:color="auto" w:fill="FFFFFF"/>
        </w:rPr>
        <w:t xml:space="preserve"> with reference to the distinction between servitudes and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w:t>
      </w:r>
    </w:p>
    <w:p w14:paraId="28D5AB33" w14:textId="77777777" w:rsidR="00255733" w:rsidRPr="004B0F7D" w:rsidRDefault="00255733" w:rsidP="00C72D03">
      <w:pPr>
        <w:spacing w:line="360" w:lineRule="auto"/>
        <w:jc w:val="both"/>
        <w:rPr>
          <w:rFonts w:ascii="Arial" w:hAnsi="Arial" w:cs="Arial"/>
          <w:color w:val="000000" w:themeColor="text1"/>
          <w:sz w:val="24"/>
          <w:szCs w:val="24"/>
          <w:shd w:val="clear" w:color="auto" w:fill="FFFFFF"/>
        </w:rPr>
      </w:pPr>
    </w:p>
    <w:p w14:paraId="12484B50" w14:textId="31083889" w:rsidR="00C72D03" w:rsidRPr="004B0F7D" w:rsidRDefault="00255733" w:rsidP="00255733">
      <w:pPr>
        <w:pStyle w:val="Heading4"/>
        <w:rPr>
          <w:color w:val="000000" w:themeColor="text1"/>
        </w:rPr>
      </w:pPr>
      <w:r w:rsidRPr="004B0F7D">
        <w:rPr>
          <w:color w:val="000000" w:themeColor="text1"/>
        </w:rPr>
        <w:lastRenderedPageBreak/>
        <w:t xml:space="preserve">3.3.1.1 </w:t>
      </w:r>
      <w:proofErr w:type="spellStart"/>
      <w:r w:rsidR="00C72D03" w:rsidRPr="004B0F7D">
        <w:rPr>
          <w:color w:val="000000" w:themeColor="text1"/>
        </w:rPr>
        <w:t>Servitutal</w:t>
      </w:r>
      <w:proofErr w:type="spellEnd"/>
      <w:r w:rsidR="00C72D03" w:rsidRPr="004B0F7D">
        <w:rPr>
          <w:color w:val="000000" w:themeColor="text1"/>
        </w:rPr>
        <w:t xml:space="preserve"> rights</w:t>
      </w:r>
    </w:p>
    <w:p w14:paraId="7A7DEB57" w14:textId="77777777" w:rsidR="00C72D03" w:rsidRPr="004B0F7D" w:rsidRDefault="00C72D03" w:rsidP="00C72D03">
      <w:pPr>
        <w:spacing w:line="360" w:lineRule="auto"/>
        <w:jc w:val="both"/>
        <w:rPr>
          <w:rFonts w:ascii="Arial" w:hAnsi="Arial" w:cs="Arial"/>
          <w:color w:val="000000" w:themeColor="text1"/>
          <w:sz w:val="24"/>
          <w:szCs w:val="24"/>
          <w:shd w:val="clear" w:color="auto" w:fill="FFFFFF"/>
          <w:lang w:val="en-GB"/>
        </w:rPr>
      </w:pPr>
      <w:r w:rsidRPr="004B0F7D">
        <w:rPr>
          <w:rFonts w:ascii="Arial" w:hAnsi="Arial" w:cs="Arial"/>
          <w:color w:val="000000" w:themeColor="text1"/>
          <w:sz w:val="24"/>
          <w:szCs w:val="24"/>
          <w:shd w:val="clear" w:color="auto" w:fill="FFFFFF"/>
          <w:lang w:val="en-GB"/>
        </w:rPr>
        <w:t xml:space="preserve">The judgement of the court in the case of </w:t>
      </w:r>
      <w:r w:rsidRPr="004B0F7D">
        <w:rPr>
          <w:rFonts w:ascii="Arial" w:hAnsi="Arial" w:cs="Arial"/>
          <w:i/>
          <w:iCs/>
          <w:color w:val="000000" w:themeColor="text1"/>
          <w:sz w:val="24"/>
          <w:szCs w:val="24"/>
          <w:shd w:val="clear" w:color="auto" w:fill="FFFFFF"/>
          <w:lang w:val="en-GB"/>
        </w:rPr>
        <w:t>Bon Quelle (</w:t>
      </w:r>
      <w:proofErr w:type="spellStart"/>
      <w:r w:rsidRPr="004B0F7D">
        <w:rPr>
          <w:rFonts w:ascii="Arial" w:hAnsi="Arial" w:cs="Arial"/>
          <w:i/>
          <w:iCs/>
          <w:color w:val="000000" w:themeColor="text1"/>
          <w:sz w:val="24"/>
          <w:szCs w:val="24"/>
          <w:shd w:val="clear" w:color="auto" w:fill="FFFFFF"/>
          <w:lang w:val="en-GB"/>
        </w:rPr>
        <w:t>Edms</w:t>
      </w:r>
      <w:proofErr w:type="spellEnd"/>
      <w:r w:rsidRPr="004B0F7D">
        <w:rPr>
          <w:rFonts w:ascii="Arial" w:hAnsi="Arial" w:cs="Arial"/>
          <w:i/>
          <w:iCs/>
          <w:color w:val="000000" w:themeColor="text1"/>
          <w:sz w:val="24"/>
          <w:szCs w:val="24"/>
          <w:shd w:val="clear" w:color="auto" w:fill="FFFFFF"/>
          <w:lang w:val="en-GB"/>
        </w:rPr>
        <w:t xml:space="preserve">) </w:t>
      </w:r>
      <w:proofErr w:type="spellStart"/>
      <w:r w:rsidRPr="004B0F7D">
        <w:rPr>
          <w:rFonts w:ascii="Arial" w:hAnsi="Arial" w:cs="Arial"/>
          <w:i/>
          <w:iCs/>
          <w:color w:val="000000" w:themeColor="text1"/>
          <w:sz w:val="24"/>
          <w:szCs w:val="24"/>
          <w:shd w:val="clear" w:color="auto" w:fill="FFFFFF"/>
          <w:lang w:val="en-GB"/>
        </w:rPr>
        <w:t>Bpk</w:t>
      </w:r>
      <w:proofErr w:type="spellEnd"/>
      <w:r w:rsidRPr="004B0F7D">
        <w:rPr>
          <w:rFonts w:ascii="Arial" w:hAnsi="Arial" w:cs="Arial"/>
          <w:i/>
          <w:iCs/>
          <w:color w:val="000000" w:themeColor="text1"/>
          <w:sz w:val="24"/>
          <w:szCs w:val="24"/>
          <w:shd w:val="clear" w:color="auto" w:fill="FFFFFF"/>
          <w:lang w:val="en-GB"/>
        </w:rPr>
        <w:t xml:space="preserve"> v </w:t>
      </w:r>
      <w:proofErr w:type="spellStart"/>
      <w:r w:rsidRPr="004B0F7D">
        <w:rPr>
          <w:rFonts w:ascii="Arial" w:hAnsi="Arial" w:cs="Arial"/>
          <w:i/>
          <w:iCs/>
          <w:color w:val="000000" w:themeColor="text1"/>
          <w:sz w:val="24"/>
          <w:szCs w:val="24"/>
          <w:shd w:val="clear" w:color="auto" w:fill="FFFFFF"/>
          <w:lang w:val="en-GB"/>
        </w:rPr>
        <w:t>Munisipaliteit</w:t>
      </w:r>
      <w:proofErr w:type="spellEnd"/>
      <w:r w:rsidRPr="004B0F7D">
        <w:rPr>
          <w:rFonts w:ascii="Arial" w:hAnsi="Arial" w:cs="Arial"/>
          <w:i/>
          <w:iCs/>
          <w:color w:val="000000" w:themeColor="text1"/>
          <w:sz w:val="24"/>
          <w:szCs w:val="24"/>
          <w:shd w:val="clear" w:color="auto" w:fill="FFFFFF"/>
          <w:lang w:val="en-GB"/>
        </w:rPr>
        <w:t xml:space="preserve"> van Otavi </w:t>
      </w:r>
      <w:r w:rsidRPr="004B0F7D">
        <w:rPr>
          <w:rFonts w:ascii="Arial" w:hAnsi="Arial" w:cs="Arial"/>
          <w:color w:val="000000" w:themeColor="text1"/>
          <w:sz w:val="24"/>
          <w:szCs w:val="24"/>
          <w:shd w:val="clear" w:color="auto" w:fill="FFFFFF"/>
          <w:lang w:val="en-GB"/>
        </w:rPr>
        <w:t xml:space="preserve">is frequently cited as the authority for the type of possession required to establish </w:t>
      </w:r>
      <w:r w:rsidRPr="004B0F7D">
        <w:rPr>
          <w:rFonts w:ascii="Arial" w:hAnsi="Arial" w:cs="Arial"/>
          <w:i/>
          <w:iCs/>
          <w:color w:val="000000" w:themeColor="text1"/>
          <w:sz w:val="24"/>
          <w:szCs w:val="24"/>
          <w:shd w:val="clear" w:color="auto" w:fill="FFFFFF"/>
          <w:lang w:val="en-GB"/>
        </w:rPr>
        <w:t>quasi</w:t>
      </w:r>
      <w:r w:rsidRPr="004B0F7D">
        <w:rPr>
          <w:rFonts w:ascii="Arial" w:hAnsi="Arial" w:cs="Arial"/>
          <w:color w:val="000000" w:themeColor="text1"/>
          <w:sz w:val="24"/>
          <w:szCs w:val="24"/>
          <w:shd w:val="clear" w:color="auto" w:fill="FFFFFF"/>
          <w:lang w:val="en-GB"/>
        </w:rPr>
        <w:t xml:space="preserve">-possession in the case of </w:t>
      </w:r>
      <w:proofErr w:type="spellStart"/>
      <w:r w:rsidRPr="004B0F7D">
        <w:rPr>
          <w:rFonts w:ascii="Arial" w:hAnsi="Arial" w:cs="Arial"/>
          <w:color w:val="000000" w:themeColor="text1"/>
          <w:sz w:val="24"/>
          <w:szCs w:val="24"/>
          <w:shd w:val="clear" w:color="auto" w:fill="FFFFFF"/>
          <w:lang w:val="en-GB"/>
        </w:rPr>
        <w:t>servitutal</w:t>
      </w:r>
      <w:proofErr w:type="spellEnd"/>
      <w:r w:rsidRPr="004B0F7D">
        <w:rPr>
          <w:rFonts w:ascii="Arial" w:hAnsi="Arial" w:cs="Arial"/>
          <w:color w:val="000000" w:themeColor="text1"/>
          <w:sz w:val="24"/>
          <w:szCs w:val="24"/>
          <w:shd w:val="clear" w:color="auto" w:fill="FFFFFF"/>
          <w:lang w:val="en-GB"/>
        </w:rPr>
        <w:t xml:space="preserve"> rights.</w:t>
      </w:r>
      <w:r w:rsidRPr="004B0F7D">
        <w:rPr>
          <w:rFonts w:ascii="Arial" w:hAnsi="Arial" w:cs="Arial"/>
          <w:color w:val="000000" w:themeColor="text1"/>
          <w:sz w:val="24"/>
          <w:szCs w:val="24"/>
          <w:shd w:val="clear" w:color="auto" w:fill="FFFFFF"/>
          <w:vertAlign w:val="superscript"/>
          <w:lang w:val="en-GB"/>
        </w:rPr>
        <w:footnoteReference w:id="237"/>
      </w:r>
      <w:r w:rsidRPr="004B0F7D">
        <w:rPr>
          <w:rFonts w:ascii="Arial" w:hAnsi="Arial" w:cs="Arial"/>
          <w:color w:val="000000" w:themeColor="text1"/>
          <w:sz w:val="24"/>
          <w:szCs w:val="24"/>
          <w:shd w:val="clear" w:color="auto" w:fill="FFFFFF"/>
          <w:lang w:val="en-GB"/>
        </w:rPr>
        <w:t xml:space="preserve"> The court held that the </w:t>
      </w:r>
      <w:r w:rsidRPr="004B0F7D">
        <w:rPr>
          <w:rFonts w:ascii="Arial" w:hAnsi="Arial" w:cs="Arial"/>
          <w:i/>
          <w:iCs/>
          <w:color w:val="000000" w:themeColor="text1"/>
          <w:sz w:val="24"/>
          <w:szCs w:val="24"/>
          <w:shd w:val="clear" w:color="auto" w:fill="FFFFFF"/>
          <w:lang w:val="en-GB"/>
        </w:rPr>
        <w:t>quasi</w:t>
      </w:r>
      <w:r w:rsidRPr="004B0F7D">
        <w:rPr>
          <w:rFonts w:ascii="Arial" w:hAnsi="Arial" w:cs="Arial"/>
          <w:color w:val="000000" w:themeColor="text1"/>
          <w:sz w:val="24"/>
          <w:szCs w:val="24"/>
          <w:shd w:val="clear" w:color="auto" w:fill="FFFFFF"/>
          <w:lang w:val="en-GB"/>
        </w:rPr>
        <w:t xml:space="preserve">-possession of the servitude is established by indicating the actual use of the servitude or the exercise of actions associated with the alleged </w:t>
      </w:r>
      <w:proofErr w:type="spellStart"/>
      <w:r w:rsidRPr="004B0F7D">
        <w:rPr>
          <w:rFonts w:ascii="Arial" w:hAnsi="Arial" w:cs="Arial"/>
          <w:color w:val="000000" w:themeColor="text1"/>
          <w:sz w:val="24"/>
          <w:szCs w:val="24"/>
          <w:shd w:val="clear" w:color="auto" w:fill="FFFFFF"/>
          <w:lang w:val="en-GB"/>
        </w:rPr>
        <w:t>servitutal</w:t>
      </w:r>
      <w:proofErr w:type="spellEnd"/>
      <w:r w:rsidRPr="004B0F7D">
        <w:rPr>
          <w:rFonts w:ascii="Arial" w:hAnsi="Arial" w:cs="Arial"/>
          <w:color w:val="000000" w:themeColor="text1"/>
          <w:sz w:val="24"/>
          <w:szCs w:val="24"/>
          <w:shd w:val="clear" w:color="auto" w:fill="FFFFFF"/>
          <w:lang w:val="en-GB"/>
        </w:rPr>
        <w:t xml:space="preserve"> right.</w:t>
      </w:r>
      <w:r w:rsidRPr="004B0F7D">
        <w:rPr>
          <w:rFonts w:ascii="Arial" w:hAnsi="Arial" w:cs="Arial"/>
          <w:color w:val="000000" w:themeColor="text1"/>
          <w:sz w:val="24"/>
          <w:szCs w:val="24"/>
          <w:shd w:val="clear" w:color="auto" w:fill="FFFFFF"/>
          <w:vertAlign w:val="superscript"/>
          <w:lang w:val="en-GB"/>
        </w:rPr>
        <w:footnoteReference w:id="238"/>
      </w:r>
      <w:r w:rsidRPr="004B0F7D">
        <w:rPr>
          <w:rFonts w:ascii="Arial" w:hAnsi="Arial" w:cs="Arial"/>
          <w:color w:val="000000" w:themeColor="text1"/>
          <w:sz w:val="24"/>
          <w:szCs w:val="24"/>
          <w:shd w:val="clear" w:color="auto" w:fill="FFFFFF"/>
          <w:lang w:val="en-GB"/>
        </w:rPr>
        <w:t xml:space="preserve"> In other words, the applicant is expected to prove factual possession.</w:t>
      </w:r>
      <w:r w:rsidRPr="004B0F7D">
        <w:rPr>
          <w:rFonts w:ascii="Arial" w:hAnsi="Arial" w:cs="Arial"/>
          <w:color w:val="000000" w:themeColor="text1"/>
          <w:sz w:val="24"/>
          <w:szCs w:val="24"/>
          <w:shd w:val="clear" w:color="auto" w:fill="FFFFFF"/>
          <w:vertAlign w:val="superscript"/>
          <w:lang w:val="en-GB"/>
        </w:rPr>
        <w:footnoteReference w:id="239"/>
      </w:r>
    </w:p>
    <w:p w14:paraId="4BBA5A0C" w14:textId="5E5C98C3"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The facts of this case are as follows</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t>
      </w:r>
      <w:r w:rsidR="000B0379" w:rsidRPr="004B0F7D">
        <w:rPr>
          <w:rFonts w:ascii="Arial" w:hAnsi="Arial" w:cs="Arial"/>
          <w:color w:val="000000" w:themeColor="text1"/>
          <w:sz w:val="24"/>
          <w:szCs w:val="24"/>
          <w:shd w:val="clear" w:color="auto" w:fill="FFFFFF"/>
        </w:rPr>
        <w:t>I</w:t>
      </w:r>
      <w:r w:rsidRPr="004B0F7D">
        <w:rPr>
          <w:rFonts w:ascii="Arial" w:hAnsi="Arial" w:cs="Arial"/>
          <w:color w:val="000000" w:themeColor="text1"/>
          <w:sz w:val="24"/>
          <w:szCs w:val="24"/>
          <w:shd w:val="clear" w:color="auto" w:fill="FFFFFF"/>
        </w:rPr>
        <w:t>n 1986, the appellant cut off the flow of water to the storage tank that was pumping water to the local town. The municipality approached the court for an order directing the appellant to restore the flow of water to the storage tank. The appellant argued that the respondent had to prove the existence of the servitude to succeed with the spoliation order.</w:t>
      </w:r>
      <w:r w:rsidRPr="004B0F7D">
        <w:rPr>
          <w:rStyle w:val="FootnoteReference"/>
          <w:rFonts w:ascii="Arial" w:hAnsi="Arial" w:cs="Arial"/>
          <w:color w:val="000000" w:themeColor="text1"/>
          <w:sz w:val="24"/>
          <w:szCs w:val="24"/>
          <w:shd w:val="clear" w:color="auto" w:fill="FFFFFF"/>
        </w:rPr>
        <w:footnoteReference w:id="240"/>
      </w:r>
      <w:r w:rsidRPr="004B0F7D">
        <w:rPr>
          <w:rFonts w:ascii="Arial" w:hAnsi="Arial" w:cs="Arial"/>
          <w:color w:val="000000" w:themeColor="text1"/>
          <w:sz w:val="24"/>
          <w:szCs w:val="24"/>
          <w:shd w:val="clear" w:color="auto" w:fill="FFFFFF"/>
        </w:rPr>
        <w:t xml:space="preserve"> The court rejected this claim and held that the insistence on proving the existence of a servitude constitutes a deviation from accepted principles.</w:t>
      </w:r>
      <w:r w:rsidRPr="004B0F7D">
        <w:rPr>
          <w:rStyle w:val="FootnoteReference"/>
          <w:rFonts w:ascii="Arial" w:hAnsi="Arial" w:cs="Arial"/>
          <w:color w:val="000000" w:themeColor="text1"/>
          <w:sz w:val="24"/>
          <w:szCs w:val="24"/>
          <w:shd w:val="clear" w:color="auto" w:fill="FFFFFF"/>
        </w:rPr>
        <w:footnoteReference w:id="241"/>
      </w:r>
      <w:r w:rsidRPr="004B0F7D">
        <w:rPr>
          <w:rFonts w:ascii="Arial" w:hAnsi="Arial" w:cs="Arial"/>
          <w:color w:val="000000" w:themeColor="text1"/>
          <w:sz w:val="24"/>
          <w:szCs w:val="24"/>
          <w:shd w:val="clear" w:color="auto" w:fill="FFFFFF"/>
        </w:rPr>
        <w:t xml:space="preserve"> It was held that the actual use of the servitude takes the place of physical possession in standard cases.</w:t>
      </w:r>
      <w:r w:rsidRPr="004B0F7D">
        <w:rPr>
          <w:rStyle w:val="FootnoteReference"/>
          <w:rFonts w:ascii="Arial" w:hAnsi="Arial" w:cs="Arial"/>
          <w:color w:val="000000" w:themeColor="text1"/>
          <w:sz w:val="24"/>
          <w:szCs w:val="24"/>
          <w:shd w:val="clear" w:color="auto" w:fill="FFFFFF"/>
        </w:rPr>
        <w:footnoteReference w:id="242"/>
      </w:r>
      <w:r w:rsidRPr="004B0F7D">
        <w:rPr>
          <w:rFonts w:ascii="Arial" w:hAnsi="Arial" w:cs="Arial"/>
          <w:color w:val="000000" w:themeColor="text1"/>
          <w:sz w:val="24"/>
          <w:szCs w:val="24"/>
          <w:shd w:val="clear" w:color="auto" w:fill="FFFFFF"/>
        </w:rPr>
        <w:t xml:space="preserve"> It is stated that this approach is necessitated by the fact that an incorporeal thing is not susceptible or capable of being possessed physically in the same way that corporeal things are possessed.</w:t>
      </w:r>
      <w:r w:rsidRPr="004B0F7D">
        <w:rPr>
          <w:rStyle w:val="FootnoteReference"/>
          <w:rFonts w:ascii="Arial" w:hAnsi="Arial" w:cs="Arial"/>
          <w:color w:val="000000" w:themeColor="text1"/>
          <w:sz w:val="24"/>
          <w:szCs w:val="24"/>
          <w:shd w:val="clear" w:color="auto" w:fill="FFFFFF"/>
        </w:rPr>
        <w:footnoteReference w:id="243"/>
      </w:r>
      <w:r w:rsidRPr="004B0F7D">
        <w:rPr>
          <w:rFonts w:ascii="Arial" w:hAnsi="Arial" w:cs="Arial"/>
          <w:color w:val="000000" w:themeColor="text1"/>
          <w:sz w:val="24"/>
          <w:szCs w:val="24"/>
          <w:shd w:val="clear" w:color="auto" w:fill="FFFFFF"/>
        </w:rPr>
        <w:t xml:space="preserve"> The court concluded that in such circumstances, it is not necessary to prove the existence of a servitude</w:t>
      </w:r>
      <w:r w:rsidR="00301FB2" w:rsidRPr="004B0F7D">
        <w:rPr>
          <w:rFonts w:ascii="Arial" w:hAnsi="Arial" w:cs="Arial"/>
          <w:color w:val="000000" w:themeColor="text1"/>
          <w:sz w:val="24"/>
          <w:szCs w:val="24"/>
          <w:shd w:val="clear" w:color="auto" w:fill="FFFFFF"/>
        </w:rPr>
        <w:t>. T</w:t>
      </w:r>
      <w:r w:rsidRPr="004B0F7D">
        <w:rPr>
          <w:rFonts w:ascii="Arial" w:hAnsi="Arial" w:cs="Arial"/>
          <w:color w:val="000000" w:themeColor="text1"/>
          <w:sz w:val="24"/>
          <w:szCs w:val="24"/>
          <w:shd w:val="clear" w:color="auto" w:fill="FFFFFF"/>
        </w:rPr>
        <w:t>he actual exercise of the alleged right suffices to render the applicant eligible for the spoliation order.</w:t>
      </w:r>
      <w:r w:rsidRPr="004B0F7D">
        <w:rPr>
          <w:rStyle w:val="FootnoteReference"/>
          <w:rFonts w:ascii="Arial" w:hAnsi="Arial" w:cs="Arial"/>
          <w:color w:val="000000" w:themeColor="text1"/>
          <w:sz w:val="24"/>
          <w:szCs w:val="24"/>
          <w:shd w:val="clear" w:color="auto" w:fill="FFFFFF"/>
        </w:rPr>
        <w:footnoteReference w:id="244"/>
      </w:r>
      <w:r w:rsidRPr="004B0F7D">
        <w:rPr>
          <w:rFonts w:ascii="Arial" w:hAnsi="Arial" w:cs="Arial"/>
          <w:color w:val="000000" w:themeColor="text1"/>
          <w:sz w:val="24"/>
          <w:szCs w:val="24"/>
          <w:shd w:val="clear" w:color="auto" w:fill="FFFFFF"/>
        </w:rPr>
        <w:t xml:space="preserve"> In other words, the </w:t>
      </w:r>
      <w:r w:rsidRPr="004B0F7D">
        <w:rPr>
          <w:rFonts w:ascii="Arial" w:hAnsi="Arial" w:cs="Arial"/>
          <w:i/>
          <w:iCs/>
          <w:color w:val="000000" w:themeColor="text1"/>
          <w:sz w:val="24"/>
          <w:szCs w:val="24"/>
          <w:shd w:val="clear" w:color="auto" w:fill="FFFFFF"/>
        </w:rPr>
        <w:t>status quo</w:t>
      </w:r>
      <w:r w:rsidRPr="004B0F7D">
        <w:rPr>
          <w:rFonts w:ascii="Arial" w:hAnsi="Arial" w:cs="Arial"/>
          <w:color w:val="000000" w:themeColor="text1"/>
          <w:sz w:val="24"/>
          <w:szCs w:val="24"/>
          <w:shd w:val="clear" w:color="auto" w:fill="FFFFFF"/>
        </w:rPr>
        <w:t xml:space="preserve"> or the restoration desired by the appellant was the factual exercise of the servitude and not the actual servitude.</w:t>
      </w:r>
      <w:r w:rsidRPr="004B0F7D">
        <w:rPr>
          <w:rStyle w:val="FootnoteReference"/>
          <w:rFonts w:ascii="Arial" w:hAnsi="Arial" w:cs="Arial"/>
          <w:color w:val="000000" w:themeColor="text1"/>
          <w:sz w:val="24"/>
          <w:szCs w:val="24"/>
          <w:shd w:val="clear" w:color="auto" w:fill="FFFFFF"/>
        </w:rPr>
        <w:footnoteReference w:id="245"/>
      </w:r>
    </w:p>
    <w:p w14:paraId="471D587F" w14:textId="463E21FC" w:rsidR="00C72D03" w:rsidRPr="004B0F7D" w:rsidRDefault="00C72D03" w:rsidP="00C72D03">
      <w:pPr>
        <w:spacing w:line="360" w:lineRule="auto"/>
        <w:jc w:val="both"/>
        <w:rPr>
          <w:rFonts w:ascii="Arial" w:hAnsi="Arial" w:cs="Arial"/>
          <w:color w:val="000000" w:themeColor="text1"/>
          <w:sz w:val="24"/>
          <w:szCs w:val="24"/>
        </w:rPr>
      </w:pPr>
      <w:r w:rsidRPr="004B0F7D">
        <w:rPr>
          <w:rFonts w:ascii="Arial" w:hAnsi="Arial" w:cs="Arial"/>
          <w:color w:val="000000" w:themeColor="text1"/>
          <w:sz w:val="24"/>
          <w:szCs w:val="24"/>
          <w:shd w:val="clear" w:color="auto" w:fill="FFFFFF"/>
        </w:rPr>
        <w:t xml:space="preserve">This case received significant attention from a variety of scholars. For one, Van der Walt commented with approval and reiterated that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 xml:space="preserve">-possession is thoroughly </w:t>
      </w:r>
      <w:r w:rsidRPr="004B0F7D">
        <w:rPr>
          <w:rFonts w:ascii="Arial" w:hAnsi="Arial" w:cs="Arial"/>
          <w:color w:val="000000" w:themeColor="text1"/>
          <w:sz w:val="24"/>
          <w:szCs w:val="24"/>
          <w:shd w:val="clear" w:color="auto" w:fill="FFFFFF"/>
        </w:rPr>
        <w:lastRenderedPageBreak/>
        <w:t>engrained in South African jurisprudence.</w:t>
      </w:r>
      <w:r w:rsidRPr="004B0F7D">
        <w:rPr>
          <w:rStyle w:val="FootnoteReference"/>
          <w:rFonts w:ascii="Arial" w:hAnsi="Arial" w:cs="Arial"/>
          <w:color w:val="000000" w:themeColor="text1"/>
          <w:sz w:val="24"/>
          <w:szCs w:val="24"/>
          <w:shd w:val="clear" w:color="auto" w:fill="FFFFFF"/>
        </w:rPr>
        <w:footnoteReference w:id="246"/>
      </w:r>
      <w:r w:rsidRPr="004B0F7D">
        <w:rPr>
          <w:rFonts w:ascii="Arial" w:hAnsi="Arial" w:cs="Arial"/>
          <w:color w:val="000000" w:themeColor="text1"/>
          <w:sz w:val="24"/>
          <w:szCs w:val="24"/>
          <w:shd w:val="clear" w:color="auto" w:fill="FFFFFF"/>
        </w:rPr>
        <w:t xml:space="preserve"> His evaluation indicated that the protection afforded by courts is not necessarily the protection of the right. Rather, it is the maintenance of actual physical control in circumstances where the relevant control corresponds with or is associated with the existence of the alleged right in question.</w:t>
      </w:r>
      <w:r w:rsidRPr="004B0F7D">
        <w:rPr>
          <w:rStyle w:val="FootnoteReference"/>
          <w:rFonts w:ascii="Arial" w:hAnsi="Arial" w:cs="Arial"/>
          <w:color w:val="000000" w:themeColor="text1"/>
          <w:sz w:val="24"/>
          <w:szCs w:val="24"/>
          <w:shd w:val="clear" w:color="auto" w:fill="FFFFFF"/>
        </w:rPr>
        <w:footnoteReference w:id="247"/>
      </w:r>
      <w:r w:rsidRPr="004B0F7D">
        <w:rPr>
          <w:rFonts w:ascii="Arial" w:hAnsi="Arial" w:cs="Arial"/>
          <w:color w:val="000000" w:themeColor="text1"/>
          <w:sz w:val="24"/>
          <w:szCs w:val="24"/>
          <w:shd w:val="clear" w:color="auto" w:fill="FFFFFF"/>
        </w:rPr>
        <w:t xml:space="preserve"> </w:t>
      </w:r>
      <w:r w:rsidRPr="004B0F7D">
        <w:rPr>
          <w:rFonts w:ascii="Arial" w:hAnsi="Arial" w:cs="Arial"/>
          <w:color w:val="000000" w:themeColor="text1"/>
          <w:sz w:val="24"/>
          <w:szCs w:val="24"/>
        </w:rPr>
        <w:t>Zlotnick concurred with Van der Walt in stating that what receives protection is the factual exercise of the right and not the nature of the right.</w:t>
      </w:r>
      <w:r w:rsidRPr="004B0F7D">
        <w:rPr>
          <w:rStyle w:val="FootnoteReference"/>
          <w:rFonts w:ascii="Arial" w:hAnsi="Arial" w:cs="Arial"/>
          <w:color w:val="000000" w:themeColor="text1"/>
          <w:sz w:val="24"/>
          <w:szCs w:val="24"/>
        </w:rPr>
        <w:footnoteReference w:id="248"/>
      </w:r>
      <w:r w:rsidRPr="004B0F7D">
        <w:rPr>
          <w:rFonts w:ascii="Arial" w:hAnsi="Arial" w:cs="Arial"/>
          <w:color w:val="000000" w:themeColor="text1"/>
          <w:sz w:val="24"/>
          <w:szCs w:val="24"/>
        </w:rPr>
        <w:t xml:space="preserve"> He further pointed out that if this is accepted, then there can be no justification </w:t>
      </w:r>
      <w:r w:rsidR="00301FB2" w:rsidRPr="004B0F7D">
        <w:rPr>
          <w:rFonts w:ascii="Arial" w:hAnsi="Arial" w:cs="Arial"/>
          <w:color w:val="000000" w:themeColor="text1"/>
          <w:sz w:val="24"/>
          <w:szCs w:val="24"/>
        </w:rPr>
        <w:t>for</w:t>
      </w:r>
      <w:r w:rsidRPr="004B0F7D">
        <w:rPr>
          <w:rFonts w:ascii="Arial" w:hAnsi="Arial" w:cs="Arial"/>
          <w:color w:val="000000" w:themeColor="text1"/>
          <w:sz w:val="24"/>
          <w:szCs w:val="24"/>
        </w:rPr>
        <w:t xml:space="preserve"> opposing the appropriateness of the spoliation remedy in </w:t>
      </w:r>
      <w:r w:rsidRPr="004B0F7D">
        <w:rPr>
          <w:rFonts w:ascii="Arial" w:hAnsi="Arial" w:cs="Arial"/>
          <w:i/>
          <w:iCs/>
          <w:color w:val="000000" w:themeColor="text1"/>
          <w:sz w:val="24"/>
          <w:szCs w:val="24"/>
        </w:rPr>
        <w:t>quasi</w:t>
      </w:r>
      <w:r w:rsidRPr="004B0F7D">
        <w:rPr>
          <w:rFonts w:ascii="Arial" w:hAnsi="Arial" w:cs="Arial"/>
          <w:color w:val="000000" w:themeColor="text1"/>
          <w:sz w:val="24"/>
          <w:szCs w:val="24"/>
        </w:rPr>
        <w:t>-possession cases, particularly the recovery of an incorporeal possession.</w:t>
      </w:r>
      <w:r w:rsidRPr="004B0F7D">
        <w:rPr>
          <w:rStyle w:val="FootnoteReference"/>
          <w:rFonts w:ascii="Arial" w:hAnsi="Arial" w:cs="Arial"/>
          <w:color w:val="000000" w:themeColor="text1"/>
          <w:sz w:val="24"/>
          <w:szCs w:val="24"/>
        </w:rPr>
        <w:footnoteReference w:id="249"/>
      </w:r>
      <w:r w:rsidRPr="004B0F7D">
        <w:rPr>
          <w:rFonts w:ascii="Arial" w:hAnsi="Arial" w:cs="Arial"/>
          <w:color w:val="000000" w:themeColor="text1"/>
          <w:sz w:val="24"/>
          <w:szCs w:val="24"/>
        </w:rPr>
        <w:t xml:space="preserve"> Furthermore, Kleyn noted that the </w:t>
      </w:r>
      <w:r w:rsidRPr="004B0F7D">
        <w:rPr>
          <w:rFonts w:ascii="Arial" w:hAnsi="Arial" w:cs="Arial"/>
          <w:i/>
          <w:iCs/>
          <w:color w:val="000000" w:themeColor="text1"/>
          <w:sz w:val="24"/>
          <w:szCs w:val="24"/>
        </w:rPr>
        <w:t>Bon Quelle</w:t>
      </w:r>
      <w:r w:rsidRPr="004B0F7D">
        <w:rPr>
          <w:rFonts w:ascii="Arial" w:hAnsi="Arial" w:cs="Arial"/>
          <w:color w:val="000000" w:themeColor="text1"/>
          <w:sz w:val="24"/>
          <w:szCs w:val="24"/>
        </w:rPr>
        <w:t xml:space="preserve"> judgment reflected the common law position and highlighted that </w:t>
      </w:r>
      <w:r w:rsidRPr="004B0F7D">
        <w:rPr>
          <w:rFonts w:ascii="Arial" w:hAnsi="Arial" w:cs="Arial"/>
          <w:i/>
          <w:iCs/>
          <w:color w:val="000000" w:themeColor="text1"/>
          <w:sz w:val="24"/>
          <w:szCs w:val="24"/>
        </w:rPr>
        <w:t>quasi</w:t>
      </w:r>
      <w:r w:rsidRPr="004B0F7D">
        <w:rPr>
          <w:rFonts w:ascii="Arial" w:hAnsi="Arial" w:cs="Arial"/>
          <w:color w:val="000000" w:themeColor="text1"/>
          <w:sz w:val="24"/>
          <w:szCs w:val="24"/>
        </w:rPr>
        <w:t>-possession lies in the actual use of the alleged right.</w:t>
      </w:r>
      <w:r w:rsidRPr="004B0F7D">
        <w:rPr>
          <w:rStyle w:val="FootnoteReference"/>
          <w:rFonts w:ascii="Arial" w:hAnsi="Arial" w:cs="Arial"/>
          <w:color w:val="000000" w:themeColor="text1"/>
          <w:sz w:val="24"/>
          <w:szCs w:val="24"/>
        </w:rPr>
        <w:footnoteReference w:id="250"/>
      </w:r>
    </w:p>
    <w:p w14:paraId="3FADB2ED" w14:textId="77777777" w:rsidR="00255733" w:rsidRPr="004B0F7D" w:rsidRDefault="00255733" w:rsidP="00C72D03">
      <w:pPr>
        <w:spacing w:line="360" w:lineRule="auto"/>
        <w:jc w:val="both"/>
        <w:rPr>
          <w:rFonts w:ascii="Arial" w:hAnsi="Arial" w:cs="Arial"/>
          <w:color w:val="000000" w:themeColor="text1"/>
          <w:sz w:val="24"/>
          <w:szCs w:val="24"/>
        </w:rPr>
      </w:pPr>
    </w:p>
    <w:p w14:paraId="4BD8EDAE" w14:textId="0DB310E1" w:rsidR="00C72D03" w:rsidRPr="004B0F7D" w:rsidRDefault="00255733" w:rsidP="00255733">
      <w:pPr>
        <w:pStyle w:val="Heading4"/>
        <w:rPr>
          <w:color w:val="000000" w:themeColor="text1"/>
        </w:rPr>
      </w:pPr>
      <w:r w:rsidRPr="004B0F7D">
        <w:rPr>
          <w:color w:val="000000" w:themeColor="text1"/>
        </w:rPr>
        <w:t xml:space="preserve">3.3.1.2 </w:t>
      </w:r>
      <w:r w:rsidR="00C72D03" w:rsidRPr="004B0F7D">
        <w:rPr>
          <w:color w:val="000000" w:themeColor="text1"/>
        </w:rPr>
        <w:t>Non-</w:t>
      </w:r>
      <w:proofErr w:type="spellStart"/>
      <w:r w:rsidR="00C72D03" w:rsidRPr="004B0F7D">
        <w:rPr>
          <w:color w:val="000000" w:themeColor="text1"/>
        </w:rPr>
        <w:t>servitutal</w:t>
      </w:r>
      <w:proofErr w:type="spellEnd"/>
      <w:r w:rsidR="00C72D03" w:rsidRPr="004B0F7D">
        <w:rPr>
          <w:color w:val="000000" w:themeColor="text1"/>
        </w:rPr>
        <w:t xml:space="preserve"> rights</w:t>
      </w:r>
    </w:p>
    <w:p w14:paraId="5C231B7A" w14:textId="215D4AD5"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In the case of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 the applicant is required to prove that the alleged right is incidental to </w:t>
      </w:r>
      <w:r w:rsidR="00301FB2"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 xml:space="preserve">possession of </w:t>
      </w:r>
      <w:r w:rsidR="00242739"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corporeal property.</w:t>
      </w:r>
      <w:r w:rsidRPr="004B0F7D">
        <w:rPr>
          <w:rStyle w:val="FootnoteReference"/>
          <w:rFonts w:ascii="Arial" w:hAnsi="Arial" w:cs="Arial"/>
          <w:color w:val="000000" w:themeColor="text1"/>
          <w:sz w:val="24"/>
          <w:szCs w:val="24"/>
          <w:shd w:val="clear" w:color="auto" w:fill="FFFFFF"/>
        </w:rPr>
        <w:footnoteReference w:id="251"/>
      </w:r>
      <w:r w:rsidRPr="004B0F7D">
        <w:rPr>
          <w:rFonts w:ascii="Arial" w:hAnsi="Arial" w:cs="Arial"/>
          <w:color w:val="000000" w:themeColor="text1"/>
          <w:sz w:val="24"/>
          <w:szCs w:val="24"/>
          <w:shd w:val="clear" w:color="auto" w:fill="FFFFFF"/>
        </w:rPr>
        <w:t xml:space="preserve"> According to Kleyn, the ‘incidents of possession’ cases often arise in situations where the occupied premises are provided with water, electricity, and telecommunication services.</w:t>
      </w:r>
      <w:r w:rsidR="002E67BC" w:rsidRPr="004B0F7D">
        <w:rPr>
          <w:rStyle w:val="FootnoteReference"/>
          <w:rFonts w:ascii="Arial" w:hAnsi="Arial" w:cs="Arial"/>
          <w:color w:val="000000" w:themeColor="text1"/>
          <w:sz w:val="24"/>
          <w:szCs w:val="24"/>
          <w:shd w:val="clear" w:color="auto" w:fill="FFFFFF"/>
        </w:rPr>
        <w:footnoteReference w:id="252"/>
      </w:r>
      <w:r w:rsidRPr="004B0F7D">
        <w:rPr>
          <w:rFonts w:ascii="Arial" w:hAnsi="Arial" w:cs="Arial"/>
          <w:color w:val="000000" w:themeColor="text1"/>
          <w:sz w:val="24"/>
          <w:szCs w:val="24"/>
          <w:shd w:val="clear" w:color="auto" w:fill="FFFFFF"/>
        </w:rPr>
        <w:t xml:space="preserve"> However, because of a dispute between parties, the respondent resorts to discontinuing these services, thereby taking matters into his own hands.</w:t>
      </w:r>
      <w:r w:rsidRPr="004B0F7D">
        <w:rPr>
          <w:rStyle w:val="FootnoteReference"/>
          <w:rFonts w:ascii="Arial" w:hAnsi="Arial" w:cs="Arial"/>
          <w:color w:val="000000" w:themeColor="text1"/>
          <w:sz w:val="24"/>
          <w:szCs w:val="24"/>
          <w:shd w:val="clear" w:color="auto" w:fill="FFFFFF"/>
        </w:rPr>
        <w:footnoteReference w:id="253"/>
      </w:r>
      <w:r w:rsidRPr="004B0F7D">
        <w:rPr>
          <w:rFonts w:ascii="Arial" w:hAnsi="Arial" w:cs="Arial"/>
          <w:color w:val="000000" w:themeColor="text1"/>
          <w:sz w:val="24"/>
          <w:szCs w:val="24"/>
          <w:shd w:val="clear" w:color="auto" w:fill="FFFFFF"/>
        </w:rPr>
        <w:t xml:space="preserve"> Muller observes that in certain instances, the respondent terminates these services in an attempt to evict the </w:t>
      </w:r>
      <w:proofErr w:type="spellStart"/>
      <w:r w:rsidRPr="004B0F7D">
        <w:rPr>
          <w:rFonts w:ascii="Arial" w:hAnsi="Arial" w:cs="Arial"/>
          <w:i/>
          <w:iCs/>
          <w:color w:val="000000" w:themeColor="text1"/>
          <w:sz w:val="24"/>
          <w:szCs w:val="24"/>
          <w:shd w:val="clear" w:color="auto" w:fill="FFFFFF"/>
        </w:rPr>
        <w:t>spoliatus</w:t>
      </w:r>
      <w:proofErr w:type="spellEnd"/>
      <w:r w:rsidRPr="004B0F7D">
        <w:rPr>
          <w:rFonts w:ascii="Arial" w:hAnsi="Arial" w:cs="Arial"/>
          <w:i/>
          <w:iCs/>
          <w:color w:val="000000" w:themeColor="text1"/>
          <w:sz w:val="24"/>
          <w:szCs w:val="24"/>
          <w:shd w:val="clear" w:color="auto" w:fill="FFFFFF"/>
        </w:rPr>
        <w:t xml:space="preserve"> </w:t>
      </w:r>
      <w:r w:rsidRPr="004B0F7D">
        <w:rPr>
          <w:rFonts w:ascii="Arial" w:hAnsi="Arial" w:cs="Arial"/>
          <w:color w:val="000000" w:themeColor="text1"/>
          <w:sz w:val="24"/>
          <w:szCs w:val="24"/>
          <w:shd w:val="clear" w:color="auto" w:fill="FFFFFF"/>
        </w:rPr>
        <w:t xml:space="preserve">without </w:t>
      </w:r>
      <w:r w:rsidR="00783E9F" w:rsidRPr="004B0F7D">
        <w:rPr>
          <w:rFonts w:ascii="Arial" w:hAnsi="Arial" w:cs="Arial"/>
          <w:color w:val="000000" w:themeColor="text1"/>
          <w:sz w:val="24"/>
          <w:szCs w:val="24"/>
          <w:shd w:val="clear" w:color="auto" w:fill="FFFFFF"/>
        </w:rPr>
        <w:t>a</w:t>
      </w:r>
      <w:r w:rsidRPr="004B0F7D">
        <w:rPr>
          <w:rFonts w:ascii="Arial" w:hAnsi="Arial" w:cs="Arial"/>
          <w:color w:val="000000" w:themeColor="text1"/>
          <w:sz w:val="24"/>
          <w:szCs w:val="24"/>
          <w:shd w:val="clear" w:color="auto" w:fill="FFFFFF"/>
        </w:rPr>
        <w:t xml:space="preserve"> court order.</w:t>
      </w:r>
      <w:r w:rsidRPr="004B0F7D">
        <w:rPr>
          <w:rStyle w:val="FootnoteReference"/>
          <w:rFonts w:ascii="Arial" w:hAnsi="Arial" w:cs="Arial"/>
          <w:color w:val="000000" w:themeColor="text1"/>
          <w:sz w:val="24"/>
          <w:szCs w:val="24"/>
          <w:shd w:val="clear" w:color="auto" w:fill="FFFFFF"/>
        </w:rPr>
        <w:footnoteReference w:id="254"/>
      </w:r>
    </w:p>
    <w:p w14:paraId="49E20D68" w14:textId="52671809"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In </w:t>
      </w:r>
      <w:r w:rsidRPr="004B0F7D">
        <w:rPr>
          <w:rFonts w:ascii="Arial" w:hAnsi="Arial" w:cs="Arial"/>
          <w:i/>
          <w:iCs/>
          <w:color w:val="000000" w:themeColor="text1"/>
          <w:sz w:val="24"/>
          <w:szCs w:val="24"/>
          <w:shd w:val="clear" w:color="auto" w:fill="FFFFFF"/>
        </w:rPr>
        <w:t>Naidoo v Moodley</w:t>
      </w:r>
      <w:r w:rsidRPr="004B0F7D">
        <w:rPr>
          <w:rFonts w:ascii="Arial" w:hAnsi="Arial" w:cs="Arial"/>
          <w:color w:val="000000" w:themeColor="text1"/>
          <w:sz w:val="24"/>
          <w:szCs w:val="24"/>
          <w:shd w:val="clear" w:color="auto" w:fill="FFFFFF"/>
        </w:rPr>
        <w:t>, the appellant entered into a lease agreement with the respondent in terms of which the respondent would occupy the first floor of a double</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story residence. The agreement entitled the respondent </w:t>
      </w:r>
      <w:r w:rsidR="00301FB2" w:rsidRPr="004B0F7D">
        <w:rPr>
          <w:rFonts w:ascii="Arial" w:hAnsi="Arial" w:cs="Arial"/>
          <w:color w:val="000000" w:themeColor="text1"/>
          <w:sz w:val="24"/>
          <w:szCs w:val="24"/>
          <w:shd w:val="clear" w:color="auto" w:fill="FFFFFF"/>
        </w:rPr>
        <w:t xml:space="preserve">to </w:t>
      </w:r>
      <w:r w:rsidRPr="004B0F7D">
        <w:rPr>
          <w:rFonts w:ascii="Arial" w:hAnsi="Arial" w:cs="Arial"/>
          <w:color w:val="000000" w:themeColor="text1"/>
          <w:sz w:val="24"/>
          <w:szCs w:val="24"/>
          <w:shd w:val="clear" w:color="auto" w:fill="FFFFFF"/>
        </w:rPr>
        <w:t>the use of electricity subject to a fixed amount of R20</w:t>
      </w:r>
      <w:r w:rsidR="00FB57C3" w:rsidRPr="004B0F7D">
        <w:rPr>
          <w:rFonts w:ascii="Arial" w:hAnsi="Arial" w:cs="Arial"/>
          <w:color w:val="000000" w:themeColor="text1"/>
          <w:sz w:val="24"/>
          <w:szCs w:val="24"/>
          <w:shd w:val="clear" w:color="auto" w:fill="FFFFFF"/>
        </w:rPr>
        <w:t>,</w:t>
      </w:r>
      <w:r w:rsidR="00146CFB" w:rsidRPr="004B0F7D">
        <w:rPr>
          <w:rFonts w:ascii="Arial" w:hAnsi="Arial" w:cs="Arial"/>
          <w:color w:val="000000" w:themeColor="text1"/>
          <w:sz w:val="24"/>
          <w:szCs w:val="24"/>
          <w:shd w:val="clear" w:color="auto" w:fill="FFFFFF"/>
        </w:rPr>
        <w:t>00</w:t>
      </w:r>
      <w:r w:rsidRPr="004B0F7D">
        <w:rPr>
          <w:rFonts w:ascii="Arial" w:hAnsi="Arial" w:cs="Arial"/>
          <w:color w:val="000000" w:themeColor="text1"/>
          <w:sz w:val="24"/>
          <w:szCs w:val="24"/>
          <w:shd w:val="clear" w:color="auto" w:fill="FFFFFF"/>
        </w:rPr>
        <w:t xml:space="preserve"> per month for water and electricity consumption. In 1980</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t>
      </w:r>
      <w:r w:rsidRPr="004B0F7D">
        <w:rPr>
          <w:rFonts w:ascii="Arial" w:hAnsi="Arial" w:cs="Arial"/>
          <w:color w:val="000000" w:themeColor="text1"/>
          <w:sz w:val="24"/>
          <w:szCs w:val="24"/>
          <w:shd w:val="clear" w:color="auto" w:fill="FFFFFF"/>
        </w:rPr>
        <w:lastRenderedPageBreak/>
        <w:t>the respondent was given a notice of termination of the lease. When the respondent refused to vacate, the appellant resorted to cutting off the water and electricity supply to the portion of the house occupied by the respondent.</w:t>
      </w:r>
      <w:r w:rsidRPr="004B0F7D">
        <w:rPr>
          <w:rStyle w:val="FootnoteReference"/>
          <w:rFonts w:ascii="Arial" w:hAnsi="Arial" w:cs="Arial"/>
          <w:color w:val="000000" w:themeColor="text1"/>
          <w:sz w:val="24"/>
          <w:szCs w:val="24"/>
          <w:shd w:val="clear" w:color="auto" w:fill="FFFFFF"/>
        </w:rPr>
        <w:footnoteReference w:id="255"/>
      </w:r>
    </w:p>
    <w:p w14:paraId="002932D1" w14:textId="771401DF"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The appellant argued that the respondent’s use of electricity could only be claimed on a contractual basis. The appellant further claimed that the respondent was</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in effect</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claiming for specific performance of the contract under the guise of the </w:t>
      </w:r>
      <w:proofErr w:type="spellStart"/>
      <w:r w:rsidRPr="004B0F7D">
        <w:rPr>
          <w:rFonts w:ascii="Arial" w:hAnsi="Arial" w:cs="Arial"/>
          <w:i/>
          <w:color w:val="000000" w:themeColor="text1"/>
          <w:sz w:val="24"/>
          <w:szCs w:val="24"/>
          <w:shd w:val="clear" w:color="auto" w:fill="FFFFFF"/>
        </w:rPr>
        <w:t>mandament</w:t>
      </w:r>
      <w:proofErr w:type="spellEnd"/>
      <w:r w:rsidRPr="004B0F7D">
        <w:rPr>
          <w:rFonts w:ascii="Arial" w:hAnsi="Arial" w:cs="Arial"/>
          <w:i/>
          <w:color w:val="000000" w:themeColor="text1"/>
          <w:sz w:val="24"/>
          <w:szCs w:val="24"/>
          <w:shd w:val="clear" w:color="auto" w:fill="FFFFFF"/>
        </w:rPr>
        <w:t xml:space="preserve"> van </w:t>
      </w:r>
      <w:proofErr w:type="spellStart"/>
      <w:r w:rsidRPr="004B0F7D">
        <w:rPr>
          <w:rFonts w:ascii="Arial" w:hAnsi="Arial" w:cs="Arial"/>
          <w:i/>
          <w:color w:val="000000" w:themeColor="text1"/>
          <w:sz w:val="24"/>
          <w:szCs w:val="24"/>
          <w:shd w:val="clear" w:color="auto" w:fill="FFFFFF"/>
        </w:rPr>
        <w:t>spolie</w:t>
      </w:r>
      <w:proofErr w:type="spellEnd"/>
      <w:r w:rsidRPr="004B0F7D">
        <w:rPr>
          <w:rFonts w:ascii="Arial" w:hAnsi="Arial" w:cs="Arial"/>
          <w:color w:val="000000" w:themeColor="text1"/>
          <w:sz w:val="24"/>
          <w:szCs w:val="24"/>
          <w:shd w:val="clear" w:color="auto" w:fill="FFFFFF"/>
        </w:rPr>
        <w:t xml:space="preserve">. Eloff J held that the use of the electricity was an incident of occupation which the respondent had </w:t>
      </w:r>
      <w:r w:rsidR="00A5319D" w:rsidRPr="004B0F7D">
        <w:rPr>
          <w:rFonts w:ascii="Arial" w:hAnsi="Arial" w:cs="Arial"/>
          <w:color w:val="000000" w:themeColor="text1"/>
          <w:sz w:val="24"/>
          <w:szCs w:val="24"/>
          <w:shd w:val="clear" w:color="auto" w:fill="FFFFFF"/>
        </w:rPr>
        <w:t>because of</w:t>
      </w:r>
      <w:r w:rsidRPr="004B0F7D">
        <w:rPr>
          <w:rFonts w:ascii="Arial" w:hAnsi="Arial" w:cs="Arial"/>
          <w:color w:val="000000" w:themeColor="text1"/>
          <w:sz w:val="24"/>
          <w:szCs w:val="24"/>
          <w:shd w:val="clear" w:color="auto" w:fill="FFFFFF"/>
        </w:rPr>
        <w:t xml:space="preserve"> his occupation of the first floor of the building. According to the court, the respondent occupied the building not only by being physically present but by using its appurtenances</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including electrical installations and power. Therefore, the appellant’s cutting of electricity constituted a substantial infringement or interference with the respondent’s occupation of the premises, resulting in spoliation.</w:t>
      </w:r>
      <w:r w:rsidRPr="004B0F7D">
        <w:rPr>
          <w:rStyle w:val="FootnoteReference"/>
          <w:rFonts w:ascii="Arial" w:hAnsi="Arial" w:cs="Arial"/>
          <w:color w:val="000000" w:themeColor="text1"/>
          <w:sz w:val="24"/>
          <w:szCs w:val="24"/>
          <w:shd w:val="clear" w:color="auto" w:fill="FFFFFF"/>
        </w:rPr>
        <w:footnoteReference w:id="256"/>
      </w:r>
    </w:p>
    <w:p w14:paraId="478F1BD8" w14:textId="3D3215F7"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iCs/>
          <w:color w:val="000000" w:themeColor="text1"/>
          <w:sz w:val="24"/>
          <w:szCs w:val="24"/>
          <w:shd w:val="clear" w:color="auto" w:fill="FFFFFF"/>
        </w:rPr>
        <w:t xml:space="preserve">In </w:t>
      </w:r>
      <w:r w:rsidRPr="004B0F7D">
        <w:rPr>
          <w:rFonts w:ascii="Arial" w:hAnsi="Arial" w:cs="Arial"/>
          <w:i/>
          <w:color w:val="000000" w:themeColor="text1"/>
          <w:sz w:val="24"/>
          <w:szCs w:val="24"/>
          <w:shd w:val="clear" w:color="auto" w:fill="FFFFFF"/>
        </w:rPr>
        <w:t xml:space="preserve">Froman v </w:t>
      </w:r>
      <w:proofErr w:type="spellStart"/>
      <w:r w:rsidRPr="004B0F7D">
        <w:rPr>
          <w:rFonts w:ascii="Arial" w:hAnsi="Arial" w:cs="Arial"/>
          <w:i/>
          <w:color w:val="000000" w:themeColor="text1"/>
          <w:sz w:val="24"/>
          <w:szCs w:val="24"/>
          <w:shd w:val="clear" w:color="auto" w:fill="FFFFFF"/>
        </w:rPr>
        <w:t>Herbmore</w:t>
      </w:r>
      <w:proofErr w:type="spellEnd"/>
      <w:r w:rsidRPr="004B0F7D">
        <w:rPr>
          <w:rFonts w:ascii="Arial" w:hAnsi="Arial" w:cs="Arial"/>
          <w:i/>
          <w:color w:val="000000" w:themeColor="text1"/>
          <w:sz w:val="24"/>
          <w:szCs w:val="24"/>
          <w:shd w:val="clear" w:color="auto" w:fill="FFFFFF"/>
        </w:rPr>
        <w:t xml:space="preserve"> Timber and Hardware (Pty) Ltd</w:t>
      </w:r>
      <w:r w:rsidRPr="004B0F7D">
        <w:rPr>
          <w:rFonts w:ascii="Arial" w:hAnsi="Arial" w:cs="Arial"/>
          <w:color w:val="000000" w:themeColor="text1"/>
          <w:sz w:val="24"/>
          <w:szCs w:val="24"/>
          <w:shd w:val="clear" w:color="auto" w:fill="FFFFFF"/>
        </w:rPr>
        <w:t xml:space="preserve">, the applicant purchased a house in Johannesburg with an occupational rental agreement in terms of which he would be liable to pay for the use of water and electricity on </w:t>
      </w:r>
      <w:r w:rsidR="00301FB2" w:rsidRPr="004B0F7D">
        <w:rPr>
          <w:rFonts w:ascii="Arial" w:hAnsi="Arial" w:cs="Arial"/>
          <w:color w:val="000000" w:themeColor="text1"/>
          <w:sz w:val="24"/>
          <w:szCs w:val="24"/>
          <w:shd w:val="clear" w:color="auto" w:fill="FFFFFF"/>
        </w:rPr>
        <w:t xml:space="preserve">a </w:t>
      </w:r>
      <w:r w:rsidRPr="004B0F7D">
        <w:rPr>
          <w:rFonts w:ascii="Arial" w:hAnsi="Arial" w:cs="Arial"/>
          <w:color w:val="000000" w:themeColor="text1"/>
          <w:sz w:val="24"/>
          <w:szCs w:val="24"/>
          <w:shd w:val="clear" w:color="auto" w:fill="FFFFFF"/>
        </w:rPr>
        <w:t>specified due date.</w:t>
      </w:r>
      <w:r w:rsidRPr="004B0F7D">
        <w:rPr>
          <w:rStyle w:val="FootnoteReference"/>
          <w:rFonts w:ascii="Arial" w:hAnsi="Arial" w:cs="Arial"/>
          <w:color w:val="000000" w:themeColor="text1"/>
          <w:sz w:val="24"/>
          <w:szCs w:val="24"/>
          <w:shd w:val="clear" w:color="auto" w:fill="FFFFFF"/>
        </w:rPr>
        <w:footnoteReference w:id="257"/>
      </w:r>
      <w:r w:rsidRPr="004B0F7D">
        <w:rPr>
          <w:rFonts w:ascii="Arial" w:hAnsi="Arial" w:cs="Arial"/>
          <w:color w:val="000000" w:themeColor="text1"/>
          <w:sz w:val="24"/>
          <w:szCs w:val="24"/>
          <w:shd w:val="clear" w:color="auto" w:fill="FFFFFF"/>
        </w:rPr>
        <w:t xml:space="preserve"> When the applicant breached the agreement, the respondent purported to cancel the contract and required the applicant to vacate the house. The applicant disputed breaching the agreement and subsequently declined to vacate the premises. The respondent then resorted to disconnecting </w:t>
      </w:r>
      <w:r w:rsidR="00301FB2"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 xml:space="preserve">water and electricity supply to the applicant’s unit. The applicant took the respondent to court arguing that the severance of </w:t>
      </w:r>
      <w:r w:rsidR="00783E9F"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water and electricity supply by the respondent amounted to an act of spoliation.</w:t>
      </w:r>
      <w:r w:rsidRPr="004B0F7D">
        <w:rPr>
          <w:rStyle w:val="FootnoteReference"/>
          <w:rFonts w:ascii="Arial" w:hAnsi="Arial" w:cs="Arial"/>
          <w:color w:val="000000" w:themeColor="text1"/>
          <w:sz w:val="24"/>
          <w:szCs w:val="24"/>
          <w:shd w:val="clear" w:color="auto" w:fill="FFFFFF"/>
        </w:rPr>
        <w:footnoteReference w:id="258"/>
      </w:r>
    </w:p>
    <w:p w14:paraId="582C15D8" w14:textId="35AD59E4"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The court noted that the respondent’s only purpose in cutting off water and electricity was to force the applicant to vacate the premises</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which action amounted to a deprivation of the applicant’s right to obtain water and electricity. Thus, it was held that there is no reason why an incorporeal right of this nature should not form the subject of spoliation proceedings.</w:t>
      </w:r>
      <w:r w:rsidRPr="004B0F7D">
        <w:rPr>
          <w:rStyle w:val="FootnoteReference"/>
          <w:rFonts w:ascii="Arial" w:hAnsi="Arial" w:cs="Arial"/>
          <w:color w:val="000000" w:themeColor="text1"/>
          <w:sz w:val="24"/>
          <w:szCs w:val="24"/>
          <w:shd w:val="clear" w:color="auto" w:fill="FFFFFF"/>
        </w:rPr>
        <w:footnoteReference w:id="259"/>
      </w:r>
      <w:r w:rsidRPr="004B0F7D">
        <w:rPr>
          <w:rFonts w:ascii="Arial" w:hAnsi="Arial" w:cs="Arial"/>
          <w:color w:val="000000" w:themeColor="text1"/>
          <w:sz w:val="24"/>
          <w:szCs w:val="24"/>
          <w:shd w:val="clear" w:color="auto" w:fill="FFFFFF"/>
        </w:rPr>
        <w:t xml:space="preserve"> To reach this conclusion, the court referred to the judgment of De Villiers</w:t>
      </w:r>
      <w:r w:rsidR="00B03E6F" w:rsidRPr="004B0F7D">
        <w:rPr>
          <w:rFonts w:ascii="Arial" w:hAnsi="Arial" w:cs="Arial"/>
          <w:color w:val="000000" w:themeColor="text1"/>
          <w:sz w:val="24"/>
          <w:szCs w:val="24"/>
          <w:shd w:val="clear" w:color="auto" w:fill="FFFFFF"/>
        </w:rPr>
        <w:t xml:space="preserve"> J</w:t>
      </w:r>
      <w:r w:rsidRPr="004B0F7D">
        <w:rPr>
          <w:rFonts w:ascii="Arial" w:hAnsi="Arial" w:cs="Arial"/>
          <w:color w:val="000000" w:themeColor="text1"/>
          <w:sz w:val="24"/>
          <w:szCs w:val="24"/>
          <w:shd w:val="clear" w:color="auto" w:fill="FFFFFF"/>
        </w:rPr>
        <w:t xml:space="preserve"> in </w:t>
      </w:r>
      <w:proofErr w:type="spellStart"/>
      <w:r w:rsidRPr="004B0F7D">
        <w:rPr>
          <w:rFonts w:ascii="Arial" w:hAnsi="Arial" w:cs="Arial"/>
          <w:i/>
          <w:color w:val="000000" w:themeColor="text1"/>
          <w:sz w:val="24"/>
          <w:szCs w:val="24"/>
          <w:shd w:val="clear" w:color="auto" w:fill="FFFFFF"/>
        </w:rPr>
        <w:t>Nisenbuam</w:t>
      </w:r>
      <w:proofErr w:type="spellEnd"/>
      <w:r w:rsidRPr="004B0F7D">
        <w:rPr>
          <w:rFonts w:ascii="Arial" w:hAnsi="Arial" w:cs="Arial"/>
          <w:i/>
          <w:color w:val="000000" w:themeColor="text1"/>
          <w:sz w:val="24"/>
          <w:szCs w:val="24"/>
          <w:shd w:val="clear" w:color="auto" w:fill="FFFFFF"/>
        </w:rPr>
        <w:t xml:space="preserve"> and </w:t>
      </w:r>
      <w:proofErr w:type="spellStart"/>
      <w:r w:rsidRPr="004B0F7D">
        <w:rPr>
          <w:rFonts w:ascii="Arial" w:hAnsi="Arial" w:cs="Arial"/>
          <w:i/>
          <w:color w:val="000000" w:themeColor="text1"/>
          <w:sz w:val="24"/>
          <w:szCs w:val="24"/>
          <w:shd w:val="clear" w:color="auto" w:fill="FFFFFF"/>
        </w:rPr>
        <w:t>Nisenbuam</w:t>
      </w:r>
      <w:proofErr w:type="spellEnd"/>
      <w:r w:rsidRPr="004B0F7D">
        <w:rPr>
          <w:rFonts w:ascii="Arial" w:hAnsi="Arial" w:cs="Arial"/>
          <w:i/>
          <w:color w:val="000000" w:themeColor="text1"/>
          <w:sz w:val="24"/>
          <w:szCs w:val="24"/>
          <w:shd w:val="clear" w:color="auto" w:fill="FFFFFF"/>
        </w:rPr>
        <w:t xml:space="preserve"> v Express Buildings (Pty) Ltd</w:t>
      </w:r>
      <w:r w:rsidR="00301FB2" w:rsidRPr="004B0F7D">
        <w:rPr>
          <w:rFonts w:ascii="Arial" w:hAnsi="Arial" w:cs="Arial"/>
          <w:i/>
          <w:color w:val="000000" w:themeColor="text1"/>
          <w:sz w:val="24"/>
          <w:szCs w:val="24"/>
          <w:shd w:val="clear" w:color="auto" w:fill="FFFFFF"/>
        </w:rPr>
        <w:t>,</w:t>
      </w:r>
      <w:r w:rsidRPr="004B0F7D">
        <w:rPr>
          <w:rFonts w:ascii="Arial" w:hAnsi="Arial" w:cs="Arial"/>
          <w:i/>
          <w:color w:val="000000" w:themeColor="text1"/>
          <w:sz w:val="24"/>
          <w:szCs w:val="24"/>
          <w:shd w:val="clear" w:color="auto" w:fill="FFFFFF"/>
        </w:rPr>
        <w:t xml:space="preserve"> </w:t>
      </w:r>
      <w:r w:rsidRPr="004B0F7D">
        <w:rPr>
          <w:rFonts w:ascii="Arial" w:hAnsi="Arial" w:cs="Arial"/>
          <w:color w:val="000000" w:themeColor="text1"/>
          <w:sz w:val="24"/>
          <w:szCs w:val="24"/>
          <w:shd w:val="clear" w:color="auto" w:fill="FFFFFF"/>
        </w:rPr>
        <w:lastRenderedPageBreak/>
        <w:t xml:space="preserve">where an order </w:t>
      </w:r>
      <w:r w:rsidR="00301FB2" w:rsidRPr="004B0F7D">
        <w:rPr>
          <w:rFonts w:ascii="Arial" w:hAnsi="Arial" w:cs="Arial"/>
          <w:color w:val="000000" w:themeColor="text1"/>
          <w:sz w:val="24"/>
          <w:szCs w:val="24"/>
          <w:shd w:val="clear" w:color="auto" w:fill="FFFFFF"/>
        </w:rPr>
        <w:t>for</w:t>
      </w:r>
      <w:r w:rsidRPr="004B0F7D">
        <w:rPr>
          <w:rFonts w:ascii="Arial" w:hAnsi="Arial" w:cs="Arial"/>
          <w:color w:val="000000" w:themeColor="text1"/>
          <w:sz w:val="24"/>
          <w:szCs w:val="24"/>
          <w:shd w:val="clear" w:color="auto" w:fill="FFFFFF"/>
        </w:rPr>
        <w:t xml:space="preserve"> the restoration of water was made against the landlord.</w:t>
      </w:r>
      <w:r w:rsidRPr="004B0F7D">
        <w:rPr>
          <w:rStyle w:val="FootnoteReference"/>
          <w:rFonts w:ascii="Arial" w:hAnsi="Arial" w:cs="Arial"/>
          <w:color w:val="000000" w:themeColor="text1"/>
          <w:sz w:val="24"/>
          <w:szCs w:val="24"/>
          <w:shd w:val="clear" w:color="auto" w:fill="FFFFFF"/>
        </w:rPr>
        <w:footnoteReference w:id="260"/>
      </w:r>
      <w:r w:rsidRPr="004B0F7D">
        <w:rPr>
          <w:rFonts w:ascii="Arial" w:hAnsi="Arial" w:cs="Arial"/>
          <w:color w:val="000000" w:themeColor="text1"/>
          <w:sz w:val="24"/>
          <w:szCs w:val="24"/>
          <w:shd w:val="clear" w:color="auto" w:fill="FFFFFF"/>
        </w:rPr>
        <w:t xml:space="preserve"> The court was convinced that the appellant took the law into his own hands in order to evict the applicant</w:t>
      </w:r>
      <w:r w:rsidR="00301FB2"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which amounted to spoliation.</w:t>
      </w:r>
      <w:r w:rsidRPr="004B0F7D">
        <w:rPr>
          <w:rStyle w:val="FootnoteReference"/>
          <w:rFonts w:ascii="Arial" w:hAnsi="Arial" w:cs="Arial"/>
          <w:color w:val="000000" w:themeColor="text1"/>
          <w:sz w:val="24"/>
          <w:szCs w:val="24"/>
          <w:shd w:val="clear" w:color="auto" w:fill="FFFFFF"/>
        </w:rPr>
        <w:footnoteReference w:id="261"/>
      </w:r>
    </w:p>
    <w:p w14:paraId="2E4EE8AB" w14:textId="23CFAEF6"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In both </w:t>
      </w:r>
      <w:r w:rsidRPr="004B0F7D">
        <w:rPr>
          <w:rFonts w:ascii="Arial" w:hAnsi="Arial" w:cs="Arial"/>
          <w:i/>
          <w:iCs/>
          <w:color w:val="000000" w:themeColor="text1"/>
          <w:sz w:val="24"/>
          <w:szCs w:val="24"/>
          <w:shd w:val="clear" w:color="auto" w:fill="FFFFFF"/>
        </w:rPr>
        <w:t xml:space="preserve">Naidoo </w:t>
      </w:r>
      <w:r w:rsidRPr="004B0F7D">
        <w:rPr>
          <w:rFonts w:ascii="Arial" w:hAnsi="Arial" w:cs="Arial"/>
          <w:color w:val="000000" w:themeColor="text1"/>
          <w:sz w:val="24"/>
          <w:szCs w:val="24"/>
          <w:shd w:val="clear" w:color="auto" w:fill="FFFFFF"/>
        </w:rPr>
        <w:t>and</w:t>
      </w:r>
      <w:r w:rsidRPr="004B0F7D">
        <w:rPr>
          <w:rFonts w:ascii="Arial" w:hAnsi="Arial" w:cs="Arial"/>
          <w:i/>
          <w:iCs/>
          <w:color w:val="000000" w:themeColor="text1"/>
          <w:sz w:val="24"/>
          <w:szCs w:val="24"/>
          <w:shd w:val="clear" w:color="auto" w:fill="FFFFFF"/>
        </w:rPr>
        <w:t xml:space="preserve"> Froman</w:t>
      </w:r>
      <w:r w:rsidRPr="004B0F7D">
        <w:rPr>
          <w:rFonts w:ascii="Arial" w:hAnsi="Arial" w:cs="Arial"/>
          <w:color w:val="000000" w:themeColor="text1"/>
          <w:sz w:val="24"/>
          <w:szCs w:val="24"/>
          <w:shd w:val="clear" w:color="auto" w:fill="FFFFFF"/>
        </w:rPr>
        <w:t>, it was emphasised that in order to establish possession, the alleged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 must be incidental to the possession of the corporeal property.</w:t>
      </w:r>
      <w:r w:rsidRPr="004B0F7D">
        <w:rPr>
          <w:rStyle w:val="FootnoteReference"/>
          <w:rFonts w:ascii="Arial" w:hAnsi="Arial" w:cs="Arial"/>
          <w:color w:val="000000" w:themeColor="text1"/>
          <w:sz w:val="24"/>
          <w:szCs w:val="24"/>
          <w:shd w:val="clear" w:color="auto" w:fill="FFFFFF"/>
        </w:rPr>
        <w:footnoteReference w:id="262"/>
      </w:r>
      <w:r w:rsidRPr="004B0F7D">
        <w:rPr>
          <w:rFonts w:ascii="Arial" w:hAnsi="Arial" w:cs="Arial"/>
          <w:color w:val="000000" w:themeColor="text1"/>
          <w:sz w:val="24"/>
          <w:szCs w:val="24"/>
          <w:shd w:val="clear" w:color="auto" w:fill="FFFFFF"/>
        </w:rPr>
        <w:t xml:space="preserve"> Moreover, interferences with the supply of services incidental to </w:t>
      </w:r>
      <w:r w:rsidR="00301FB2"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occupation of the premises were found to constitute sufficient grounds for the spoliation relief. It</w:t>
      </w:r>
      <w:r w:rsidR="00BE5C5A" w:rsidRPr="004B0F7D">
        <w:rPr>
          <w:rFonts w:ascii="Arial" w:hAnsi="Arial" w:cs="Arial"/>
          <w:color w:val="000000" w:themeColor="text1"/>
          <w:sz w:val="24"/>
          <w:szCs w:val="24"/>
          <w:shd w:val="clear" w:color="auto" w:fill="FFFFFF"/>
        </w:rPr>
        <w:t xml:space="preserve"> is</w:t>
      </w:r>
      <w:r w:rsidRPr="004B0F7D">
        <w:rPr>
          <w:rFonts w:ascii="Arial" w:hAnsi="Arial" w:cs="Arial"/>
          <w:color w:val="000000" w:themeColor="text1"/>
          <w:sz w:val="24"/>
          <w:szCs w:val="24"/>
          <w:shd w:val="clear" w:color="auto" w:fill="FFFFFF"/>
        </w:rPr>
        <w:t xml:space="preserve"> also important to note that in both cases, the court did not attach any significance to the right to use electricity or the right to receive water</w:t>
      </w:r>
      <w:r w:rsidR="00BE5C5A"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i.e. neither judgment investigated the merits of the case.</w:t>
      </w:r>
      <w:r w:rsidRPr="004B0F7D">
        <w:rPr>
          <w:rStyle w:val="FootnoteReference"/>
          <w:rFonts w:ascii="Arial" w:hAnsi="Arial" w:cs="Arial"/>
          <w:color w:val="000000" w:themeColor="text1"/>
          <w:sz w:val="24"/>
          <w:szCs w:val="24"/>
          <w:shd w:val="clear" w:color="auto" w:fill="FFFFFF"/>
        </w:rPr>
        <w:footnoteReference w:id="263"/>
      </w:r>
    </w:p>
    <w:p w14:paraId="2440C2DC" w14:textId="3052F72A"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In </w:t>
      </w:r>
      <w:r w:rsidRPr="004B0F7D">
        <w:rPr>
          <w:rFonts w:ascii="Arial" w:hAnsi="Arial" w:cs="Arial"/>
          <w:i/>
          <w:iCs/>
          <w:color w:val="000000" w:themeColor="text1"/>
          <w:sz w:val="24"/>
          <w:szCs w:val="24"/>
          <w:shd w:val="clear" w:color="auto" w:fill="FFFFFF"/>
        </w:rPr>
        <w:t>Zulu v Minister of Works, KwaZulu and Others</w:t>
      </w:r>
      <w:r w:rsidRPr="004B0F7D">
        <w:rPr>
          <w:rFonts w:ascii="Arial" w:hAnsi="Arial" w:cs="Arial"/>
          <w:color w:val="000000" w:themeColor="text1"/>
          <w:sz w:val="24"/>
          <w:szCs w:val="24"/>
          <w:shd w:val="clear" w:color="auto" w:fill="FFFFFF"/>
        </w:rPr>
        <w:t>, the applicant resided at a private dwelling about one kilomet</w:t>
      </w:r>
      <w:r w:rsidR="00BE5C5A" w:rsidRPr="004B0F7D">
        <w:rPr>
          <w:rFonts w:ascii="Arial" w:hAnsi="Arial" w:cs="Arial"/>
          <w:color w:val="000000" w:themeColor="text1"/>
          <w:sz w:val="24"/>
          <w:szCs w:val="24"/>
          <w:shd w:val="clear" w:color="auto" w:fill="FFFFFF"/>
        </w:rPr>
        <w:t>re</w:t>
      </w:r>
      <w:r w:rsidRPr="004B0F7D">
        <w:rPr>
          <w:rFonts w:ascii="Arial" w:hAnsi="Arial" w:cs="Arial"/>
          <w:color w:val="000000" w:themeColor="text1"/>
          <w:sz w:val="24"/>
          <w:szCs w:val="24"/>
          <w:shd w:val="clear" w:color="auto" w:fill="FFFFFF"/>
        </w:rPr>
        <w:t xml:space="preserve"> from the Royal Residence. When the then Department of Bantu Affairs constructed a spring to supply the Royal Residence with water, the applicant arranged with the authorities to connect his pipeline to the pipeline</w:t>
      </w:r>
      <w:r w:rsidR="002B6054" w:rsidRPr="004B0F7D">
        <w:rPr>
          <w:rFonts w:ascii="Arial" w:hAnsi="Arial" w:cs="Arial"/>
          <w:color w:val="000000" w:themeColor="text1"/>
          <w:sz w:val="24"/>
          <w:szCs w:val="24"/>
          <w:shd w:val="clear" w:color="auto" w:fill="FFFFFF"/>
        </w:rPr>
        <w:t xml:space="preserve"> </w:t>
      </w:r>
      <w:r w:rsidRPr="004B0F7D">
        <w:rPr>
          <w:rFonts w:ascii="Arial" w:hAnsi="Arial" w:cs="Arial"/>
          <w:color w:val="000000" w:themeColor="text1"/>
          <w:sz w:val="24"/>
          <w:szCs w:val="24"/>
          <w:shd w:val="clear" w:color="auto" w:fill="FFFFFF"/>
        </w:rPr>
        <w:t xml:space="preserve">directing the flow of water to the Royal </w:t>
      </w:r>
      <w:r w:rsidR="00BE5C5A" w:rsidRPr="004B0F7D">
        <w:rPr>
          <w:rFonts w:ascii="Arial" w:hAnsi="Arial" w:cs="Arial"/>
          <w:color w:val="000000" w:themeColor="text1"/>
          <w:sz w:val="24"/>
          <w:szCs w:val="24"/>
          <w:shd w:val="clear" w:color="auto" w:fill="FFFFFF"/>
        </w:rPr>
        <w:t>R</w:t>
      </w:r>
      <w:r w:rsidRPr="004B0F7D">
        <w:rPr>
          <w:rFonts w:ascii="Arial" w:hAnsi="Arial" w:cs="Arial"/>
          <w:color w:val="000000" w:themeColor="text1"/>
          <w:sz w:val="24"/>
          <w:szCs w:val="24"/>
          <w:shd w:val="clear" w:color="auto" w:fill="FFFFFF"/>
        </w:rPr>
        <w:t>esidence. It was agreed that the applicant was allowed to draw water only when there was a surplus available.</w:t>
      </w:r>
      <w:r w:rsidRPr="004B0F7D">
        <w:rPr>
          <w:rStyle w:val="FootnoteReference"/>
          <w:rFonts w:ascii="Arial" w:hAnsi="Arial" w:cs="Arial"/>
          <w:color w:val="000000" w:themeColor="text1"/>
          <w:sz w:val="24"/>
          <w:szCs w:val="24"/>
          <w:shd w:val="clear" w:color="auto" w:fill="FFFFFF"/>
        </w:rPr>
        <w:footnoteReference w:id="264"/>
      </w:r>
      <w:r w:rsidRPr="004B0F7D">
        <w:rPr>
          <w:rFonts w:ascii="Arial" w:hAnsi="Arial" w:cs="Arial"/>
          <w:color w:val="000000" w:themeColor="text1"/>
          <w:sz w:val="24"/>
          <w:szCs w:val="24"/>
          <w:shd w:val="clear" w:color="auto" w:fill="FFFFFF"/>
        </w:rPr>
        <w:t xml:space="preserve"> Accordingly, the applicant extended the pipeline to his private dwelling and continued to receive water free of charge until 1990</w:t>
      </w:r>
      <w:r w:rsidR="00BE5C5A"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when the water supply to his private dwelling was interrupted without prior notice. The applicant applied for the spoliation remedy to be reinstated with the supply of water.</w:t>
      </w:r>
      <w:r w:rsidRPr="004B0F7D">
        <w:rPr>
          <w:rStyle w:val="FootnoteReference"/>
          <w:rFonts w:ascii="Arial" w:hAnsi="Arial" w:cs="Arial"/>
          <w:color w:val="000000" w:themeColor="text1"/>
          <w:sz w:val="24"/>
          <w:szCs w:val="24"/>
          <w:shd w:val="clear" w:color="auto" w:fill="FFFFFF"/>
        </w:rPr>
        <w:footnoteReference w:id="265"/>
      </w:r>
      <w:r w:rsidRPr="004B0F7D">
        <w:rPr>
          <w:rFonts w:ascii="Arial" w:hAnsi="Arial" w:cs="Arial"/>
          <w:color w:val="000000" w:themeColor="text1"/>
          <w:sz w:val="24"/>
          <w:szCs w:val="24"/>
          <w:shd w:val="clear" w:color="auto" w:fill="FFFFFF"/>
        </w:rPr>
        <w:t xml:space="preserve"> The court denied the spoliation remedy on the basis that the respondent exceeded its powers by supplying water to the applicant. Therefore, an order directing the restoration of water to </w:t>
      </w:r>
      <w:r w:rsidR="00BE5C5A"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applicant’s premises would constitute an act of illegality.</w:t>
      </w:r>
      <w:r w:rsidRPr="004B0F7D">
        <w:rPr>
          <w:rStyle w:val="FootnoteReference"/>
          <w:rFonts w:ascii="Arial" w:hAnsi="Arial" w:cs="Arial"/>
          <w:color w:val="000000" w:themeColor="text1"/>
          <w:sz w:val="24"/>
          <w:szCs w:val="24"/>
          <w:shd w:val="clear" w:color="auto" w:fill="FFFFFF"/>
        </w:rPr>
        <w:footnoteReference w:id="266"/>
      </w:r>
    </w:p>
    <w:p w14:paraId="63804A7C" w14:textId="5028F989"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The court was heavily criticised for its decision because it was inferred from investigating the merits of the case, which is contrary to spoliation proceedings.</w:t>
      </w:r>
      <w:r w:rsidRPr="004B0F7D">
        <w:rPr>
          <w:rStyle w:val="FootnoteReference"/>
          <w:rFonts w:ascii="Arial" w:hAnsi="Arial" w:cs="Arial"/>
          <w:color w:val="000000" w:themeColor="text1"/>
          <w:sz w:val="24"/>
          <w:szCs w:val="24"/>
          <w:shd w:val="clear" w:color="auto" w:fill="FFFFFF"/>
        </w:rPr>
        <w:footnoteReference w:id="267"/>
      </w:r>
      <w:r w:rsidRPr="004B0F7D">
        <w:rPr>
          <w:rFonts w:ascii="Arial" w:hAnsi="Arial" w:cs="Arial"/>
          <w:color w:val="000000" w:themeColor="text1"/>
          <w:sz w:val="24"/>
          <w:szCs w:val="24"/>
          <w:shd w:val="clear" w:color="auto" w:fill="FFFFFF"/>
        </w:rPr>
        <w:t xml:space="preserve"> For instance, Van der Walt acknowledged that the court was correct in stating that (</w:t>
      </w:r>
      <w:proofErr w:type="spellStart"/>
      <w:r w:rsidRPr="004B0F7D">
        <w:rPr>
          <w:rFonts w:ascii="Arial" w:hAnsi="Arial" w:cs="Arial"/>
          <w:color w:val="000000" w:themeColor="text1"/>
          <w:sz w:val="24"/>
          <w:szCs w:val="24"/>
          <w:shd w:val="clear" w:color="auto" w:fill="FFFFFF"/>
        </w:rPr>
        <w:t>i</w:t>
      </w:r>
      <w:proofErr w:type="spellEnd"/>
      <w:r w:rsidRPr="004B0F7D">
        <w:rPr>
          <w:rFonts w:ascii="Arial" w:hAnsi="Arial" w:cs="Arial"/>
          <w:color w:val="000000" w:themeColor="text1"/>
          <w:sz w:val="24"/>
          <w:szCs w:val="24"/>
          <w:shd w:val="clear" w:color="auto" w:fill="FFFFFF"/>
        </w:rPr>
        <w:t xml:space="preserve">) what is proved is the actual performance of acts forming the exercise of a right, and (ii) the </w:t>
      </w:r>
      <w:r w:rsidRPr="004B0F7D">
        <w:rPr>
          <w:rFonts w:ascii="Arial" w:hAnsi="Arial" w:cs="Arial"/>
          <w:color w:val="000000" w:themeColor="text1"/>
          <w:sz w:val="24"/>
          <w:szCs w:val="24"/>
          <w:shd w:val="clear" w:color="auto" w:fill="FFFFFF"/>
        </w:rPr>
        <w:lastRenderedPageBreak/>
        <w:t>spoliation remedy is not concerned with the protection of rights, but the factual possession which the applicant is deprived, he nonetheless pointed out that the court did not apply these principles to the facts - which unfortunately led the court to repeatedly investigating the merits of the case.</w:t>
      </w:r>
      <w:r w:rsidRPr="004B0F7D">
        <w:rPr>
          <w:rStyle w:val="FootnoteReference"/>
          <w:rFonts w:ascii="Arial" w:hAnsi="Arial" w:cs="Arial"/>
          <w:color w:val="000000" w:themeColor="text1"/>
          <w:sz w:val="24"/>
          <w:szCs w:val="24"/>
          <w:shd w:val="clear" w:color="auto" w:fill="FFFFFF"/>
        </w:rPr>
        <w:footnoteReference w:id="268"/>
      </w:r>
      <w:r w:rsidRPr="004B0F7D">
        <w:rPr>
          <w:rFonts w:ascii="Arial" w:hAnsi="Arial" w:cs="Arial"/>
          <w:color w:val="000000" w:themeColor="text1"/>
          <w:sz w:val="24"/>
          <w:szCs w:val="24"/>
          <w:shd w:val="clear" w:color="auto" w:fill="FFFFFF"/>
        </w:rPr>
        <w:t xml:space="preserve"> This is problematic for reasons that the court was misdirected in finding that the applicant’s use of water was not an incident of possession of the property.</w:t>
      </w:r>
      <w:r w:rsidRPr="004B0F7D">
        <w:rPr>
          <w:rStyle w:val="FootnoteReference"/>
          <w:rFonts w:ascii="Arial" w:hAnsi="Arial" w:cs="Arial"/>
          <w:color w:val="000000" w:themeColor="text1"/>
          <w:sz w:val="24"/>
          <w:szCs w:val="24"/>
          <w:shd w:val="clear" w:color="auto" w:fill="FFFFFF"/>
        </w:rPr>
        <w:footnoteReference w:id="269"/>
      </w:r>
      <w:r w:rsidRPr="004B0F7D">
        <w:rPr>
          <w:rFonts w:ascii="Arial" w:hAnsi="Arial" w:cs="Arial"/>
          <w:color w:val="000000" w:themeColor="text1"/>
          <w:sz w:val="24"/>
          <w:szCs w:val="24"/>
          <w:shd w:val="clear" w:color="auto" w:fill="FFFFFF"/>
        </w:rPr>
        <w:t xml:space="preserve"> It is suggested that the court should not have investigated the rights of the parties but should simply have determined whether there was proof of acts associated with the right to draw water.</w:t>
      </w:r>
      <w:r w:rsidRPr="004B0F7D">
        <w:rPr>
          <w:rStyle w:val="FootnoteReference"/>
          <w:rFonts w:ascii="Arial" w:hAnsi="Arial" w:cs="Arial"/>
          <w:color w:val="000000" w:themeColor="text1"/>
          <w:sz w:val="24"/>
          <w:szCs w:val="24"/>
          <w:shd w:val="clear" w:color="auto" w:fill="FFFFFF"/>
        </w:rPr>
        <w:footnoteReference w:id="270"/>
      </w:r>
      <w:r w:rsidRPr="004B0F7D">
        <w:rPr>
          <w:rFonts w:ascii="Arial" w:hAnsi="Arial" w:cs="Arial"/>
          <w:color w:val="000000" w:themeColor="text1"/>
          <w:sz w:val="24"/>
          <w:szCs w:val="24"/>
          <w:shd w:val="clear" w:color="auto" w:fill="FFFFFF"/>
        </w:rPr>
        <w:t xml:space="preserve"> In other words, the applicant only had to show that he drew water from the pipeline over </w:t>
      </w:r>
      <w:r w:rsidR="00BE5C5A" w:rsidRPr="004B0F7D">
        <w:rPr>
          <w:rFonts w:ascii="Arial" w:hAnsi="Arial" w:cs="Arial"/>
          <w:color w:val="000000" w:themeColor="text1"/>
          <w:sz w:val="24"/>
          <w:szCs w:val="24"/>
          <w:shd w:val="clear" w:color="auto" w:fill="FFFFFF"/>
        </w:rPr>
        <w:t>some</w:t>
      </w:r>
      <w:r w:rsidRPr="004B0F7D">
        <w:rPr>
          <w:rFonts w:ascii="Arial" w:hAnsi="Arial" w:cs="Arial"/>
          <w:color w:val="000000" w:themeColor="text1"/>
          <w:sz w:val="24"/>
          <w:szCs w:val="24"/>
          <w:shd w:val="clear" w:color="auto" w:fill="FFFFFF"/>
        </w:rPr>
        <w:t xml:space="preserve"> time before it was cut off.</w:t>
      </w:r>
      <w:r w:rsidRPr="004B0F7D">
        <w:rPr>
          <w:rStyle w:val="FootnoteReference"/>
          <w:rFonts w:ascii="Arial" w:hAnsi="Arial" w:cs="Arial"/>
          <w:color w:val="000000" w:themeColor="text1"/>
          <w:sz w:val="24"/>
          <w:szCs w:val="24"/>
          <w:shd w:val="clear" w:color="auto" w:fill="FFFFFF"/>
        </w:rPr>
        <w:footnoteReference w:id="271"/>
      </w:r>
    </w:p>
    <w:p w14:paraId="4BB66BB6" w14:textId="4FDD978A"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However, what bears significance in this discussion is the court’s formulation of what the applicant ought to prove to establish possession of an incorporeal right.</w:t>
      </w:r>
      <w:r w:rsidRPr="004B0F7D">
        <w:rPr>
          <w:rStyle w:val="FootnoteReference"/>
          <w:rFonts w:ascii="Arial" w:hAnsi="Arial" w:cs="Arial"/>
          <w:color w:val="000000" w:themeColor="text1"/>
          <w:sz w:val="24"/>
          <w:szCs w:val="24"/>
          <w:shd w:val="clear" w:color="auto" w:fill="FFFFFF"/>
        </w:rPr>
        <w:footnoteReference w:id="272"/>
      </w:r>
      <w:r w:rsidRPr="004B0F7D">
        <w:rPr>
          <w:rFonts w:ascii="Arial" w:hAnsi="Arial" w:cs="Arial"/>
          <w:color w:val="000000" w:themeColor="text1"/>
          <w:sz w:val="24"/>
          <w:szCs w:val="24"/>
          <w:shd w:val="clear" w:color="auto" w:fill="FFFFFF"/>
        </w:rPr>
        <w:t xml:space="preserve"> In </w:t>
      </w:r>
      <w:r w:rsidRPr="004B0F7D">
        <w:rPr>
          <w:rFonts w:ascii="Arial" w:hAnsi="Arial" w:cs="Arial"/>
          <w:i/>
          <w:iCs/>
          <w:color w:val="000000" w:themeColor="text1"/>
          <w:sz w:val="24"/>
          <w:szCs w:val="24"/>
          <w:shd w:val="clear" w:color="auto" w:fill="FFFFFF"/>
        </w:rPr>
        <w:t>Bon Quelle</w:t>
      </w:r>
      <w:r w:rsidRPr="004B0F7D">
        <w:rPr>
          <w:rFonts w:ascii="Arial" w:hAnsi="Arial" w:cs="Arial"/>
          <w:color w:val="000000" w:themeColor="text1"/>
          <w:sz w:val="24"/>
          <w:szCs w:val="24"/>
          <w:shd w:val="clear" w:color="auto" w:fill="FFFFFF"/>
        </w:rPr>
        <w:t>, the court determined that the use or exercise of a right to a thing (servitude) replaces the actual physical possession or control of the thing.</w:t>
      </w:r>
      <w:r w:rsidRPr="004B0F7D">
        <w:rPr>
          <w:rStyle w:val="FootnoteReference"/>
          <w:rFonts w:ascii="Arial" w:hAnsi="Arial" w:cs="Arial"/>
          <w:color w:val="000000" w:themeColor="text1"/>
          <w:sz w:val="24"/>
          <w:szCs w:val="24"/>
          <w:shd w:val="clear" w:color="auto" w:fill="FFFFFF"/>
        </w:rPr>
        <w:footnoteReference w:id="273"/>
      </w:r>
      <w:r w:rsidRPr="004B0F7D">
        <w:rPr>
          <w:rFonts w:ascii="Arial" w:hAnsi="Arial" w:cs="Arial"/>
          <w:color w:val="000000" w:themeColor="text1"/>
          <w:sz w:val="24"/>
          <w:szCs w:val="24"/>
          <w:shd w:val="clear" w:color="auto" w:fill="FFFFFF"/>
        </w:rPr>
        <w:t xml:space="preserve"> Van der Walt clarified this position by highlighting that what the court meant is that the applicant must prove the actual exercise of acts associated with the underlying entitlement of an alleged right.</w:t>
      </w:r>
      <w:r w:rsidRPr="004B0F7D">
        <w:rPr>
          <w:rStyle w:val="FootnoteReference"/>
          <w:rFonts w:ascii="Arial" w:hAnsi="Arial" w:cs="Arial"/>
          <w:color w:val="000000" w:themeColor="text1"/>
          <w:sz w:val="24"/>
          <w:szCs w:val="24"/>
          <w:shd w:val="clear" w:color="auto" w:fill="FFFFFF"/>
        </w:rPr>
        <w:footnoteReference w:id="274"/>
      </w:r>
      <w:r w:rsidRPr="004B0F7D">
        <w:rPr>
          <w:rFonts w:ascii="Arial" w:hAnsi="Arial" w:cs="Arial"/>
          <w:color w:val="000000" w:themeColor="text1"/>
          <w:sz w:val="24"/>
          <w:szCs w:val="24"/>
          <w:shd w:val="clear" w:color="auto" w:fill="FFFFFF"/>
        </w:rPr>
        <w:t xml:space="preserve"> The court accepted that what is protected is the actual performance of acts which</w:t>
      </w:r>
      <w:r w:rsidR="00BE5C5A"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if lawfully performed</w:t>
      </w:r>
      <w:r w:rsidR="00BE5C5A"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constitutes the exercise of the right.</w:t>
      </w:r>
      <w:r w:rsidRPr="004B0F7D">
        <w:rPr>
          <w:rStyle w:val="FootnoteReference"/>
          <w:rFonts w:ascii="Arial" w:hAnsi="Arial" w:cs="Arial"/>
          <w:color w:val="000000" w:themeColor="text1"/>
          <w:sz w:val="24"/>
          <w:szCs w:val="24"/>
          <w:shd w:val="clear" w:color="auto" w:fill="FFFFFF"/>
        </w:rPr>
        <w:footnoteReference w:id="275"/>
      </w:r>
      <w:r w:rsidRPr="004B0F7D">
        <w:rPr>
          <w:rFonts w:ascii="Arial" w:hAnsi="Arial" w:cs="Arial"/>
          <w:color w:val="000000" w:themeColor="text1"/>
          <w:sz w:val="24"/>
          <w:szCs w:val="24"/>
          <w:shd w:val="clear" w:color="auto" w:fill="FFFFFF"/>
        </w:rPr>
        <w:t xml:space="preserve"> In my view, this is a correct formulation concerning what the applicant ought to prove to qualify for the spoliation remedy in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-possession cases. This formulation accurately reflects the gradual progression of phrasing the legal position from somewhat vague phrases to what is more precise and elegantly enunciated.</w:t>
      </w:r>
    </w:p>
    <w:p w14:paraId="304EF7D7" w14:textId="77777777"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In </w:t>
      </w:r>
      <w:r w:rsidRPr="004B0F7D">
        <w:rPr>
          <w:rFonts w:ascii="Arial" w:hAnsi="Arial" w:cs="Arial"/>
          <w:i/>
          <w:iCs/>
          <w:color w:val="000000" w:themeColor="text1"/>
          <w:sz w:val="24"/>
          <w:szCs w:val="24"/>
          <w:shd w:val="clear" w:color="auto" w:fill="FFFFFF"/>
        </w:rPr>
        <w:t>Plaatjie and Another v Olivier NO and Others</w:t>
      </w:r>
      <w:r w:rsidRPr="004B0F7D">
        <w:rPr>
          <w:rFonts w:ascii="Arial" w:hAnsi="Arial" w:cs="Arial"/>
          <w:color w:val="000000" w:themeColor="text1"/>
          <w:sz w:val="24"/>
          <w:szCs w:val="24"/>
          <w:shd w:val="clear" w:color="auto" w:fill="FFFFFF"/>
        </w:rPr>
        <w:t>, the case of a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 was once again dealt with when the court compared the difference between the test for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 xml:space="preserve">-possession of </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 and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rights.</w:t>
      </w:r>
      <w:r w:rsidRPr="004B0F7D">
        <w:rPr>
          <w:rStyle w:val="FootnoteReference"/>
          <w:rFonts w:ascii="Arial" w:hAnsi="Arial" w:cs="Arial"/>
          <w:color w:val="000000" w:themeColor="text1"/>
          <w:sz w:val="24"/>
          <w:szCs w:val="24"/>
          <w:shd w:val="clear" w:color="auto" w:fill="FFFFFF"/>
        </w:rPr>
        <w:footnoteReference w:id="276"/>
      </w:r>
      <w:r w:rsidRPr="004B0F7D">
        <w:rPr>
          <w:rFonts w:ascii="Arial" w:hAnsi="Arial" w:cs="Arial"/>
          <w:color w:val="000000" w:themeColor="text1"/>
          <w:sz w:val="24"/>
          <w:szCs w:val="24"/>
          <w:shd w:val="clear" w:color="auto" w:fill="FFFFFF"/>
        </w:rPr>
        <w:t xml:space="preserve"> In </w:t>
      </w:r>
      <w:proofErr w:type="spellStart"/>
      <w:r w:rsidRPr="004B0F7D">
        <w:rPr>
          <w:rFonts w:ascii="Arial" w:hAnsi="Arial" w:cs="Arial"/>
          <w:i/>
          <w:iCs/>
          <w:color w:val="000000" w:themeColor="text1"/>
          <w:sz w:val="24"/>
          <w:szCs w:val="24"/>
          <w:shd w:val="clear" w:color="auto" w:fill="FFFFFF"/>
        </w:rPr>
        <w:t>casu</w:t>
      </w:r>
      <w:proofErr w:type="spellEnd"/>
      <w:r w:rsidRPr="004B0F7D">
        <w:rPr>
          <w:rFonts w:ascii="Arial" w:hAnsi="Arial" w:cs="Arial"/>
          <w:color w:val="000000" w:themeColor="text1"/>
          <w:sz w:val="24"/>
          <w:szCs w:val="24"/>
          <w:shd w:val="clear" w:color="auto" w:fill="FFFFFF"/>
        </w:rPr>
        <w:t xml:space="preserve">, the respondents disconnected the supply of water to communal taps located in an informal </w:t>
      </w:r>
      <w:r w:rsidRPr="004B0F7D">
        <w:rPr>
          <w:rFonts w:ascii="Arial" w:hAnsi="Arial" w:cs="Arial"/>
          <w:color w:val="000000" w:themeColor="text1"/>
          <w:sz w:val="24"/>
          <w:szCs w:val="24"/>
          <w:shd w:val="clear" w:color="auto" w:fill="FFFFFF"/>
        </w:rPr>
        <w:lastRenderedPageBreak/>
        <w:t>settlement where the applicants lived.</w:t>
      </w:r>
      <w:r w:rsidRPr="004B0F7D">
        <w:rPr>
          <w:rStyle w:val="FootnoteReference"/>
          <w:rFonts w:ascii="Arial" w:hAnsi="Arial" w:cs="Arial"/>
          <w:color w:val="000000" w:themeColor="text1"/>
          <w:sz w:val="24"/>
          <w:szCs w:val="24"/>
          <w:shd w:val="clear" w:color="auto" w:fill="FFFFFF"/>
        </w:rPr>
        <w:footnoteReference w:id="277"/>
      </w:r>
      <w:r w:rsidRPr="004B0F7D">
        <w:rPr>
          <w:rFonts w:ascii="Arial" w:hAnsi="Arial" w:cs="Arial"/>
          <w:color w:val="000000" w:themeColor="text1"/>
          <w:sz w:val="24"/>
          <w:szCs w:val="24"/>
          <w:shd w:val="clear" w:color="auto" w:fill="FFFFFF"/>
        </w:rPr>
        <w:t xml:space="preserve"> The applicants instituted a claim for a spoliation order directing the respondents to restore the flow of water to the informal settlement.</w:t>
      </w:r>
      <w:r w:rsidRPr="004B0F7D">
        <w:rPr>
          <w:rStyle w:val="FootnoteReference"/>
          <w:rFonts w:ascii="Arial" w:hAnsi="Arial" w:cs="Arial"/>
          <w:color w:val="000000" w:themeColor="text1"/>
          <w:sz w:val="24"/>
          <w:szCs w:val="24"/>
          <w:shd w:val="clear" w:color="auto" w:fill="FFFFFF"/>
        </w:rPr>
        <w:footnoteReference w:id="278"/>
      </w:r>
      <w:r w:rsidRPr="004B0F7D">
        <w:rPr>
          <w:rFonts w:ascii="Arial" w:hAnsi="Arial" w:cs="Arial"/>
          <w:color w:val="000000" w:themeColor="text1"/>
          <w:sz w:val="24"/>
          <w:szCs w:val="24"/>
          <w:shd w:val="clear" w:color="auto" w:fill="FFFFFF"/>
        </w:rPr>
        <w:t xml:space="preserve"> However, before the court could decide on this matter, it reiterated the already established principle that possession of an incorporeal right is protected against spoliation.</w:t>
      </w:r>
      <w:r w:rsidRPr="004B0F7D">
        <w:rPr>
          <w:rStyle w:val="FootnoteReference"/>
          <w:rFonts w:ascii="Arial" w:hAnsi="Arial" w:cs="Arial"/>
          <w:color w:val="000000" w:themeColor="text1"/>
          <w:sz w:val="24"/>
          <w:szCs w:val="24"/>
          <w:shd w:val="clear" w:color="auto" w:fill="FFFFFF"/>
        </w:rPr>
        <w:footnoteReference w:id="279"/>
      </w:r>
      <w:r w:rsidRPr="004B0F7D">
        <w:rPr>
          <w:rFonts w:ascii="Arial" w:hAnsi="Arial" w:cs="Arial"/>
          <w:color w:val="000000" w:themeColor="text1"/>
          <w:sz w:val="24"/>
          <w:szCs w:val="24"/>
          <w:shd w:val="clear" w:color="auto" w:fill="FFFFFF"/>
        </w:rPr>
        <w:t xml:space="preserve"> According to this principle, what merits protection is the actual exercise or performance of lawful acts which constitute the exercise of the right.</w:t>
      </w:r>
      <w:r w:rsidRPr="004B0F7D">
        <w:rPr>
          <w:rStyle w:val="FootnoteReference"/>
          <w:rFonts w:ascii="Arial" w:hAnsi="Arial" w:cs="Arial"/>
          <w:color w:val="000000" w:themeColor="text1"/>
          <w:sz w:val="24"/>
          <w:szCs w:val="24"/>
          <w:shd w:val="clear" w:color="auto" w:fill="FFFFFF"/>
        </w:rPr>
        <w:footnoteReference w:id="280"/>
      </w:r>
    </w:p>
    <w:p w14:paraId="6086BAF6" w14:textId="12BFF67B"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What stood out in this case was the subsequent determination of acts which constitute the exercise of a right.</w:t>
      </w:r>
      <w:r w:rsidRPr="004B0F7D">
        <w:rPr>
          <w:rStyle w:val="FootnoteReference"/>
          <w:rFonts w:ascii="Arial" w:hAnsi="Arial" w:cs="Arial"/>
          <w:color w:val="000000" w:themeColor="text1"/>
          <w:sz w:val="24"/>
          <w:szCs w:val="24"/>
          <w:shd w:val="clear" w:color="auto" w:fill="FFFFFF"/>
        </w:rPr>
        <w:footnoteReference w:id="281"/>
      </w:r>
      <w:r w:rsidRPr="004B0F7D">
        <w:rPr>
          <w:rFonts w:ascii="Arial" w:hAnsi="Arial" w:cs="Arial"/>
          <w:color w:val="000000" w:themeColor="text1"/>
          <w:sz w:val="24"/>
          <w:szCs w:val="24"/>
          <w:shd w:val="clear" w:color="auto" w:fill="FFFFFF"/>
        </w:rPr>
        <w:t xml:space="preserve"> The authority for possession of 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as found in </w:t>
      </w:r>
      <w:r w:rsidRPr="004B0F7D">
        <w:rPr>
          <w:rFonts w:ascii="Arial" w:hAnsi="Arial" w:cs="Arial"/>
          <w:i/>
          <w:iCs/>
          <w:color w:val="000000" w:themeColor="text1"/>
          <w:sz w:val="24"/>
          <w:szCs w:val="24"/>
          <w:shd w:val="clear" w:color="auto" w:fill="FFFFFF"/>
        </w:rPr>
        <w:t>Naidoo</w:t>
      </w:r>
      <w:r w:rsidRPr="004B0F7D">
        <w:rPr>
          <w:rFonts w:ascii="Arial" w:hAnsi="Arial" w:cs="Arial"/>
          <w:color w:val="000000" w:themeColor="text1"/>
          <w:sz w:val="24"/>
          <w:szCs w:val="24"/>
          <w:shd w:val="clear" w:color="auto" w:fill="FFFFFF"/>
        </w:rPr>
        <w:t xml:space="preserve"> and </w:t>
      </w:r>
      <w:r w:rsidRPr="004B0F7D">
        <w:rPr>
          <w:rFonts w:ascii="Arial" w:hAnsi="Arial" w:cs="Arial"/>
          <w:i/>
          <w:iCs/>
          <w:color w:val="000000" w:themeColor="text1"/>
          <w:sz w:val="24"/>
          <w:szCs w:val="24"/>
          <w:shd w:val="clear" w:color="auto" w:fill="FFFFFF"/>
        </w:rPr>
        <w:t>Froman</w:t>
      </w:r>
      <w:r w:rsidRPr="004B0F7D">
        <w:rPr>
          <w:rFonts w:ascii="Arial" w:hAnsi="Arial" w:cs="Arial"/>
          <w:color w:val="000000" w:themeColor="text1"/>
          <w:sz w:val="24"/>
          <w:szCs w:val="24"/>
          <w:shd w:val="clear" w:color="auto" w:fill="FFFFFF"/>
        </w:rPr>
        <w:t xml:space="preserve">, where the spoliator interrupted the flow of water or electricity supply to premises occupied by </w:t>
      </w:r>
      <w:r w:rsidR="00A650C5"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applicant/appellant, is that (</w:t>
      </w:r>
      <w:proofErr w:type="spellStart"/>
      <w:r w:rsidRPr="004B0F7D">
        <w:rPr>
          <w:rFonts w:ascii="Arial" w:hAnsi="Arial" w:cs="Arial"/>
          <w:color w:val="000000" w:themeColor="text1"/>
          <w:sz w:val="24"/>
          <w:szCs w:val="24"/>
          <w:shd w:val="clear" w:color="auto" w:fill="FFFFFF"/>
        </w:rPr>
        <w:t>i</w:t>
      </w:r>
      <w:proofErr w:type="spellEnd"/>
      <w:r w:rsidRPr="004B0F7D">
        <w:rPr>
          <w:rFonts w:ascii="Arial" w:hAnsi="Arial" w:cs="Arial"/>
          <w:color w:val="000000" w:themeColor="text1"/>
          <w:sz w:val="24"/>
          <w:szCs w:val="24"/>
          <w:shd w:val="clear" w:color="auto" w:fill="FFFFFF"/>
        </w:rPr>
        <w:t xml:space="preserve">) rights must be incidental to physical occupation of </w:t>
      </w:r>
      <w:r w:rsidR="00A650C5"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 xml:space="preserve">property and that (ii)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-possession is established by the physical use of appurtenances to the occupation.</w:t>
      </w:r>
      <w:r w:rsidRPr="004B0F7D">
        <w:rPr>
          <w:rStyle w:val="FootnoteReference"/>
          <w:rFonts w:ascii="Arial" w:hAnsi="Arial" w:cs="Arial"/>
          <w:color w:val="000000" w:themeColor="text1"/>
          <w:sz w:val="24"/>
          <w:szCs w:val="24"/>
          <w:shd w:val="clear" w:color="auto" w:fill="FFFFFF"/>
        </w:rPr>
        <w:footnoteReference w:id="282"/>
      </w:r>
      <w:r w:rsidRPr="004B0F7D">
        <w:rPr>
          <w:rFonts w:ascii="Arial" w:hAnsi="Arial" w:cs="Arial"/>
          <w:color w:val="000000" w:themeColor="text1"/>
          <w:sz w:val="24"/>
          <w:szCs w:val="24"/>
          <w:shd w:val="clear" w:color="auto" w:fill="FFFFFF"/>
        </w:rPr>
        <w:t xml:space="preserve"> The court confirmed that in order to claim the restoration of water, the applicant must prove that the respondent interfered with or interrupted the flow of water to </w:t>
      </w:r>
      <w:r w:rsidR="00A650C5"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 xml:space="preserve">premises occupied by </w:t>
      </w:r>
      <w:r w:rsidR="00A650C5"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applicants. However, in the present case, the taps to which water was disconnected were situated on a stand distant from the stands possessed by applicants.</w:t>
      </w:r>
      <w:r w:rsidRPr="004B0F7D">
        <w:rPr>
          <w:rStyle w:val="FootnoteReference"/>
          <w:rFonts w:ascii="Arial" w:hAnsi="Arial" w:cs="Arial"/>
          <w:color w:val="000000" w:themeColor="text1"/>
          <w:sz w:val="24"/>
          <w:szCs w:val="24"/>
          <w:shd w:val="clear" w:color="auto" w:fill="FFFFFF"/>
        </w:rPr>
        <w:footnoteReference w:id="283"/>
      </w:r>
      <w:r w:rsidRPr="004B0F7D">
        <w:rPr>
          <w:rFonts w:ascii="Arial" w:hAnsi="Arial" w:cs="Arial"/>
          <w:color w:val="000000" w:themeColor="text1"/>
          <w:sz w:val="24"/>
          <w:szCs w:val="24"/>
          <w:shd w:val="clear" w:color="auto" w:fill="FFFFFF"/>
        </w:rPr>
        <w:t xml:space="preserve"> Thus, the applicants were not in physical possession of water and</w:t>
      </w:r>
      <w:r w:rsidR="00A650C5"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therefore</w:t>
      </w:r>
      <w:r w:rsidR="00A650C5"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could not base their claim on loss of physical possession.</w:t>
      </w:r>
      <w:r w:rsidRPr="004B0F7D">
        <w:rPr>
          <w:rStyle w:val="FootnoteReference"/>
          <w:rFonts w:ascii="Arial" w:hAnsi="Arial" w:cs="Arial"/>
          <w:color w:val="000000" w:themeColor="text1"/>
          <w:sz w:val="24"/>
          <w:szCs w:val="24"/>
          <w:shd w:val="clear" w:color="auto" w:fill="FFFFFF"/>
        </w:rPr>
        <w:footnoteReference w:id="284"/>
      </w:r>
      <w:r w:rsidRPr="004B0F7D">
        <w:rPr>
          <w:rFonts w:ascii="Arial" w:hAnsi="Arial" w:cs="Arial"/>
          <w:color w:val="000000" w:themeColor="text1"/>
          <w:sz w:val="24"/>
          <w:szCs w:val="24"/>
          <w:shd w:val="clear" w:color="auto" w:fill="FFFFFF"/>
        </w:rPr>
        <w:t xml:space="preserve"> In light thereof, the use of water did not constitute the use of </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w:t>
      </w:r>
      <w:r w:rsidR="00A650C5" w:rsidRPr="004B0F7D">
        <w:rPr>
          <w:rFonts w:ascii="Arial" w:hAnsi="Arial" w:cs="Arial"/>
          <w:color w:val="000000" w:themeColor="text1"/>
          <w:sz w:val="24"/>
          <w:szCs w:val="24"/>
          <w:shd w:val="clear" w:color="auto" w:fill="FFFFFF"/>
        </w:rPr>
        <w:t>s</w:t>
      </w:r>
      <w:r w:rsidRPr="004B0F7D">
        <w:rPr>
          <w:rFonts w:ascii="Arial" w:hAnsi="Arial" w:cs="Arial"/>
          <w:color w:val="000000" w:themeColor="text1"/>
          <w:sz w:val="24"/>
          <w:szCs w:val="24"/>
          <w:shd w:val="clear" w:color="auto" w:fill="FFFFFF"/>
        </w:rPr>
        <w:t xml:space="preserve"> or an incident of their possession o</w:t>
      </w:r>
      <w:r w:rsidR="00B5704F" w:rsidRPr="004B0F7D">
        <w:rPr>
          <w:rFonts w:ascii="Arial" w:hAnsi="Arial" w:cs="Arial"/>
          <w:color w:val="000000" w:themeColor="text1"/>
          <w:sz w:val="24"/>
          <w:szCs w:val="24"/>
          <w:shd w:val="clear" w:color="auto" w:fill="FFFFFF"/>
        </w:rPr>
        <w:t>r</w:t>
      </w:r>
      <w:r w:rsidRPr="004B0F7D">
        <w:rPr>
          <w:rFonts w:ascii="Arial" w:hAnsi="Arial" w:cs="Arial"/>
          <w:color w:val="000000" w:themeColor="text1"/>
          <w:sz w:val="24"/>
          <w:szCs w:val="24"/>
          <w:shd w:val="clear" w:color="auto" w:fill="FFFFFF"/>
        </w:rPr>
        <w:t xml:space="preserve"> control of the premises (the corporeal thing). Accordingly, it was held that it would not be competent to grant the spoliation order.</w:t>
      </w:r>
      <w:r w:rsidRPr="004B0F7D">
        <w:rPr>
          <w:rStyle w:val="FootnoteReference"/>
          <w:rFonts w:ascii="Arial" w:hAnsi="Arial" w:cs="Arial"/>
          <w:color w:val="000000" w:themeColor="text1"/>
          <w:sz w:val="24"/>
          <w:szCs w:val="24"/>
          <w:shd w:val="clear" w:color="auto" w:fill="FFFFFF"/>
        </w:rPr>
        <w:footnoteReference w:id="285"/>
      </w:r>
    </w:p>
    <w:p w14:paraId="2BBF50A0" w14:textId="15AD9B02"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In </w:t>
      </w:r>
      <w:r w:rsidRPr="004B0F7D">
        <w:rPr>
          <w:rFonts w:ascii="Arial" w:hAnsi="Arial" w:cs="Arial"/>
          <w:i/>
          <w:iCs/>
          <w:color w:val="000000" w:themeColor="text1"/>
          <w:sz w:val="24"/>
          <w:szCs w:val="24"/>
          <w:shd w:val="clear" w:color="auto" w:fill="FFFFFF"/>
        </w:rPr>
        <w:t>Shoprite Checkers Ltd v Pangbourne Properties Ltd</w:t>
      </w:r>
      <w:r w:rsidRPr="004B0F7D">
        <w:rPr>
          <w:rFonts w:ascii="Arial" w:hAnsi="Arial" w:cs="Arial"/>
          <w:color w:val="000000" w:themeColor="text1"/>
          <w:sz w:val="24"/>
          <w:szCs w:val="24"/>
          <w:shd w:val="clear" w:color="auto" w:fill="FFFFFF"/>
        </w:rPr>
        <w:t xml:space="preserve">, the applicant was denied </w:t>
      </w:r>
      <w:proofErr w:type="spellStart"/>
      <w:r w:rsidRPr="004B0F7D">
        <w:rPr>
          <w:rFonts w:ascii="Arial" w:hAnsi="Arial" w:cs="Arial"/>
          <w:color w:val="000000" w:themeColor="text1"/>
          <w:sz w:val="24"/>
          <w:szCs w:val="24"/>
          <w:shd w:val="clear" w:color="auto" w:fill="FFFFFF"/>
        </w:rPr>
        <w:t>spoliatory</w:t>
      </w:r>
      <w:proofErr w:type="spellEnd"/>
      <w:r w:rsidRPr="004B0F7D">
        <w:rPr>
          <w:rFonts w:ascii="Arial" w:hAnsi="Arial" w:cs="Arial"/>
          <w:color w:val="000000" w:themeColor="text1"/>
          <w:sz w:val="24"/>
          <w:szCs w:val="24"/>
          <w:shd w:val="clear" w:color="auto" w:fill="FFFFFF"/>
        </w:rPr>
        <w:t xml:space="preserve"> relief for </w:t>
      </w:r>
      <w:r w:rsidR="00B03E6F" w:rsidRPr="004B0F7D">
        <w:rPr>
          <w:rFonts w:ascii="Arial" w:hAnsi="Arial" w:cs="Arial"/>
          <w:color w:val="000000" w:themeColor="text1"/>
          <w:sz w:val="24"/>
          <w:szCs w:val="24"/>
          <w:shd w:val="clear" w:color="auto" w:fill="FFFFFF"/>
        </w:rPr>
        <w:t xml:space="preserve">a </w:t>
      </w:r>
      <w:r w:rsidRPr="004B0F7D">
        <w:rPr>
          <w:rFonts w:ascii="Arial" w:hAnsi="Arial" w:cs="Arial"/>
          <w:color w:val="000000" w:themeColor="text1"/>
          <w:sz w:val="24"/>
          <w:szCs w:val="24"/>
          <w:shd w:val="clear" w:color="auto" w:fill="FFFFFF"/>
        </w:rPr>
        <w:t>non-</w:t>
      </w:r>
      <w:proofErr w:type="spellStart"/>
      <w:r w:rsidRPr="004B0F7D">
        <w:rPr>
          <w:rFonts w:ascii="Arial" w:hAnsi="Arial" w:cs="Arial"/>
          <w:color w:val="000000" w:themeColor="text1"/>
          <w:sz w:val="24"/>
          <w:szCs w:val="24"/>
          <w:shd w:val="clear" w:color="auto" w:fill="FFFFFF"/>
        </w:rPr>
        <w:t>servitutal</w:t>
      </w:r>
      <w:proofErr w:type="spellEnd"/>
      <w:r w:rsidRPr="004B0F7D">
        <w:rPr>
          <w:rFonts w:ascii="Arial" w:hAnsi="Arial" w:cs="Arial"/>
          <w:color w:val="000000" w:themeColor="text1"/>
          <w:sz w:val="24"/>
          <w:szCs w:val="24"/>
          <w:shd w:val="clear" w:color="auto" w:fill="FFFFFF"/>
        </w:rPr>
        <w:t xml:space="preserve"> right due to failure on its part to show that it was in </w:t>
      </w:r>
      <w:r w:rsidRPr="004B0F7D">
        <w:rPr>
          <w:rFonts w:ascii="Arial" w:hAnsi="Arial" w:cs="Arial"/>
          <w:color w:val="000000" w:themeColor="text1"/>
          <w:sz w:val="24"/>
          <w:szCs w:val="24"/>
          <w:shd w:val="clear" w:color="auto" w:fill="FFFFFF"/>
        </w:rPr>
        <w:lastRenderedPageBreak/>
        <w:t>possession of the designated area.</w:t>
      </w:r>
      <w:r w:rsidRPr="004B0F7D">
        <w:rPr>
          <w:rStyle w:val="FootnoteReference"/>
          <w:rFonts w:ascii="Arial" w:hAnsi="Arial" w:cs="Arial"/>
          <w:color w:val="000000" w:themeColor="text1"/>
          <w:sz w:val="24"/>
          <w:szCs w:val="24"/>
          <w:shd w:val="clear" w:color="auto" w:fill="FFFFFF"/>
        </w:rPr>
        <w:footnoteReference w:id="286"/>
      </w:r>
      <w:r w:rsidRPr="004B0F7D">
        <w:rPr>
          <w:rFonts w:ascii="Arial" w:hAnsi="Arial" w:cs="Arial"/>
          <w:color w:val="000000" w:themeColor="text1"/>
          <w:sz w:val="24"/>
          <w:szCs w:val="24"/>
          <w:shd w:val="clear" w:color="auto" w:fill="FFFFFF"/>
        </w:rPr>
        <w:t xml:space="preserve"> In </w:t>
      </w:r>
      <w:proofErr w:type="spellStart"/>
      <w:r w:rsidRPr="004B0F7D">
        <w:rPr>
          <w:rFonts w:ascii="Arial" w:hAnsi="Arial" w:cs="Arial"/>
          <w:i/>
          <w:iCs/>
          <w:color w:val="000000" w:themeColor="text1"/>
          <w:sz w:val="24"/>
          <w:szCs w:val="24"/>
          <w:shd w:val="clear" w:color="auto" w:fill="FFFFFF"/>
        </w:rPr>
        <w:t>casu</w:t>
      </w:r>
      <w:proofErr w:type="spellEnd"/>
      <w:r w:rsidRPr="004B0F7D">
        <w:rPr>
          <w:rFonts w:ascii="Arial" w:hAnsi="Arial" w:cs="Arial"/>
          <w:color w:val="000000" w:themeColor="text1"/>
          <w:sz w:val="24"/>
          <w:szCs w:val="24"/>
          <w:shd w:val="clear" w:color="auto" w:fill="FFFFFF"/>
        </w:rPr>
        <w:t xml:space="preserve">, the applicant entered into a lease agreement to operate a supermarket at a shopping centre owned by the respondent. The agreement referred to the parking area attached to the complex as the ‘common area’. </w:t>
      </w:r>
      <w:r w:rsidR="00A650C5" w:rsidRPr="004B0F7D">
        <w:rPr>
          <w:rFonts w:ascii="Arial" w:hAnsi="Arial" w:cs="Arial"/>
          <w:color w:val="000000" w:themeColor="text1"/>
          <w:sz w:val="24"/>
          <w:szCs w:val="24"/>
          <w:shd w:val="clear" w:color="auto" w:fill="FFFFFF"/>
        </w:rPr>
        <w:t>Applicant’s customers and employees utilised this area</w:t>
      </w:r>
      <w:r w:rsidRPr="004B0F7D">
        <w:rPr>
          <w:rFonts w:ascii="Arial" w:hAnsi="Arial" w:cs="Arial"/>
          <w:color w:val="000000" w:themeColor="text1"/>
          <w:sz w:val="24"/>
          <w:szCs w:val="24"/>
          <w:shd w:val="clear" w:color="auto" w:fill="FFFFFF"/>
        </w:rPr>
        <w:t xml:space="preserve"> for parking purposes.</w:t>
      </w:r>
      <w:r w:rsidRPr="004B0F7D">
        <w:rPr>
          <w:rStyle w:val="FootnoteReference"/>
          <w:rFonts w:ascii="Arial" w:hAnsi="Arial" w:cs="Arial"/>
          <w:color w:val="000000" w:themeColor="text1"/>
          <w:sz w:val="24"/>
          <w:szCs w:val="24"/>
          <w:shd w:val="clear" w:color="auto" w:fill="FFFFFF"/>
        </w:rPr>
        <w:footnoteReference w:id="287"/>
      </w:r>
      <w:r w:rsidRPr="004B0F7D">
        <w:rPr>
          <w:rFonts w:ascii="Arial" w:hAnsi="Arial" w:cs="Arial"/>
          <w:color w:val="000000" w:themeColor="text1"/>
          <w:sz w:val="24"/>
          <w:szCs w:val="24"/>
          <w:shd w:val="clear" w:color="auto" w:fill="FFFFFF"/>
        </w:rPr>
        <w:t xml:space="preserve"> However, the respondent began construction works on the portion of the designated area to erect new shops and increase the number of parking spaces.</w:t>
      </w:r>
      <w:r w:rsidRPr="004B0F7D">
        <w:rPr>
          <w:rStyle w:val="FootnoteReference"/>
          <w:rFonts w:ascii="Arial" w:hAnsi="Arial" w:cs="Arial"/>
          <w:color w:val="000000" w:themeColor="text1"/>
          <w:sz w:val="24"/>
          <w:szCs w:val="24"/>
          <w:shd w:val="clear" w:color="auto" w:fill="FFFFFF"/>
        </w:rPr>
        <w:footnoteReference w:id="288"/>
      </w:r>
    </w:p>
    <w:p w14:paraId="6584DB1F" w14:textId="1B5A4168"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The applicant approached the court for an order of spoliation directing the respondent to restore </w:t>
      </w:r>
      <w:r w:rsidRPr="004B0F7D">
        <w:rPr>
          <w:rFonts w:ascii="Arial" w:hAnsi="Arial" w:cs="Arial"/>
          <w:i/>
          <w:iCs/>
          <w:color w:val="000000" w:themeColor="text1"/>
          <w:sz w:val="24"/>
          <w:szCs w:val="24"/>
          <w:shd w:val="clear" w:color="auto" w:fill="FFFFFF"/>
        </w:rPr>
        <w:t>ante omnia</w:t>
      </w:r>
      <w:r w:rsidRPr="004B0F7D">
        <w:rPr>
          <w:rFonts w:ascii="Arial" w:hAnsi="Arial" w:cs="Arial"/>
          <w:color w:val="000000" w:themeColor="text1"/>
          <w:sz w:val="24"/>
          <w:szCs w:val="24"/>
          <w:shd w:val="clear" w:color="auto" w:fill="FFFFFF"/>
        </w:rPr>
        <w:t xml:space="preserve"> </w:t>
      </w:r>
      <w:r w:rsidR="00A650C5" w:rsidRPr="004B0F7D">
        <w:rPr>
          <w:rFonts w:ascii="Arial" w:hAnsi="Arial" w:cs="Arial"/>
          <w:color w:val="000000" w:themeColor="text1"/>
          <w:sz w:val="24"/>
          <w:szCs w:val="24"/>
          <w:shd w:val="clear" w:color="auto" w:fill="FFFFFF"/>
        </w:rPr>
        <w:t xml:space="preserve"> </w:t>
      </w:r>
      <w:r w:rsidRPr="004B0F7D">
        <w:rPr>
          <w:rFonts w:ascii="Arial" w:hAnsi="Arial" w:cs="Arial"/>
          <w:color w:val="000000" w:themeColor="text1"/>
          <w:sz w:val="24"/>
          <w:szCs w:val="24"/>
          <w:shd w:val="clear" w:color="auto" w:fill="FFFFFF"/>
        </w:rPr>
        <w:t>the use of the portion of the parking area. The applicant alleged that the construction undertaken by the respondent substantially interfered with its business operations and deprived its employees and customers of free and undisturbed possession.</w:t>
      </w:r>
      <w:r w:rsidRPr="004B0F7D">
        <w:rPr>
          <w:rStyle w:val="FootnoteReference"/>
          <w:rFonts w:ascii="Arial" w:hAnsi="Arial" w:cs="Arial"/>
          <w:color w:val="000000" w:themeColor="text1"/>
          <w:sz w:val="24"/>
          <w:szCs w:val="24"/>
          <w:shd w:val="clear" w:color="auto" w:fill="FFFFFF"/>
        </w:rPr>
        <w:footnoteReference w:id="289"/>
      </w:r>
      <w:r w:rsidRPr="004B0F7D">
        <w:rPr>
          <w:rFonts w:ascii="Arial" w:hAnsi="Arial" w:cs="Arial"/>
          <w:color w:val="000000" w:themeColor="text1"/>
          <w:sz w:val="24"/>
          <w:szCs w:val="24"/>
          <w:shd w:val="clear" w:color="auto" w:fill="FFFFFF"/>
        </w:rPr>
        <w:t xml:space="preserve"> The applicant further submitted that the ‘common area’ was incidental to its possession of the premises.</w:t>
      </w:r>
      <w:r w:rsidRPr="004B0F7D">
        <w:rPr>
          <w:rStyle w:val="FootnoteReference"/>
          <w:rFonts w:ascii="Arial" w:hAnsi="Arial" w:cs="Arial"/>
          <w:color w:val="000000" w:themeColor="text1"/>
          <w:sz w:val="24"/>
          <w:szCs w:val="24"/>
          <w:shd w:val="clear" w:color="auto" w:fill="FFFFFF"/>
        </w:rPr>
        <w:footnoteReference w:id="290"/>
      </w:r>
    </w:p>
    <w:p w14:paraId="34D71BAA" w14:textId="11C8B13A" w:rsidR="00C72D03" w:rsidRPr="004B0F7D" w:rsidRDefault="00C72D03" w:rsidP="00C72D03">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The court held that even though the applicant may have had a right in terms of the lease agreement entered into with the respondent to make use of the parking area, it does not</w:t>
      </w:r>
      <w:r w:rsidR="00A650C5"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however</w:t>
      </w:r>
      <w:r w:rsidR="00A650C5" w:rsidRPr="004B0F7D">
        <w:rPr>
          <w:rFonts w:ascii="Arial" w:hAnsi="Arial" w:cs="Arial"/>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amount to possession for purposes of the spoliation remedy.</w:t>
      </w:r>
      <w:r w:rsidRPr="004B0F7D">
        <w:rPr>
          <w:rStyle w:val="FootnoteReference"/>
          <w:rFonts w:ascii="Arial" w:hAnsi="Arial" w:cs="Arial"/>
          <w:color w:val="000000" w:themeColor="text1"/>
          <w:sz w:val="24"/>
          <w:szCs w:val="24"/>
          <w:shd w:val="clear" w:color="auto" w:fill="FFFFFF"/>
        </w:rPr>
        <w:footnoteReference w:id="291"/>
      </w:r>
      <w:r w:rsidRPr="004B0F7D">
        <w:rPr>
          <w:rFonts w:ascii="Arial" w:hAnsi="Arial" w:cs="Arial"/>
          <w:color w:val="000000" w:themeColor="text1"/>
          <w:sz w:val="24"/>
          <w:szCs w:val="24"/>
          <w:shd w:val="clear" w:color="auto" w:fill="FFFFFF"/>
        </w:rPr>
        <w:t xml:space="preserve"> In this regard, the court referred to Thirion J’s judgment in </w:t>
      </w:r>
      <w:r w:rsidRPr="004B0F7D">
        <w:rPr>
          <w:rFonts w:ascii="Arial" w:hAnsi="Arial" w:cs="Arial"/>
          <w:i/>
          <w:iCs/>
          <w:color w:val="000000" w:themeColor="text1"/>
          <w:sz w:val="24"/>
          <w:szCs w:val="24"/>
          <w:shd w:val="clear" w:color="auto" w:fill="FFFFFF"/>
        </w:rPr>
        <w:t>Zulu v Minister of Kwa-Zulu Natal</w:t>
      </w:r>
      <w:r w:rsidR="00A650C5" w:rsidRPr="004B0F7D">
        <w:rPr>
          <w:rFonts w:ascii="Arial" w:hAnsi="Arial" w:cs="Arial"/>
          <w:i/>
          <w:iCs/>
          <w:color w:val="000000" w:themeColor="text1"/>
          <w:sz w:val="24"/>
          <w:szCs w:val="24"/>
          <w:shd w:val="clear" w:color="auto" w:fill="FFFFFF"/>
        </w:rPr>
        <w:t>,</w:t>
      </w:r>
      <w:r w:rsidRPr="004B0F7D">
        <w:rPr>
          <w:rFonts w:ascii="Arial" w:hAnsi="Arial" w:cs="Arial"/>
          <w:color w:val="000000" w:themeColor="text1"/>
          <w:sz w:val="24"/>
          <w:szCs w:val="24"/>
          <w:shd w:val="clear" w:color="auto" w:fill="FFFFFF"/>
        </w:rPr>
        <w:t xml:space="preserve"> where it was held that the ‘</w:t>
      </w:r>
      <w:proofErr w:type="spellStart"/>
      <w:r w:rsidRPr="004B0F7D">
        <w:rPr>
          <w:rFonts w:ascii="Arial" w:hAnsi="Arial" w:cs="Arial"/>
          <w:i/>
          <w:iCs/>
          <w:color w:val="000000" w:themeColor="text1"/>
          <w:sz w:val="24"/>
          <w:szCs w:val="24"/>
          <w:shd w:val="clear" w:color="auto" w:fill="FFFFFF"/>
        </w:rPr>
        <w:t>mandament</w:t>
      </w:r>
      <w:proofErr w:type="spellEnd"/>
      <w:r w:rsidRPr="004B0F7D">
        <w:rPr>
          <w:rFonts w:ascii="Arial" w:hAnsi="Arial" w:cs="Arial"/>
          <w:i/>
          <w:iCs/>
          <w:color w:val="000000" w:themeColor="text1"/>
          <w:sz w:val="24"/>
          <w:szCs w:val="24"/>
          <w:shd w:val="clear" w:color="auto" w:fill="FFFFFF"/>
        </w:rPr>
        <w:t xml:space="preserve"> van </w:t>
      </w:r>
      <w:proofErr w:type="spellStart"/>
      <w:r w:rsidRPr="004B0F7D">
        <w:rPr>
          <w:rFonts w:ascii="Arial" w:hAnsi="Arial" w:cs="Arial"/>
          <w:i/>
          <w:iCs/>
          <w:color w:val="000000" w:themeColor="text1"/>
          <w:sz w:val="24"/>
          <w:szCs w:val="24"/>
          <w:shd w:val="clear" w:color="auto" w:fill="FFFFFF"/>
        </w:rPr>
        <w:t>spolie</w:t>
      </w:r>
      <w:proofErr w:type="spellEnd"/>
      <w:r w:rsidRPr="004B0F7D">
        <w:rPr>
          <w:rFonts w:ascii="Arial" w:hAnsi="Arial" w:cs="Arial"/>
          <w:color w:val="000000" w:themeColor="text1"/>
          <w:sz w:val="24"/>
          <w:szCs w:val="24"/>
          <w:shd w:val="clear" w:color="auto" w:fill="FFFFFF"/>
        </w:rPr>
        <w:t xml:space="preserve"> is not concerned with the protection or restoration of </w:t>
      </w:r>
      <w:r w:rsidR="00BE5CE0" w:rsidRPr="004B0F7D">
        <w:rPr>
          <w:rFonts w:ascii="Arial" w:hAnsi="Arial" w:cs="Arial"/>
          <w:color w:val="000000" w:themeColor="text1"/>
          <w:sz w:val="24"/>
          <w:szCs w:val="24"/>
          <w:shd w:val="clear" w:color="auto" w:fill="FFFFFF"/>
        </w:rPr>
        <w:t xml:space="preserve">a </w:t>
      </w:r>
      <w:r w:rsidRPr="004B0F7D">
        <w:rPr>
          <w:rFonts w:ascii="Arial" w:hAnsi="Arial" w:cs="Arial"/>
          <w:color w:val="000000" w:themeColor="text1"/>
          <w:sz w:val="24"/>
          <w:szCs w:val="24"/>
          <w:shd w:val="clear" w:color="auto" w:fill="FFFFFF"/>
        </w:rPr>
        <w:t>right at all. It</w:t>
      </w:r>
      <w:r w:rsidR="00A650C5" w:rsidRPr="004B0F7D">
        <w:rPr>
          <w:rFonts w:ascii="Arial" w:hAnsi="Arial" w:cs="Arial"/>
          <w:color w:val="000000" w:themeColor="text1"/>
          <w:sz w:val="24"/>
          <w:szCs w:val="24"/>
          <w:shd w:val="clear" w:color="auto" w:fill="FFFFFF"/>
        </w:rPr>
        <w:t xml:space="preserve"> aim</w:t>
      </w:r>
      <w:r w:rsidRPr="004B0F7D">
        <w:rPr>
          <w:rFonts w:ascii="Arial" w:hAnsi="Arial" w:cs="Arial"/>
          <w:color w:val="000000" w:themeColor="text1"/>
          <w:sz w:val="24"/>
          <w:szCs w:val="24"/>
          <w:shd w:val="clear" w:color="auto" w:fill="FFFFFF"/>
        </w:rPr>
        <w:t xml:space="preserve">s to restore the factual possession of which the </w:t>
      </w:r>
      <w:proofErr w:type="spellStart"/>
      <w:r w:rsidRPr="004B0F7D">
        <w:rPr>
          <w:rFonts w:ascii="Arial" w:hAnsi="Arial" w:cs="Arial"/>
          <w:i/>
          <w:iCs/>
          <w:color w:val="000000" w:themeColor="text1"/>
          <w:sz w:val="24"/>
          <w:szCs w:val="24"/>
          <w:shd w:val="clear" w:color="auto" w:fill="FFFFFF"/>
        </w:rPr>
        <w:t>spoliatus</w:t>
      </w:r>
      <w:proofErr w:type="spellEnd"/>
      <w:r w:rsidRPr="004B0F7D">
        <w:rPr>
          <w:rFonts w:ascii="Arial" w:hAnsi="Arial" w:cs="Arial"/>
          <w:color w:val="000000" w:themeColor="text1"/>
          <w:sz w:val="24"/>
          <w:szCs w:val="24"/>
          <w:shd w:val="clear" w:color="auto" w:fill="FFFFFF"/>
        </w:rPr>
        <w:t xml:space="preserve"> has been deprived’.</w:t>
      </w:r>
      <w:r w:rsidRPr="004B0F7D">
        <w:rPr>
          <w:rStyle w:val="FootnoteReference"/>
          <w:rFonts w:ascii="Arial" w:hAnsi="Arial" w:cs="Arial"/>
          <w:color w:val="000000" w:themeColor="text1"/>
          <w:sz w:val="24"/>
          <w:szCs w:val="24"/>
          <w:shd w:val="clear" w:color="auto" w:fill="FFFFFF"/>
        </w:rPr>
        <w:footnoteReference w:id="292"/>
      </w:r>
      <w:r w:rsidRPr="004B0F7D">
        <w:rPr>
          <w:rFonts w:ascii="Arial" w:hAnsi="Arial" w:cs="Arial"/>
          <w:color w:val="000000" w:themeColor="text1"/>
          <w:sz w:val="24"/>
          <w:szCs w:val="24"/>
          <w:shd w:val="clear" w:color="auto" w:fill="FFFFFF"/>
        </w:rPr>
        <w:t xml:space="preserve"> The court held that the right to use property does not amount to possession of property.</w:t>
      </w:r>
      <w:r w:rsidRPr="004B0F7D">
        <w:rPr>
          <w:rStyle w:val="FootnoteReference"/>
          <w:rFonts w:ascii="Arial" w:hAnsi="Arial" w:cs="Arial"/>
          <w:color w:val="000000" w:themeColor="text1"/>
          <w:sz w:val="24"/>
          <w:szCs w:val="24"/>
          <w:shd w:val="clear" w:color="auto" w:fill="FFFFFF"/>
        </w:rPr>
        <w:footnoteReference w:id="293"/>
      </w:r>
      <w:r w:rsidRPr="004B0F7D">
        <w:rPr>
          <w:rFonts w:ascii="Arial" w:hAnsi="Arial" w:cs="Arial"/>
          <w:color w:val="000000" w:themeColor="text1"/>
          <w:sz w:val="24"/>
          <w:szCs w:val="24"/>
          <w:shd w:val="clear" w:color="auto" w:fill="FFFFFF"/>
        </w:rPr>
        <w:t xml:space="preserve"> The applicant ought to have shown that it was in possession of the common area as envisaged in the authorities, instead of attempting to enforce rights which it alleged to have in terms of the contract under the guise of the spoliation remedy.</w:t>
      </w:r>
      <w:r w:rsidRPr="004B0F7D">
        <w:rPr>
          <w:rStyle w:val="FootnoteReference"/>
          <w:color w:val="000000" w:themeColor="text1"/>
        </w:rPr>
        <w:footnoteReference w:id="294"/>
      </w:r>
    </w:p>
    <w:p w14:paraId="449A2EE0" w14:textId="77777777" w:rsidR="00255733" w:rsidRPr="004B0F7D" w:rsidRDefault="00255733" w:rsidP="00C72D03">
      <w:pPr>
        <w:spacing w:line="360" w:lineRule="auto"/>
        <w:jc w:val="both"/>
        <w:rPr>
          <w:rFonts w:ascii="Arial" w:hAnsi="Arial" w:cs="Arial"/>
          <w:color w:val="000000" w:themeColor="text1"/>
          <w:sz w:val="24"/>
          <w:szCs w:val="24"/>
          <w:shd w:val="clear" w:color="auto" w:fill="FFFFFF"/>
        </w:rPr>
      </w:pPr>
    </w:p>
    <w:p w14:paraId="3B4D15B6" w14:textId="08CD0611" w:rsidR="00C72D03" w:rsidRPr="004B0F7D" w:rsidRDefault="00C72D03" w:rsidP="00255733">
      <w:pPr>
        <w:pStyle w:val="Heading2"/>
        <w:rPr>
          <w:color w:val="000000" w:themeColor="text1"/>
          <w:lang w:val="en-GB"/>
        </w:rPr>
      </w:pPr>
      <w:bookmarkStart w:id="23" w:name="_Toc181339550"/>
      <w:r w:rsidRPr="004B0F7D">
        <w:rPr>
          <w:color w:val="000000" w:themeColor="text1"/>
          <w:lang w:val="en-GB"/>
        </w:rPr>
        <w:lastRenderedPageBreak/>
        <w:t>3.4</w:t>
      </w:r>
      <w:r w:rsidR="00255733" w:rsidRPr="004B0F7D">
        <w:rPr>
          <w:color w:val="000000" w:themeColor="text1"/>
          <w:lang w:val="en-GB"/>
        </w:rPr>
        <w:tab/>
      </w:r>
      <w:r w:rsidRPr="004B0F7D">
        <w:rPr>
          <w:color w:val="000000" w:themeColor="text1"/>
          <w:lang w:val="en-GB"/>
        </w:rPr>
        <w:t>Conclusion</w:t>
      </w:r>
      <w:bookmarkEnd w:id="23"/>
    </w:p>
    <w:p w14:paraId="1B27F82C" w14:textId="23F766EC" w:rsidR="00904DF3" w:rsidRPr="004B0F7D" w:rsidRDefault="00C72D03" w:rsidP="009E6526">
      <w:pPr>
        <w:spacing w:line="360" w:lineRule="auto"/>
        <w:jc w:val="both"/>
        <w:rPr>
          <w:rFonts w:ascii="Arial" w:hAnsi="Arial" w:cs="Arial"/>
          <w:color w:val="000000" w:themeColor="text1"/>
          <w:sz w:val="24"/>
          <w:szCs w:val="24"/>
          <w:shd w:val="clear" w:color="auto" w:fill="FFFFFF"/>
        </w:rPr>
      </w:pPr>
      <w:r w:rsidRPr="004B0F7D">
        <w:rPr>
          <w:rFonts w:ascii="Arial" w:hAnsi="Arial" w:cs="Arial"/>
          <w:color w:val="000000" w:themeColor="text1"/>
          <w:sz w:val="24"/>
          <w:szCs w:val="24"/>
          <w:shd w:val="clear" w:color="auto" w:fill="FFFFFF"/>
        </w:rPr>
        <w:t xml:space="preserve">Chapter </w:t>
      </w:r>
      <w:r w:rsidR="00BE5CE0" w:rsidRPr="004B0F7D">
        <w:rPr>
          <w:rFonts w:ascii="Arial" w:hAnsi="Arial" w:cs="Arial"/>
          <w:color w:val="000000" w:themeColor="text1"/>
          <w:sz w:val="24"/>
          <w:szCs w:val="24"/>
          <w:shd w:val="clear" w:color="auto" w:fill="FFFFFF"/>
        </w:rPr>
        <w:t>t</w:t>
      </w:r>
      <w:r w:rsidR="00CC4A1C" w:rsidRPr="004B0F7D">
        <w:rPr>
          <w:rFonts w:ascii="Arial" w:hAnsi="Arial" w:cs="Arial"/>
          <w:color w:val="000000" w:themeColor="text1"/>
          <w:sz w:val="24"/>
          <w:szCs w:val="24"/>
          <w:shd w:val="clear" w:color="auto" w:fill="FFFFFF"/>
        </w:rPr>
        <w:t>hree</w:t>
      </w:r>
      <w:r w:rsidRPr="004B0F7D">
        <w:rPr>
          <w:rFonts w:ascii="Arial" w:hAnsi="Arial" w:cs="Arial"/>
          <w:color w:val="000000" w:themeColor="text1"/>
          <w:sz w:val="24"/>
          <w:szCs w:val="24"/>
          <w:shd w:val="clear" w:color="auto" w:fill="FFFFFF"/>
        </w:rPr>
        <w:t xml:space="preserve"> focused on the development of the application of </w:t>
      </w:r>
      <w:r w:rsidR="00BE5CE0" w:rsidRPr="004B0F7D">
        <w:rPr>
          <w:rFonts w:ascii="Arial" w:hAnsi="Arial" w:cs="Arial"/>
          <w:color w:val="000000" w:themeColor="text1"/>
          <w:sz w:val="24"/>
          <w:szCs w:val="24"/>
          <w:shd w:val="clear" w:color="auto" w:fill="FFFFFF"/>
        </w:rPr>
        <w:t xml:space="preserve">the </w:t>
      </w:r>
      <w:r w:rsidRPr="004B0F7D">
        <w:rPr>
          <w:rFonts w:ascii="Arial" w:hAnsi="Arial" w:cs="Arial"/>
          <w:color w:val="000000" w:themeColor="text1"/>
          <w:sz w:val="24"/>
          <w:szCs w:val="24"/>
          <w:shd w:val="clear" w:color="auto" w:fill="FFFFFF"/>
        </w:rPr>
        <w:t xml:space="preserve">spoliation remedy in the case of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 xml:space="preserve">-possession before the </w:t>
      </w:r>
      <w:r w:rsidR="00E7114F" w:rsidRPr="004B0F7D">
        <w:rPr>
          <w:rFonts w:ascii="Arial" w:hAnsi="Arial" w:cs="Arial"/>
          <w:i/>
          <w:iCs/>
          <w:color w:val="000000" w:themeColor="text1"/>
          <w:sz w:val="24"/>
          <w:szCs w:val="24"/>
          <w:shd w:val="clear" w:color="auto" w:fill="FFFFFF"/>
        </w:rPr>
        <w:t>Constitution</w:t>
      </w:r>
      <w:r w:rsidR="00BE5CE0" w:rsidRPr="004B0F7D">
        <w:rPr>
          <w:rFonts w:ascii="Arial" w:hAnsi="Arial" w:cs="Arial"/>
          <w:color w:val="000000" w:themeColor="text1"/>
          <w:sz w:val="24"/>
          <w:szCs w:val="24"/>
          <w:shd w:val="clear" w:color="auto" w:fill="FFFFFF"/>
        </w:rPr>
        <w:t xml:space="preserve"> c</w:t>
      </w:r>
      <w:r w:rsidR="00CA5786" w:rsidRPr="004B0F7D">
        <w:rPr>
          <w:rFonts w:ascii="Arial" w:hAnsi="Arial" w:cs="Arial"/>
          <w:color w:val="000000" w:themeColor="text1"/>
          <w:sz w:val="24"/>
          <w:szCs w:val="24"/>
          <w:shd w:val="clear" w:color="auto" w:fill="FFFFFF"/>
        </w:rPr>
        <w:t>a</w:t>
      </w:r>
      <w:r w:rsidR="00BE5CE0" w:rsidRPr="004B0F7D">
        <w:rPr>
          <w:rFonts w:ascii="Arial" w:hAnsi="Arial" w:cs="Arial"/>
          <w:color w:val="000000" w:themeColor="text1"/>
          <w:sz w:val="24"/>
          <w:szCs w:val="24"/>
          <w:shd w:val="clear" w:color="auto" w:fill="FFFFFF"/>
        </w:rPr>
        <w:t>me into operation.</w:t>
      </w:r>
      <w:r w:rsidRPr="004B0F7D">
        <w:rPr>
          <w:rFonts w:ascii="Arial" w:hAnsi="Arial" w:cs="Arial"/>
          <w:color w:val="000000" w:themeColor="text1"/>
          <w:sz w:val="24"/>
          <w:szCs w:val="24"/>
          <w:shd w:val="clear" w:color="auto" w:fill="FFFFFF"/>
        </w:rPr>
        <w:t xml:space="preserve"> Firstly, it is found that incorporeal rights are susceptible to possession in the form of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-possession’.</w:t>
      </w:r>
      <w:r w:rsidRPr="004B0F7D">
        <w:rPr>
          <w:rStyle w:val="FootnoteReference"/>
          <w:rFonts w:ascii="Arial" w:hAnsi="Arial" w:cs="Arial"/>
          <w:color w:val="000000" w:themeColor="text1"/>
          <w:sz w:val="24"/>
          <w:szCs w:val="24"/>
          <w:shd w:val="clear" w:color="auto" w:fill="FFFFFF"/>
        </w:rPr>
        <w:footnoteReference w:id="295"/>
      </w:r>
      <w:r w:rsidRPr="004B0F7D">
        <w:rPr>
          <w:rFonts w:ascii="Arial" w:hAnsi="Arial" w:cs="Arial"/>
          <w:color w:val="000000" w:themeColor="text1"/>
          <w:sz w:val="24"/>
          <w:szCs w:val="24"/>
          <w:shd w:val="clear" w:color="auto" w:fill="FFFFFF"/>
        </w:rPr>
        <w:t xml:space="preserve"> Secondly, the concept of </w:t>
      </w:r>
      <w:r w:rsidRPr="004B0F7D">
        <w:rPr>
          <w:rFonts w:ascii="Arial" w:hAnsi="Arial" w:cs="Arial"/>
          <w:i/>
          <w:iCs/>
          <w:color w:val="000000" w:themeColor="text1"/>
          <w:sz w:val="24"/>
          <w:szCs w:val="24"/>
          <w:shd w:val="clear" w:color="auto" w:fill="FFFFFF"/>
        </w:rPr>
        <w:t>quasi</w:t>
      </w:r>
      <w:r w:rsidRPr="004B0F7D">
        <w:rPr>
          <w:rFonts w:ascii="Arial" w:hAnsi="Arial" w:cs="Arial"/>
          <w:color w:val="000000" w:themeColor="text1"/>
          <w:sz w:val="24"/>
          <w:szCs w:val="24"/>
          <w:shd w:val="clear" w:color="auto" w:fill="FFFFFF"/>
        </w:rPr>
        <w:t>-possession is historically justifiable in South African law and has been followed by the courts.</w:t>
      </w:r>
      <w:r w:rsidRPr="004B0F7D">
        <w:rPr>
          <w:rStyle w:val="FootnoteReference"/>
          <w:rFonts w:ascii="Arial" w:hAnsi="Arial" w:cs="Arial"/>
          <w:color w:val="000000" w:themeColor="text1"/>
          <w:sz w:val="24"/>
          <w:szCs w:val="24"/>
          <w:shd w:val="clear" w:color="auto" w:fill="FFFFFF"/>
        </w:rPr>
        <w:footnoteReference w:id="296"/>
      </w:r>
    </w:p>
    <w:p w14:paraId="065E21A3" w14:textId="658D9938" w:rsidR="00647832" w:rsidRPr="00F208C0" w:rsidRDefault="00C72D03" w:rsidP="009E6526">
      <w:pPr>
        <w:spacing w:line="360" w:lineRule="auto"/>
        <w:jc w:val="both"/>
        <w:rPr>
          <w:rFonts w:ascii="Arial" w:hAnsi="Arial" w:cs="Arial"/>
          <w:color w:val="000000" w:themeColor="text1"/>
          <w:sz w:val="24"/>
          <w:szCs w:val="24"/>
          <w:shd w:val="clear" w:color="auto" w:fill="FFFFFF"/>
        </w:rPr>
      </w:pPr>
      <w:r w:rsidRPr="00F208C0">
        <w:rPr>
          <w:rFonts w:ascii="Arial" w:hAnsi="Arial" w:cs="Arial"/>
          <w:color w:val="000000" w:themeColor="text1"/>
          <w:sz w:val="24"/>
          <w:szCs w:val="24"/>
          <w:shd w:val="clear" w:color="auto" w:fill="FFFFFF"/>
        </w:rPr>
        <w:t xml:space="preserve">Central to this part of </w:t>
      </w:r>
      <w:r w:rsidR="00A650C5" w:rsidRPr="00F208C0">
        <w:rPr>
          <w:rFonts w:ascii="Arial" w:hAnsi="Arial" w:cs="Arial"/>
          <w:color w:val="000000" w:themeColor="text1"/>
          <w:sz w:val="24"/>
          <w:szCs w:val="24"/>
          <w:shd w:val="clear" w:color="auto" w:fill="FFFFFF"/>
        </w:rPr>
        <w:t xml:space="preserve">the </w:t>
      </w:r>
      <w:r w:rsidRPr="00F208C0">
        <w:rPr>
          <w:rFonts w:ascii="Arial" w:hAnsi="Arial" w:cs="Arial"/>
          <w:color w:val="000000" w:themeColor="text1"/>
          <w:sz w:val="24"/>
          <w:szCs w:val="24"/>
          <w:shd w:val="clear" w:color="auto" w:fill="FFFFFF"/>
        </w:rPr>
        <w:t xml:space="preserve">research is that in order to prove </w:t>
      </w:r>
      <w:r w:rsidRPr="00F208C0">
        <w:rPr>
          <w:rFonts w:ascii="Arial" w:hAnsi="Arial" w:cs="Arial"/>
          <w:i/>
          <w:iCs/>
          <w:color w:val="000000" w:themeColor="text1"/>
          <w:sz w:val="24"/>
          <w:szCs w:val="24"/>
          <w:shd w:val="clear" w:color="auto" w:fill="FFFFFF"/>
        </w:rPr>
        <w:t>quasi</w:t>
      </w:r>
      <w:r w:rsidRPr="00F208C0">
        <w:rPr>
          <w:rFonts w:ascii="Arial" w:hAnsi="Arial" w:cs="Arial"/>
          <w:color w:val="000000" w:themeColor="text1"/>
          <w:sz w:val="24"/>
          <w:szCs w:val="24"/>
          <w:shd w:val="clear" w:color="auto" w:fill="FFFFFF"/>
        </w:rPr>
        <w:t xml:space="preserve">-possession in spoliation proceedings, the applicant only needs to show the outward manifestation of the right through the exercise of acts that are usually associated with the right in question. The applicant need not prove the existence of the right or an entitlement to the right. In addition, only the </w:t>
      </w:r>
      <w:r w:rsidRPr="00F208C0">
        <w:rPr>
          <w:rFonts w:ascii="Arial" w:hAnsi="Arial" w:cs="Arial"/>
          <w:i/>
          <w:iCs/>
          <w:color w:val="000000" w:themeColor="text1"/>
          <w:sz w:val="24"/>
          <w:szCs w:val="24"/>
          <w:shd w:val="clear" w:color="auto" w:fill="FFFFFF"/>
        </w:rPr>
        <w:t>quasi</w:t>
      </w:r>
      <w:r w:rsidRPr="00F208C0">
        <w:rPr>
          <w:rFonts w:ascii="Arial" w:hAnsi="Arial" w:cs="Arial"/>
          <w:color w:val="000000" w:themeColor="text1"/>
          <w:sz w:val="24"/>
          <w:szCs w:val="24"/>
          <w:shd w:val="clear" w:color="auto" w:fill="FFFFFF"/>
        </w:rPr>
        <w:t xml:space="preserve">-possession of </w:t>
      </w:r>
      <w:proofErr w:type="spellStart"/>
      <w:r w:rsidRPr="00F208C0">
        <w:rPr>
          <w:rFonts w:ascii="Arial" w:hAnsi="Arial" w:cs="Arial"/>
          <w:color w:val="000000" w:themeColor="text1"/>
          <w:sz w:val="24"/>
          <w:szCs w:val="24"/>
          <w:shd w:val="clear" w:color="auto" w:fill="FFFFFF"/>
        </w:rPr>
        <w:t>servitutal</w:t>
      </w:r>
      <w:proofErr w:type="spellEnd"/>
      <w:r w:rsidRPr="00F208C0">
        <w:rPr>
          <w:rFonts w:ascii="Arial" w:hAnsi="Arial" w:cs="Arial"/>
          <w:color w:val="000000" w:themeColor="text1"/>
          <w:sz w:val="24"/>
          <w:szCs w:val="24"/>
          <w:shd w:val="clear" w:color="auto" w:fill="FFFFFF"/>
        </w:rPr>
        <w:t xml:space="preserve"> rights and non-</w:t>
      </w:r>
      <w:proofErr w:type="spellStart"/>
      <w:r w:rsidRPr="00F208C0">
        <w:rPr>
          <w:rFonts w:ascii="Arial" w:hAnsi="Arial" w:cs="Arial"/>
          <w:color w:val="000000" w:themeColor="text1"/>
          <w:sz w:val="24"/>
          <w:szCs w:val="24"/>
          <w:shd w:val="clear" w:color="auto" w:fill="FFFFFF"/>
        </w:rPr>
        <w:t>servitutal</w:t>
      </w:r>
      <w:proofErr w:type="spellEnd"/>
      <w:r w:rsidRPr="00F208C0">
        <w:rPr>
          <w:rFonts w:ascii="Arial" w:hAnsi="Arial" w:cs="Arial"/>
          <w:color w:val="000000" w:themeColor="text1"/>
          <w:sz w:val="24"/>
          <w:szCs w:val="24"/>
          <w:shd w:val="clear" w:color="auto" w:fill="FFFFFF"/>
        </w:rPr>
        <w:t xml:space="preserve"> right</w:t>
      </w:r>
      <w:r w:rsidR="00A650C5" w:rsidRPr="00F208C0">
        <w:rPr>
          <w:rFonts w:ascii="Arial" w:hAnsi="Arial" w:cs="Arial"/>
          <w:color w:val="000000" w:themeColor="text1"/>
          <w:sz w:val="24"/>
          <w:szCs w:val="24"/>
          <w:shd w:val="clear" w:color="auto" w:fill="FFFFFF"/>
        </w:rPr>
        <w:t>s</w:t>
      </w:r>
      <w:r w:rsidRPr="00F208C0">
        <w:rPr>
          <w:rFonts w:ascii="Arial" w:hAnsi="Arial" w:cs="Arial"/>
          <w:color w:val="000000" w:themeColor="text1"/>
          <w:sz w:val="24"/>
          <w:szCs w:val="24"/>
          <w:shd w:val="clear" w:color="auto" w:fill="FFFFFF"/>
        </w:rPr>
        <w:t xml:space="preserve"> finds protection under the spoliation remedy. On the one hand, </w:t>
      </w:r>
      <w:proofErr w:type="spellStart"/>
      <w:r w:rsidRPr="00F208C0">
        <w:rPr>
          <w:rFonts w:ascii="Arial" w:hAnsi="Arial" w:cs="Arial"/>
          <w:color w:val="000000" w:themeColor="text1"/>
          <w:sz w:val="24"/>
          <w:szCs w:val="24"/>
          <w:shd w:val="clear" w:color="auto" w:fill="FFFFFF"/>
        </w:rPr>
        <w:t>servitutal</w:t>
      </w:r>
      <w:proofErr w:type="spellEnd"/>
      <w:r w:rsidRPr="00F208C0">
        <w:rPr>
          <w:rFonts w:ascii="Arial" w:hAnsi="Arial" w:cs="Arial"/>
          <w:color w:val="000000" w:themeColor="text1"/>
          <w:sz w:val="24"/>
          <w:szCs w:val="24"/>
          <w:shd w:val="clear" w:color="auto" w:fill="FFFFFF"/>
        </w:rPr>
        <w:t xml:space="preserve"> rights are proved by indicating the actual use of the servitude or the exercise of actions associated with the alleged </w:t>
      </w:r>
      <w:proofErr w:type="spellStart"/>
      <w:r w:rsidR="00854F24" w:rsidRPr="00F208C0">
        <w:rPr>
          <w:rFonts w:ascii="Arial" w:hAnsi="Arial" w:cs="Arial"/>
          <w:color w:val="000000" w:themeColor="text1"/>
          <w:sz w:val="24"/>
          <w:szCs w:val="24"/>
          <w:shd w:val="clear" w:color="auto" w:fill="FFFFFF"/>
        </w:rPr>
        <w:t>servitutal</w:t>
      </w:r>
      <w:proofErr w:type="spellEnd"/>
      <w:r w:rsidR="00854F24" w:rsidRPr="00F208C0">
        <w:rPr>
          <w:rFonts w:ascii="Arial" w:hAnsi="Arial" w:cs="Arial"/>
          <w:color w:val="000000" w:themeColor="text1"/>
          <w:sz w:val="24"/>
          <w:szCs w:val="24"/>
          <w:shd w:val="clear" w:color="auto" w:fill="FFFFFF"/>
        </w:rPr>
        <w:t xml:space="preserve"> </w:t>
      </w:r>
      <w:r w:rsidRPr="00F208C0">
        <w:rPr>
          <w:rFonts w:ascii="Arial" w:hAnsi="Arial" w:cs="Arial"/>
          <w:color w:val="000000" w:themeColor="text1"/>
          <w:sz w:val="24"/>
          <w:szCs w:val="24"/>
          <w:shd w:val="clear" w:color="auto" w:fill="FFFFFF"/>
        </w:rPr>
        <w:t>right. On the other hand, non-</w:t>
      </w:r>
      <w:proofErr w:type="spellStart"/>
      <w:r w:rsidRPr="00F208C0">
        <w:rPr>
          <w:rFonts w:ascii="Arial" w:hAnsi="Arial" w:cs="Arial"/>
          <w:color w:val="000000" w:themeColor="text1"/>
          <w:sz w:val="24"/>
          <w:szCs w:val="24"/>
          <w:shd w:val="clear" w:color="auto" w:fill="FFFFFF"/>
        </w:rPr>
        <w:t>servitutal</w:t>
      </w:r>
      <w:proofErr w:type="spellEnd"/>
      <w:r w:rsidRPr="00F208C0">
        <w:rPr>
          <w:rFonts w:ascii="Arial" w:hAnsi="Arial" w:cs="Arial"/>
          <w:color w:val="000000" w:themeColor="text1"/>
          <w:sz w:val="24"/>
          <w:szCs w:val="24"/>
          <w:shd w:val="clear" w:color="auto" w:fill="FFFFFF"/>
        </w:rPr>
        <w:t xml:space="preserve"> rights must be incidental to the occupation of the premises to establish possession.</w:t>
      </w:r>
    </w:p>
    <w:p w14:paraId="090510CF" w14:textId="59F15773" w:rsidR="00CE4733" w:rsidRPr="00F208C0" w:rsidRDefault="00CE4733" w:rsidP="009E6526">
      <w:pPr>
        <w:spacing w:line="360" w:lineRule="auto"/>
        <w:jc w:val="both"/>
        <w:rPr>
          <w:rFonts w:ascii="Arial" w:hAnsi="Arial" w:cs="Arial"/>
          <w:color w:val="000000" w:themeColor="text1"/>
          <w:sz w:val="24"/>
          <w:szCs w:val="24"/>
          <w:shd w:val="clear" w:color="auto" w:fill="FFFFFF"/>
        </w:rPr>
      </w:pPr>
      <w:r w:rsidRPr="00F208C0">
        <w:rPr>
          <w:rFonts w:ascii="Arial" w:hAnsi="Arial" w:cs="Arial"/>
          <w:color w:val="000000" w:themeColor="text1"/>
          <w:sz w:val="24"/>
          <w:szCs w:val="24"/>
          <w:shd w:val="clear" w:color="auto" w:fill="FFFFFF"/>
        </w:rPr>
        <w:t>Concerning non-</w:t>
      </w:r>
      <w:proofErr w:type="spellStart"/>
      <w:r w:rsidRPr="00F208C0">
        <w:rPr>
          <w:rFonts w:ascii="Arial" w:hAnsi="Arial" w:cs="Arial"/>
          <w:color w:val="000000" w:themeColor="text1"/>
          <w:sz w:val="24"/>
          <w:szCs w:val="24"/>
          <w:shd w:val="clear" w:color="auto" w:fill="FFFFFF"/>
        </w:rPr>
        <w:t>servitutal</w:t>
      </w:r>
      <w:proofErr w:type="spellEnd"/>
      <w:r w:rsidRPr="00F208C0">
        <w:rPr>
          <w:rFonts w:ascii="Arial" w:hAnsi="Arial" w:cs="Arial"/>
          <w:color w:val="000000" w:themeColor="text1"/>
          <w:sz w:val="24"/>
          <w:szCs w:val="24"/>
          <w:shd w:val="clear" w:color="auto" w:fill="FFFFFF"/>
        </w:rPr>
        <w:t xml:space="preserve"> rights, in </w:t>
      </w:r>
      <w:r w:rsidRPr="00F208C0">
        <w:rPr>
          <w:rFonts w:ascii="Arial" w:hAnsi="Arial" w:cs="Arial"/>
          <w:i/>
          <w:iCs/>
          <w:color w:val="000000" w:themeColor="text1"/>
          <w:sz w:val="24"/>
          <w:szCs w:val="24"/>
          <w:shd w:val="clear" w:color="auto" w:fill="FFFFFF"/>
        </w:rPr>
        <w:t>Naidoo</w:t>
      </w:r>
      <w:r w:rsidRPr="00F208C0">
        <w:rPr>
          <w:rFonts w:ascii="Arial" w:hAnsi="Arial" w:cs="Arial"/>
          <w:color w:val="000000" w:themeColor="text1"/>
          <w:sz w:val="24"/>
          <w:szCs w:val="24"/>
          <w:shd w:val="clear" w:color="auto" w:fill="FFFFFF"/>
        </w:rPr>
        <w:t xml:space="preserve"> and </w:t>
      </w:r>
      <w:r w:rsidRPr="00F208C0">
        <w:rPr>
          <w:rFonts w:ascii="Arial" w:hAnsi="Arial" w:cs="Arial"/>
          <w:i/>
          <w:iCs/>
          <w:color w:val="000000" w:themeColor="text1"/>
          <w:sz w:val="24"/>
          <w:szCs w:val="24"/>
          <w:shd w:val="clear" w:color="auto" w:fill="FFFFFF"/>
        </w:rPr>
        <w:t>Froman,</w:t>
      </w:r>
      <w:r w:rsidRPr="00F208C0">
        <w:rPr>
          <w:rFonts w:ascii="Arial" w:hAnsi="Arial" w:cs="Arial"/>
          <w:color w:val="000000" w:themeColor="text1"/>
          <w:sz w:val="24"/>
          <w:szCs w:val="24"/>
          <w:shd w:val="clear" w:color="auto" w:fill="FFFFFF"/>
        </w:rPr>
        <w:t xml:space="preserve"> the spoliation remedy was granted due to the spoliators attempt to evict the </w:t>
      </w:r>
      <w:proofErr w:type="spellStart"/>
      <w:r w:rsidRPr="00F208C0">
        <w:rPr>
          <w:rFonts w:ascii="Arial" w:hAnsi="Arial" w:cs="Arial"/>
          <w:i/>
          <w:iCs/>
          <w:color w:val="000000" w:themeColor="text1"/>
          <w:sz w:val="24"/>
          <w:szCs w:val="24"/>
          <w:shd w:val="clear" w:color="auto" w:fill="FFFFFF"/>
        </w:rPr>
        <w:t>spoliatus</w:t>
      </w:r>
      <w:proofErr w:type="spellEnd"/>
      <w:r w:rsidRPr="00F208C0">
        <w:rPr>
          <w:rFonts w:ascii="Arial" w:hAnsi="Arial" w:cs="Arial"/>
          <w:color w:val="000000" w:themeColor="text1"/>
          <w:sz w:val="24"/>
          <w:szCs w:val="24"/>
          <w:shd w:val="clear" w:color="auto" w:fill="FFFFFF"/>
        </w:rPr>
        <w:t xml:space="preserve"> without following the due legal process. In both courts, it was accepted that the applicants’ respective </w:t>
      </w:r>
      <w:r w:rsidRPr="00F208C0">
        <w:rPr>
          <w:rFonts w:ascii="Arial" w:hAnsi="Arial" w:cs="Arial"/>
          <w:i/>
          <w:iCs/>
          <w:color w:val="000000" w:themeColor="text1"/>
          <w:sz w:val="24"/>
          <w:szCs w:val="24"/>
          <w:shd w:val="clear" w:color="auto" w:fill="FFFFFF"/>
        </w:rPr>
        <w:t>quasi</w:t>
      </w:r>
      <w:r w:rsidRPr="00F208C0">
        <w:rPr>
          <w:rFonts w:ascii="Arial" w:hAnsi="Arial" w:cs="Arial"/>
          <w:color w:val="000000" w:themeColor="text1"/>
          <w:sz w:val="24"/>
          <w:szCs w:val="24"/>
          <w:shd w:val="clear" w:color="auto" w:fill="FFFFFF"/>
        </w:rPr>
        <w:t xml:space="preserve">-possession rights to water and electricity supply were incidents of occupation of the premises. However, the court’s failure in </w:t>
      </w:r>
      <w:r w:rsidRPr="00F208C0">
        <w:rPr>
          <w:rFonts w:ascii="Arial" w:hAnsi="Arial" w:cs="Arial"/>
          <w:i/>
          <w:iCs/>
          <w:color w:val="000000" w:themeColor="text1"/>
          <w:sz w:val="24"/>
          <w:szCs w:val="24"/>
          <w:shd w:val="clear" w:color="auto" w:fill="FFFFFF"/>
        </w:rPr>
        <w:t>Zulu v Minister of Works</w:t>
      </w:r>
      <w:r w:rsidRPr="00F208C0">
        <w:rPr>
          <w:rFonts w:ascii="Arial" w:hAnsi="Arial" w:cs="Arial"/>
          <w:color w:val="000000" w:themeColor="text1"/>
          <w:sz w:val="24"/>
          <w:szCs w:val="24"/>
          <w:shd w:val="clear" w:color="auto" w:fill="FFFFFF"/>
        </w:rPr>
        <w:t xml:space="preserve"> to find the applicant’s </w:t>
      </w:r>
      <w:r w:rsidRPr="00F208C0">
        <w:rPr>
          <w:rFonts w:ascii="Arial" w:hAnsi="Arial" w:cs="Arial"/>
          <w:i/>
          <w:iCs/>
          <w:color w:val="000000" w:themeColor="text1"/>
          <w:sz w:val="24"/>
          <w:szCs w:val="24"/>
          <w:shd w:val="clear" w:color="auto" w:fill="FFFFFF"/>
        </w:rPr>
        <w:t>quasi</w:t>
      </w:r>
      <w:r w:rsidRPr="00F208C0">
        <w:rPr>
          <w:rFonts w:ascii="Arial" w:hAnsi="Arial" w:cs="Arial"/>
          <w:color w:val="000000" w:themeColor="text1"/>
          <w:sz w:val="24"/>
          <w:szCs w:val="24"/>
          <w:shd w:val="clear" w:color="auto" w:fill="FFFFFF"/>
        </w:rPr>
        <w:t xml:space="preserve">-possession right to water as constituting an incident of possession even though water was supplied to his premises, raises questions about the correct determination of an indent of possession requirement. Though it may be argued that the spoliator in </w:t>
      </w:r>
      <w:r w:rsidRPr="00F208C0">
        <w:rPr>
          <w:rFonts w:ascii="Arial" w:hAnsi="Arial" w:cs="Arial"/>
          <w:i/>
          <w:iCs/>
          <w:color w:val="000000" w:themeColor="text1"/>
          <w:sz w:val="24"/>
          <w:szCs w:val="24"/>
          <w:shd w:val="clear" w:color="auto" w:fill="FFFFFF"/>
        </w:rPr>
        <w:t>Zulu v Minister of Works</w:t>
      </w:r>
      <w:r w:rsidRPr="00F208C0">
        <w:rPr>
          <w:rFonts w:ascii="Arial" w:hAnsi="Arial" w:cs="Arial"/>
          <w:color w:val="000000" w:themeColor="text1"/>
          <w:sz w:val="24"/>
          <w:szCs w:val="24"/>
          <w:shd w:val="clear" w:color="auto" w:fill="FFFFFF"/>
        </w:rPr>
        <w:t xml:space="preserve"> did not intend to evict the applicant,</w:t>
      </w:r>
      <w:r w:rsidR="00E24BF2" w:rsidRPr="00F208C0">
        <w:rPr>
          <w:rFonts w:ascii="Arial" w:hAnsi="Arial" w:cs="Arial"/>
          <w:color w:val="000000" w:themeColor="text1"/>
          <w:sz w:val="24"/>
          <w:szCs w:val="24"/>
          <w:shd w:val="clear" w:color="auto" w:fill="FFFFFF"/>
        </w:rPr>
        <w:t xml:space="preserve"> in m</w:t>
      </w:r>
      <w:r w:rsidR="00B767C4" w:rsidRPr="00F208C0">
        <w:rPr>
          <w:rFonts w:ascii="Arial" w:hAnsi="Arial" w:cs="Arial"/>
          <w:color w:val="000000" w:themeColor="text1"/>
          <w:sz w:val="24"/>
          <w:szCs w:val="24"/>
          <w:shd w:val="clear" w:color="auto" w:fill="FFFFFF"/>
        </w:rPr>
        <w:t>y</w:t>
      </w:r>
      <w:r w:rsidR="00E24BF2" w:rsidRPr="00F208C0">
        <w:rPr>
          <w:rFonts w:ascii="Arial" w:hAnsi="Arial" w:cs="Arial"/>
          <w:color w:val="000000" w:themeColor="text1"/>
          <w:sz w:val="24"/>
          <w:szCs w:val="24"/>
          <w:shd w:val="clear" w:color="auto" w:fill="FFFFFF"/>
        </w:rPr>
        <w:t xml:space="preserve"> view,</w:t>
      </w:r>
      <w:r w:rsidRPr="00F208C0">
        <w:rPr>
          <w:rFonts w:ascii="Arial" w:hAnsi="Arial" w:cs="Arial"/>
          <w:color w:val="000000" w:themeColor="text1"/>
          <w:sz w:val="24"/>
          <w:szCs w:val="24"/>
          <w:shd w:val="clear" w:color="auto" w:fill="FFFFFF"/>
        </w:rPr>
        <w:t xml:space="preserve"> it is not </w:t>
      </w:r>
      <w:r w:rsidR="00603971" w:rsidRPr="00F208C0">
        <w:rPr>
          <w:rFonts w:ascii="Arial" w:hAnsi="Arial" w:cs="Arial"/>
          <w:color w:val="000000" w:themeColor="text1"/>
          <w:sz w:val="24"/>
          <w:szCs w:val="24"/>
          <w:shd w:val="clear" w:color="auto" w:fill="FFFFFF"/>
        </w:rPr>
        <w:t>enough</w:t>
      </w:r>
      <w:r w:rsidR="004C088F" w:rsidRPr="00F208C0">
        <w:rPr>
          <w:rFonts w:ascii="Arial" w:hAnsi="Arial" w:cs="Arial"/>
          <w:color w:val="000000" w:themeColor="text1"/>
          <w:sz w:val="24"/>
          <w:szCs w:val="24"/>
          <w:shd w:val="clear" w:color="auto" w:fill="FFFFFF"/>
        </w:rPr>
        <w:t xml:space="preserve"> that </w:t>
      </w:r>
      <w:r w:rsidRPr="00F208C0">
        <w:rPr>
          <w:rFonts w:ascii="Arial" w:hAnsi="Arial" w:cs="Arial"/>
          <w:color w:val="000000" w:themeColor="text1"/>
          <w:sz w:val="24"/>
          <w:szCs w:val="24"/>
          <w:shd w:val="clear" w:color="auto" w:fill="FFFFFF"/>
        </w:rPr>
        <w:t xml:space="preserve">an ‘intent to evict’ should be </w:t>
      </w:r>
      <w:r w:rsidR="004C088F" w:rsidRPr="00F208C0">
        <w:rPr>
          <w:rFonts w:ascii="Arial" w:hAnsi="Arial" w:cs="Arial"/>
          <w:color w:val="000000" w:themeColor="text1"/>
          <w:sz w:val="24"/>
          <w:szCs w:val="24"/>
          <w:shd w:val="clear" w:color="auto" w:fill="FFFFFF"/>
        </w:rPr>
        <w:t>the only</w:t>
      </w:r>
      <w:r w:rsidR="005E4FC9" w:rsidRPr="00F208C0">
        <w:rPr>
          <w:rFonts w:ascii="Arial" w:hAnsi="Arial" w:cs="Arial"/>
          <w:color w:val="000000" w:themeColor="text1"/>
          <w:sz w:val="24"/>
          <w:szCs w:val="24"/>
          <w:shd w:val="clear" w:color="auto" w:fill="FFFFFF"/>
        </w:rPr>
        <w:t xml:space="preserve"> </w:t>
      </w:r>
      <w:r w:rsidRPr="00F208C0">
        <w:rPr>
          <w:rFonts w:ascii="Arial" w:hAnsi="Arial" w:cs="Arial"/>
          <w:color w:val="000000" w:themeColor="text1"/>
          <w:sz w:val="24"/>
          <w:szCs w:val="24"/>
          <w:shd w:val="clear" w:color="auto" w:fill="FFFFFF"/>
        </w:rPr>
        <w:t>determining factor as to whether the applicant/</w:t>
      </w:r>
      <w:proofErr w:type="spellStart"/>
      <w:r w:rsidRPr="00F208C0">
        <w:rPr>
          <w:rFonts w:ascii="Arial" w:hAnsi="Arial" w:cs="Arial"/>
          <w:i/>
          <w:iCs/>
          <w:color w:val="000000" w:themeColor="text1"/>
          <w:sz w:val="24"/>
          <w:szCs w:val="24"/>
          <w:shd w:val="clear" w:color="auto" w:fill="FFFFFF"/>
        </w:rPr>
        <w:t>spoli</w:t>
      </w:r>
      <w:r w:rsidR="00730173" w:rsidRPr="00F208C0">
        <w:rPr>
          <w:rFonts w:ascii="Arial" w:hAnsi="Arial" w:cs="Arial"/>
          <w:i/>
          <w:iCs/>
          <w:color w:val="000000" w:themeColor="text1"/>
          <w:sz w:val="24"/>
          <w:szCs w:val="24"/>
          <w:shd w:val="clear" w:color="auto" w:fill="FFFFFF"/>
        </w:rPr>
        <w:t>a</w:t>
      </w:r>
      <w:r w:rsidRPr="00F208C0">
        <w:rPr>
          <w:rFonts w:ascii="Arial" w:hAnsi="Arial" w:cs="Arial"/>
          <w:i/>
          <w:iCs/>
          <w:color w:val="000000" w:themeColor="text1"/>
          <w:sz w:val="24"/>
          <w:szCs w:val="24"/>
          <w:shd w:val="clear" w:color="auto" w:fill="FFFFFF"/>
        </w:rPr>
        <w:t>tus</w:t>
      </w:r>
      <w:proofErr w:type="spellEnd"/>
      <w:r w:rsidRPr="00F208C0">
        <w:rPr>
          <w:rFonts w:ascii="Arial" w:hAnsi="Arial" w:cs="Arial"/>
          <w:i/>
          <w:iCs/>
          <w:color w:val="000000" w:themeColor="text1"/>
          <w:sz w:val="24"/>
          <w:szCs w:val="24"/>
          <w:shd w:val="clear" w:color="auto" w:fill="FFFFFF"/>
        </w:rPr>
        <w:t xml:space="preserve"> </w:t>
      </w:r>
      <w:r w:rsidRPr="00F208C0">
        <w:rPr>
          <w:rFonts w:ascii="Arial" w:hAnsi="Arial" w:cs="Arial"/>
          <w:color w:val="000000" w:themeColor="text1"/>
          <w:sz w:val="24"/>
          <w:szCs w:val="24"/>
          <w:shd w:val="clear" w:color="auto" w:fill="FFFFFF"/>
        </w:rPr>
        <w:t>had an incidental right to occupation of the premises</w:t>
      </w:r>
      <w:r w:rsidR="00B07976" w:rsidRPr="00F208C0">
        <w:rPr>
          <w:rFonts w:ascii="Arial" w:hAnsi="Arial" w:cs="Arial"/>
          <w:color w:val="000000" w:themeColor="text1"/>
          <w:sz w:val="24"/>
          <w:szCs w:val="24"/>
          <w:shd w:val="clear" w:color="auto" w:fill="FFFFFF"/>
        </w:rPr>
        <w:t>.</w:t>
      </w:r>
      <w:r w:rsidR="00F558B4" w:rsidRPr="00F208C0">
        <w:rPr>
          <w:rFonts w:ascii="Arial" w:hAnsi="Arial" w:cs="Arial"/>
          <w:color w:val="000000" w:themeColor="text1"/>
          <w:sz w:val="24"/>
          <w:szCs w:val="24"/>
          <w:shd w:val="clear" w:color="auto" w:fill="FFFFFF"/>
        </w:rPr>
        <w:t xml:space="preserve"> This argument is expanded</w:t>
      </w:r>
      <w:r w:rsidR="00CB53B8" w:rsidRPr="00F208C0">
        <w:rPr>
          <w:rFonts w:ascii="Arial" w:hAnsi="Arial" w:cs="Arial"/>
          <w:color w:val="000000" w:themeColor="text1"/>
          <w:sz w:val="24"/>
          <w:szCs w:val="24"/>
          <w:shd w:val="clear" w:color="auto" w:fill="FFFFFF"/>
        </w:rPr>
        <w:t xml:space="preserve"> on</w:t>
      </w:r>
      <w:r w:rsidR="00F558B4" w:rsidRPr="00F208C0">
        <w:rPr>
          <w:rFonts w:ascii="Arial" w:hAnsi="Arial" w:cs="Arial"/>
          <w:color w:val="000000" w:themeColor="text1"/>
          <w:sz w:val="24"/>
          <w:szCs w:val="24"/>
          <w:shd w:val="clear" w:color="auto" w:fill="FFFFFF"/>
        </w:rPr>
        <w:t xml:space="preserve"> in </w:t>
      </w:r>
      <w:r w:rsidR="00730173" w:rsidRPr="00F208C0">
        <w:rPr>
          <w:rFonts w:ascii="Arial" w:hAnsi="Arial" w:cs="Arial"/>
          <w:color w:val="000000" w:themeColor="text1"/>
          <w:sz w:val="24"/>
          <w:szCs w:val="24"/>
          <w:shd w:val="clear" w:color="auto" w:fill="FFFFFF"/>
        </w:rPr>
        <w:t>c</w:t>
      </w:r>
      <w:r w:rsidR="0096428C" w:rsidRPr="00F208C0">
        <w:rPr>
          <w:rFonts w:ascii="Arial" w:hAnsi="Arial" w:cs="Arial"/>
          <w:color w:val="000000" w:themeColor="text1"/>
          <w:sz w:val="24"/>
          <w:szCs w:val="24"/>
          <w:shd w:val="clear" w:color="auto" w:fill="FFFFFF"/>
        </w:rPr>
        <w:t>hapter</w:t>
      </w:r>
      <w:r w:rsidR="00636BD1" w:rsidRPr="00F208C0">
        <w:rPr>
          <w:rFonts w:ascii="Arial" w:hAnsi="Arial" w:cs="Arial"/>
          <w:color w:val="000000" w:themeColor="text1"/>
          <w:sz w:val="24"/>
          <w:szCs w:val="24"/>
          <w:shd w:val="clear" w:color="auto" w:fill="FFFFFF"/>
        </w:rPr>
        <w:t xml:space="preserve"> </w:t>
      </w:r>
      <w:r w:rsidR="00730173" w:rsidRPr="00F208C0">
        <w:rPr>
          <w:rFonts w:ascii="Arial" w:hAnsi="Arial" w:cs="Arial"/>
          <w:color w:val="000000" w:themeColor="text1"/>
          <w:sz w:val="24"/>
          <w:szCs w:val="24"/>
          <w:shd w:val="clear" w:color="auto" w:fill="FFFFFF"/>
        </w:rPr>
        <w:t>f</w:t>
      </w:r>
      <w:r w:rsidR="00636BD1" w:rsidRPr="00F208C0">
        <w:rPr>
          <w:rFonts w:ascii="Arial" w:hAnsi="Arial" w:cs="Arial"/>
          <w:color w:val="000000" w:themeColor="text1"/>
          <w:sz w:val="24"/>
          <w:szCs w:val="24"/>
          <w:shd w:val="clear" w:color="auto" w:fill="FFFFFF"/>
        </w:rPr>
        <w:t>our</w:t>
      </w:r>
      <w:r w:rsidR="0096428C" w:rsidRPr="00F208C0">
        <w:rPr>
          <w:rFonts w:ascii="Arial" w:hAnsi="Arial" w:cs="Arial"/>
          <w:color w:val="000000" w:themeColor="text1"/>
          <w:sz w:val="24"/>
          <w:szCs w:val="24"/>
          <w:shd w:val="clear" w:color="auto" w:fill="FFFFFF"/>
        </w:rPr>
        <w:t xml:space="preserve"> under the</w:t>
      </w:r>
      <w:r w:rsidR="00D7236E" w:rsidRPr="00F208C0">
        <w:rPr>
          <w:rFonts w:ascii="Arial" w:hAnsi="Arial" w:cs="Arial"/>
          <w:color w:val="000000" w:themeColor="text1"/>
          <w:sz w:val="24"/>
          <w:szCs w:val="24"/>
          <w:shd w:val="clear" w:color="auto" w:fill="FFFFFF"/>
        </w:rPr>
        <w:t xml:space="preserve"> discussion of ‘recent judgments.’</w:t>
      </w:r>
      <w:r w:rsidR="00CE0116" w:rsidRPr="00F208C0">
        <w:rPr>
          <w:rFonts w:ascii="Arial" w:hAnsi="Arial" w:cs="Arial"/>
          <w:color w:val="000000" w:themeColor="text1"/>
          <w:sz w:val="24"/>
          <w:szCs w:val="24"/>
          <w:shd w:val="clear" w:color="auto" w:fill="FFFFFF"/>
        </w:rPr>
        <w:t xml:space="preserve"> </w:t>
      </w:r>
      <w:r w:rsidR="00470106" w:rsidRPr="00F208C0">
        <w:rPr>
          <w:rFonts w:ascii="Arial" w:hAnsi="Arial" w:cs="Arial"/>
          <w:color w:val="000000" w:themeColor="text1"/>
          <w:sz w:val="24"/>
          <w:szCs w:val="24"/>
          <w:shd w:val="clear" w:color="auto" w:fill="FFFFFF"/>
        </w:rPr>
        <w:t xml:space="preserve">Chapter </w:t>
      </w:r>
      <w:r w:rsidR="00730173" w:rsidRPr="00F208C0">
        <w:rPr>
          <w:rFonts w:ascii="Arial" w:hAnsi="Arial" w:cs="Arial"/>
          <w:color w:val="000000" w:themeColor="text1"/>
          <w:sz w:val="24"/>
          <w:szCs w:val="24"/>
          <w:shd w:val="clear" w:color="auto" w:fill="FFFFFF"/>
        </w:rPr>
        <w:t>f</w:t>
      </w:r>
      <w:r w:rsidR="00470106" w:rsidRPr="00F208C0">
        <w:rPr>
          <w:rFonts w:ascii="Arial" w:hAnsi="Arial" w:cs="Arial"/>
          <w:color w:val="000000" w:themeColor="text1"/>
          <w:sz w:val="24"/>
          <w:szCs w:val="24"/>
          <w:shd w:val="clear" w:color="auto" w:fill="FFFFFF"/>
        </w:rPr>
        <w:t>our studies</w:t>
      </w:r>
      <w:r w:rsidR="007951C5" w:rsidRPr="00F208C0">
        <w:rPr>
          <w:rFonts w:ascii="Arial" w:hAnsi="Arial" w:cs="Arial"/>
          <w:color w:val="000000" w:themeColor="text1"/>
          <w:sz w:val="24"/>
          <w:szCs w:val="24"/>
          <w:shd w:val="clear" w:color="auto" w:fill="FFFFFF"/>
        </w:rPr>
        <w:t xml:space="preserve"> the</w:t>
      </w:r>
      <w:r w:rsidRPr="00F208C0">
        <w:rPr>
          <w:rFonts w:ascii="Arial" w:hAnsi="Arial" w:cs="Arial"/>
          <w:color w:val="000000" w:themeColor="text1"/>
          <w:sz w:val="24"/>
          <w:szCs w:val="24"/>
          <w:shd w:val="clear" w:color="auto" w:fill="FFFFFF"/>
        </w:rPr>
        <w:t xml:space="preserve"> application of the spoliation remedy after the</w:t>
      </w:r>
      <w:r w:rsidR="007951C5" w:rsidRPr="00F208C0">
        <w:rPr>
          <w:rFonts w:ascii="Arial" w:hAnsi="Arial" w:cs="Arial"/>
          <w:color w:val="000000" w:themeColor="text1"/>
          <w:sz w:val="24"/>
          <w:szCs w:val="24"/>
          <w:shd w:val="clear" w:color="auto" w:fill="FFFFFF"/>
        </w:rPr>
        <w:t xml:space="preserve"> implementation of the</w:t>
      </w:r>
      <w:r w:rsidRPr="00F208C0">
        <w:rPr>
          <w:rFonts w:ascii="Arial" w:hAnsi="Arial" w:cs="Arial"/>
          <w:color w:val="000000" w:themeColor="text1"/>
          <w:sz w:val="24"/>
          <w:szCs w:val="24"/>
          <w:shd w:val="clear" w:color="auto" w:fill="FFFFFF"/>
        </w:rPr>
        <w:t xml:space="preserve"> 1996 </w:t>
      </w:r>
      <w:r w:rsidRPr="00F208C0">
        <w:rPr>
          <w:rFonts w:ascii="Arial" w:hAnsi="Arial" w:cs="Arial"/>
          <w:i/>
          <w:iCs/>
          <w:color w:val="000000" w:themeColor="text1"/>
          <w:sz w:val="24"/>
          <w:szCs w:val="24"/>
          <w:shd w:val="clear" w:color="auto" w:fill="FFFFFF"/>
        </w:rPr>
        <w:t>Constitution</w:t>
      </w:r>
      <w:r w:rsidRPr="00F208C0">
        <w:rPr>
          <w:rFonts w:ascii="Arial" w:hAnsi="Arial" w:cs="Arial"/>
          <w:color w:val="000000" w:themeColor="text1"/>
          <w:sz w:val="24"/>
          <w:szCs w:val="24"/>
          <w:shd w:val="clear" w:color="auto" w:fill="FFFFFF"/>
        </w:rPr>
        <w:t xml:space="preserve"> and determines existing constitutional considerations on the protection of the </w:t>
      </w:r>
      <w:r w:rsidRPr="00F208C0">
        <w:rPr>
          <w:rFonts w:ascii="Arial" w:hAnsi="Arial" w:cs="Arial"/>
          <w:i/>
          <w:iCs/>
          <w:color w:val="000000" w:themeColor="text1"/>
          <w:sz w:val="24"/>
          <w:szCs w:val="24"/>
          <w:shd w:val="clear" w:color="auto" w:fill="FFFFFF"/>
        </w:rPr>
        <w:t>quasi</w:t>
      </w:r>
      <w:r w:rsidRPr="00F208C0">
        <w:rPr>
          <w:rFonts w:ascii="Arial" w:hAnsi="Arial" w:cs="Arial"/>
          <w:color w:val="000000" w:themeColor="text1"/>
          <w:sz w:val="24"/>
          <w:szCs w:val="24"/>
          <w:shd w:val="clear" w:color="auto" w:fill="FFFFFF"/>
        </w:rPr>
        <w:t>-possession of water and electricity supply</w:t>
      </w:r>
      <w:r w:rsidR="00CE0116" w:rsidRPr="00F208C0">
        <w:rPr>
          <w:rFonts w:ascii="Arial" w:hAnsi="Arial" w:cs="Arial"/>
          <w:color w:val="000000" w:themeColor="text1"/>
          <w:sz w:val="24"/>
          <w:szCs w:val="24"/>
          <w:shd w:val="clear" w:color="auto" w:fill="FFFFFF"/>
        </w:rPr>
        <w:t>.</w:t>
      </w:r>
    </w:p>
    <w:p w14:paraId="63C83BC9" w14:textId="48D67345" w:rsidR="00C72D03" w:rsidRPr="00B17C11" w:rsidRDefault="00C72D03" w:rsidP="009E6526">
      <w:pPr>
        <w:spacing w:line="360" w:lineRule="auto"/>
        <w:jc w:val="both"/>
        <w:rPr>
          <w:rFonts w:ascii="Arial" w:hAnsi="Arial" w:cs="Arial"/>
          <w:sz w:val="24"/>
          <w:szCs w:val="24"/>
        </w:rPr>
      </w:pPr>
      <w:r w:rsidRPr="00B17C11">
        <w:rPr>
          <w:rFonts w:ascii="Arial" w:hAnsi="Arial" w:cs="Arial"/>
          <w:sz w:val="24"/>
          <w:szCs w:val="24"/>
        </w:rPr>
        <w:lastRenderedPageBreak/>
        <w:br w:type="page"/>
      </w:r>
    </w:p>
    <w:p w14:paraId="5DFA57A5" w14:textId="4D212970" w:rsidR="00761FF4" w:rsidRPr="00B17C11" w:rsidRDefault="00761FF4" w:rsidP="00255733">
      <w:pPr>
        <w:pStyle w:val="Heading1"/>
        <w:rPr>
          <w:shd w:val="clear" w:color="auto" w:fill="FFFFFF"/>
        </w:rPr>
      </w:pPr>
      <w:bookmarkStart w:id="24" w:name="_Toc181339551"/>
      <w:r w:rsidRPr="00B17C11">
        <w:rPr>
          <w:shd w:val="clear" w:color="auto" w:fill="FFFFFF"/>
        </w:rPr>
        <w:lastRenderedPageBreak/>
        <w:t xml:space="preserve">: The application of the spoliation remedy in the case of </w:t>
      </w:r>
      <w:r w:rsidRPr="00B17C11">
        <w:rPr>
          <w:i/>
          <w:iCs/>
          <w:shd w:val="clear" w:color="auto" w:fill="FFFFFF"/>
        </w:rPr>
        <w:t>quasi</w:t>
      </w:r>
      <w:r w:rsidRPr="00B17C11">
        <w:rPr>
          <w:shd w:val="clear" w:color="auto" w:fill="FFFFFF"/>
        </w:rPr>
        <w:t xml:space="preserve">-possession of water and electricity supply after the </w:t>
      </w:r>
      <w:r w:rsidR="009743DE" w:rsidRPr="00B17C11">
        <w:rPr>
          <w:shd w:val="clear" w:color="auto" w:fill="FFFFFF"/>
        </w:rPr>
        <w:t xml:space="preserve">Implementation of the </w:t>
      </w:r>
      <w:r w:rsidRPr="00B17C11">
        <w:rPr>
          <w:shd w:val="clear" w:color="auto" w:fill="FFFFFF"/>
        </w:rPr>
        <w:t>Constitution</w:t>
      </w:r>
      <w:bookmarkEnd w:id="24"/>
    </w:p>
    <w:p w14:paraId="3E1371F5" w14:textId="77777777" w:rsidR="00255733" w:rsidRPr="00B17C11" w:rsidRDefault="00255733" w:rsidP="00255733">
      <w:pPr>
        <w:rPr>
          <w:lang w:val="en-GB"/>
        </w:rPr>
      </w:pPr>
    </w:p>
    <w:p w14:paraId="680135D2" w14:textId="3C568F20" w:rsidR="00761FF4" w:rsidRPr="00B17C11" w:rsidRDefault="00761FF4" w:rsidP="00255733">
      <w:pPr>
        <w:pStyle w:val="Heading2"/>
      </w:pPr>
      <w:bookmarkStart w:id="25" w:name="_Toc181339552"/>
      <w:r w:rsidRPr="00B17C11">
        <w:t>4.1</w:t>
      </w:r>
      <w:r w:rsidR="00255733" w:rsidRPr="00B17C11">
        <w:tab/>
      </w:r>
      <w:r w:rsidRPr="00B17C11">
        <w:t>Introduction</w:t>
      </w:r>
      <w:bookmarkEnd w:id="25"/>
    </w:p>
    <w:p w14:paraId="117AB42D" w14:textId="2EB6B96F" w:rsidR="00761FF4" w:rsidRPr="00B17C11" w:rsidRDefault="00BA5D00" w:rsidP="00761FF4">
      <w:pPr>
        <w:spacing w:line="360" w:lineRule="auto"/>
        <w:jc w:val="both"/>
        <w:rPr>
          <w:rFonts w:ascii="Arial" w:hAnsi="Arial" w:cs="Arial"/>
          <w:sz w:val="24"/>
          <w:szCs w:val="24"/>
        </w:rPr>
      </w:pPr>
      <w:r w:rsidRPr="00B17C11">
        <w:rPr>
          <w:rFonts w:ascii="Arial" w:hAnsi="Arial" w:cs="Arial"/>
          <w:sz w:val="24"/>
          <w:szCs w:val="24"/>
        </w:rPr>
        <w:t xml:space="preserve">The founding provision of the </w:t>
      </w:r>
      <w:r w:rsidRPr="00B17C11">
        <w:rPr>
          <w:rFonts w:ascii="Arial" w:hAnsi="Arial" w:cs="Arial"/>
          <w:i/>
          <w:iCs/>
          <w:sz w:val="24"/>
          <w:szCs w:val="24"/>
        </w:rPr>
        <w:t>Constitution</w:t>
      </w:r>
      <w:r w:rsidRPr="00B17C11">
        <w:rPr>
          <w:rFonts w:ascii="Arial" w:hAnsi="Arial" w:cs="Arial"/>
          <w:sz w:val="24"/>
          <w:szCs w:val="24"/>
        </w:rPr>
        <w:t xml:space="preserve"> declares that the Republic of South Africa is a value-based society that often must interpret rules to give clear expressions to the values ingrained in the </w:t>
      </w:r>
      <w:r w:rsidRPr="00B17C11">
        <w:rPr>
          <w:rFonts w:ascii="Arial" w:hAnsi="Arial" w:cs="Arial"/>
          <w:i/>
          <w:iCs/>
          <w:sz w:val="24"/>
          <w:szCs w:val="24"/>
        </w:rPr>
        <w:t>Constitution</w:t>
      </w:r>
      <w:r w:rsidR="00A63A08" w:rsidRPr="00B17C11">
        <w:rPr>
          <w:rFonts w:ascii="Arial" w:hAnsi="Arial" w:cs="Arial"/>
          <w:sz w:val="24"/>
          <w:szCs w:val="24"/>
        </w:rPr>
        <w:t>.</w:t>
      </w:r>
      <w:r w:rsidR="00A63A08" w:rsidRPr="00B17C11">
        <w:rPr>
          <w:rStyle w:val="FootnoteReference"/>
          <w:rFonts w:ascii="Arial" w:hAnsi="Arial" w:cs="Arial"/>
          <w:sz w:val="24"/>
          <w:szCs w:val="24"/>
        </w:rPr>
        <w:footnoteReference w:id="297"/>
      </w:r>
      <w:r w:rsidRPr="00B17C11">
        <w:rPr>
          <w:rFonts w:ascii="Arial" w:hAnsi="Arial" w:cs="Arial"/>
          <w:sz w:val="24"/>
          <w:szCs w:val="24"/>
        </w:rPr>
        <w:t xml:space="preserve"> </w:t>
      </w:r>
      <w:r w:rsidR="00A625D3" w:rsidRPr="00B17C11">
        <w:rPr>
          <w:rFonts w:ascii="Arial" w:hAnsi="Arial" w:cs="Arial"/>
          <w:sz w:val="24"/>
          <w:szCs w:val="24"/>
        </w:rPr>
        <w:t xml:space="preserve">Thus, </w:t>
      </w:r>
      <w:r w:rsidR="00CA5786" w:rsidRPr="00B17C11">
        <w:rPr>
          <w:rFonts w:ascii="Arial" w:hAnsi="Arial" w:cs="Arial"/>
          <w:sz w:val="24"/>
          <w:szCs w:val="24"/>
        </w:rPr>
        <w:t>c</w:t>
      </w:r>
      <w:r w:rsidR="00761FF4" w:rsidRPr="00B17C11">
        <w:rPr>
          <w:rFonts w:ascii="Arial" w:hAnsi="Arial" w:cs="Arial"/>
          <w:sz w:val="24"/>
          <w:szCs w:val="24"/>
        </w:rPr>
        <w:t xml:space="preserve">hapter </w:t>
      </w:r>
      <w:r w:rsidR="00CA5786" w:rsidRPr="00B17C11">
        <w:rPr>
          <w:rFonts w:ascii="Arial" w:hAnsi="Arial" w:cs="Arial"/>
          <w:sz w:val="24"/>
          <w:szCs w:val="24"/>
        </w:rPr>
        <w:t>f</w:t>
      </w:r>
      <w:r w:rsidR="00016DFF" w:rsidRPr="00B17C11">
        <w:rPr>
          <w:rFonts w:ascii="Arial" w:hAnsi="Arial" w:cs="Arial"/>
          <w:sz w:val="24"/>
          <w:szCs w:val="24"/>
        </w:rPr>
        <w:t>our</w:t>
      </w:r>
      <w:r w:rsidR="00761FF4" w:rsidRPr="00B17C11">
        <w:rPr>
          <w:rFonts w:ascii="Arial" w:hAnsi="Arial" w:cs="Arial"/>
          <w:sz w:val="24"/>
          <w:szCs w:val="24"/>
        </w:rPr>
        <w:t xml:space="preserve"> studies the application of the spoliation remedy on </w:t>
      </w:r>
      <w:r w:rsidR="00761FF4" w:rsidRPr="00B17C11">
        <w:rPr>
          <w:rFonts w:ascii="Arial" w:hAnsi="Arial" w:cs="Arial"/>
          <w:i/>
          <w:iCs/>
          <w:sz w:val="24"/>
          <w:szCs w:val="24"/>
        </w:rPr>
        <w:t>quasi-</w:t>
      </w:r>
      <w:r w:rsidR="00761FF4" w:rsidRPr="00B17C11">
        <w:rPr>
          <w:rFonts w:ascii="Arial" w:hAnsi="Arial" w:cs="Arial"/>
          <w:sz w:val="24"/>
          <w:szCs w:val="24"/>
        </w:rPr>
        <w:t xml:space="preserve">possession cases after the 1996 </w:t>
      </w:r>
      <w:r w:rsidR="00E7114F" w:rsidRPr="00B17C11">
        <w:rPr>
          <w:rFonts w:ascii="Arial" w:hAnsi="Arial" w:cs="Arial"/>
          <w:i/>
          <w:iCs/>
          <w:sz w:val="24"/>
          <w:szCs w:val="24"/>
        </w:rPr>
        <w:t>Constitution</w:t>
      </w:r>
      <w:r w:rsidR="00CA5786" w:rsidRPr="00B17C11">
        <w:rPr>
          <w:rFonts w:ascii="Arial" w:hAnsi="Arial" w:cs="Arial"/>
          <w:i/>
          <w:iCs/>
          <w:sz w:val="24"/>
          <w:szCs w:val="24"/>
        </w:rPr>
        <w:t xml:space="preserve"> </w:t>
      </w:r>
      <w:r w:rsidR="00CA5786" w:rsidRPr="00B17C11">
        <w:rPr>
          <w:rFonts w:ascii="Arial" w:hAnsi="Arial" w:cs="Arial"/>
          <w:sz w:val="24"/>
          <w:szCs w:val="24"/>
        </w:rPr>
        <w:t>came into operation</w:t>
      </w:r>
      <w:r w:rsidR="00761FF4" w:rsidRPr="00B17C11">
        <w:rPr>
          <w:rFonts w:ascii="Arial" w:hAnsi="Arial" w:cs="Arial"/>
          <w:sz w:val="24"/>
          <w:szCs w:val="24"/>
        </w:rPr>
        <w:t xml:space="preserve">. </w:t>
      </w:r>
      <w:r w:rsidR="00A625D3" w:rsidRPr="00B17C11">
        <w:rPr>
          <w:rFonts w:ascii="Arial" w:hAnsi="Arial" w:cs="Arial"/>
          <w:sz w:val="24"/>
          <w:szCs w:val="24"/>
        </w:rPr>
        <w:t>Firstly,</w:t>
      </w:r>
      <w:r w:rsidR="00761FF4" w:rsidRPr="00B17C11">
        <w:rPr>
          <w:rFonts w:ascii="Arial" w:hAnsi="Arial" w:cs="Arial"/>
          <w:sz w:val="24"/>
          <w:szCs w:val="24"/>
        </w:rPr>
        <w:t xml:space="preserve"> this </w:t>
      </w:r>
      <w:r w:rsidR="00CA5786" w:rsidRPr="00B17C11">
        <w:rPr>
          <w:rFonts w:ascii="Arial" w:hAnsi="Arial" w:cs="Arial"/>
          <w:sz w:val="24"/>
          <w:szCs w:val="24"/>
        </w:rPr>
        <w:t>c</w:t>
      </w:r>
      <w:r w:rsidR="00761FF4" w:rsidRPr="00B17C11">
        <w:rPr>
          <w:rFonts w:ascii="Arial" w:hAnsi="Arial" w:cs="Arial"/>
          <w:sz w:val="24"/>
          <w:szCs w:val="24"/>
        </w:rPr>
        <w:t xml:space="preserve">hapter will consider the position of incorporeal rights under the constitutional property clause to determine the propriety of </w:t>
      </w:r>
      <w:r w:rsidR="00761FF4" w:rsidRPr="00B17C11">
        <w:rPr>
          <w:rFonts w:ascii="Arial" w:hAnsi="Arial" w:cs="Arial"/>
          <w:i/>
          <w:iCs/>
          <w:sz w:val="24"/>
          <w:szCs w:val="24"/>
        </w:rPr>
        <w:t>quasi-</w:t>
      </w:r>
      <w:r w:rsidR="00761FF4" w:rsidRPr="00B17C11">
        <w:rPr>
          <w:rFonts w:ascii="Arial" w:hAnsi="Arial" w:cs="Arial"/>
          <w:sz w:val="24"/>
          <w:szCs w:val="24"/>
        </w:rPr>
        <w:t xml:space="preserve">possession within the constitutional context. Secondly, this </w:t>
      </w:r>
      <w:r w:rsidR="00CA5786" w:rsidRPr="00B17C11">
        <w:rPr>
          <w:rFonts w:ascii="Arial" w:hAnsi="Arial" w:cs="Arial"/>
          <w:sz w:val="24"/>
          <w:szCs w:val="24"/>
        </w:rPr>
        <w:t>c</w:t>
      </w:r>
      <w:r w:rsidR="00761FF4" w:rsidRPr="00B17C11">
        <w:rPr>
          <w:rFonts w:ascii="Arial" w:hAnsi="Arial" w:cs="Arial"/>
          <w:sz w:val="24"/>
          <w:szCs w:val="24"/>
        </w:rPr>
        <w:t xml:space="preserve">hapter will consider the impact and influences of the </w:t>
      </w:r>
      <w:r w:rsidR="00761FF4" w:rsidRPr="00B17C11">
        <w:rPr>
          <w:rFonts w:ascii="Arial" w:hAnsi="Arial" w:cs="Arial"/>
          <w:i/>
          <w:iCs/>
          <w:sz w:val="24"/>
          <w:szCs w:val="24"/>
        </w:rPr>
        <w:t>Constitution</w:t>
      </w:r>
      <w:r w:rsidR="00761FF4" w:rsidRPr="00B17C11">
        <w:rPr>
          <w:rFonts w:ascii="Arial" w:hAnsi="Arial" w:cs="Arial"/>
          <w:sz w:val="24"/>
          <w:szCs w:val="24"/>
        </w:rPr>
        <w:t xml:space="preserve"> on the application of </w:t>
      </w:r>
      <w:r w:rsidR="00761FF4" w:rsidRPr="00B17C11">
        <w:rPr>
          <w:rFonts w:ascii="Arial" w:hAnsi="Arial" w:cs="Arial"/>
          <w:i/>
          <w:iCs/>
          <w:sz w:val="24"/>
          <w:szCs w:val="24"/>
        </w:rPr>
        <w:t>quasi-</w:t>
      </w:r>
      <w:r w:rsidR="00761FF4" w:rsidRPr="00B17C11">
        <w:rPr>
          <w:rFonts w:ascii="Arial" w:hAnsi="Arial" w:cs="Arial"/>
          <w:sz w:val="24"/>
          <w:szCs w:val="24"/>
        </w:rPr>
        <w:t>possession cases of water and electricity supply.</w:t>
      </w:r>
    </w:p>
    <w:p w14:paraId="522898D4" w14:textId="77777777" w:rsidR="00255733" w:rsidRPr="00B17C11" w:rsidRDefault="00255733" w:rsidP="00761FF4">
      <w:pPr>
        <w:spacing w:line="360" w:lineRule="auto"/>
        <w:jc w:val="both"/>
        <w:rPr>
          <w:rFonts w:ascii="Arial" w:hAnsi="Arial" w:cs="Arial"/>
          <w:sz w:val="24"/>
          <w:szCs w:val="24"/>
        </w:rPr>
      </w:pPr>
    </w:p>
    <w:p w14:paraId="2B5ED1A1" w14:textId="34C8914A" w:rsidR="00761FF4" w:rsidRPr="00B17C11" w:rsidRDefault="00761FF4" w:rsidP="00255733">
      <w:pPr>
        <w:pStyle w:val="Heading2"/>
      </w:pPr>
      <w:bookmarkStart w:id="26" w:name="_Toc181339553"/>
      <w:r w:rsidRPr="00B17C11">
        <w:t>4.2</w:t>
      </w:r>
      <w:r w:rsidR="00255733" w:rsidRPr="00B17C11">
        <w:tab/>
      </w:r>
      <w:r w:rsidRPr="00B17C11">
        <w:t>The Constitutional Recognition of Incorporeal Rights</w:t>
      </w:r>
      <w:bookmarkEnd w:id="26"/>
    </w:p>
    <w:p w14:paraId="6F9CD890" w14:textId="479F26A7"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Incorporeal property rights are subjective rights such as real and personal servitudes in respect of immovable things that serve as objects of property rights.</w:t>
      </w:r>
      <w:r w:rsidRPr="00B17C11">
        <w:rPr>
          <w:rStyle w:val="FootnoteReference"/>
          <w:rFonts w:ascii="Arial" w:hAnsi="Arial" w:cs="Arial"/>
          <w:sz w:val="24"/>
          <w:szCs w:val="24"/>
        </w:rPr>
        <w:footnoteReference w:id="298"/>
      </w:r>
      <w:r w:rsidRPr="00B17C11">
        <w:rPr>
          <w:rFonts w:ascii="Arial" w:hAnsi="Arial" w:cs="Arial"/>
          <w:sz w:val="24"/>
          <w:szCs w:val="24"/>
        </w:rPr>
        <w:t xml:space="preserve"> Before the constitutional era, incorporeal rights in the form of subjective rights were regarded as dogmatically unsound even though they were recognised as established components of property law principles.</w:t>
      </w:r>
      <w:r w:rsidRPr="00B17C11">
        <w:rPr>
          <w:rStyle w:val="FootnoteReference"/>
          <w:rFonts w:ascii="Arial" w:hAnsi="Arial" w:cs="Arial"/>
          <w:sz w:val="24"/>
          <w:szCs w:val="24"/>
        </w:rPr>
        <w:footnoteReference w:id="299"/>
      </w:r>
      <w:r w:rsidRPr="00B17C11">
        <w:rPr>
          <w:rFonts w:ascii="Arial" w:hAnsi="Arial" w:cs="Arial"/>
          <w:sz w:val="24"/>
          <w:szCs w:val="24"/>
        </w:rPr>
        <w:t xml:space="preserve"> This was largely the result of the narrow interpretation of things as primarily corporeal.</w:t>
      </w:r>
      <w:r w:rsidRPr="00B17C11">
        <w:rPr>
          <w:rStyle w:val="FootnoteReference"/>
          <w:rFonts w:ascii="Arial" w:hAnsi="Arial" w:cs="Arial"/>
          <w:sz w:val="24"/>
          <w:szCs w:val="24"/>
        </w:rPr>
        <w:footnoteReference w:id="300"/>
      </w:r>
      <w:r w:rsidRPr="00B17C11">
        <w:rPr>
          <w:rFonts w:ascii="Arial" w:hAnsi="Arial" w:cs="Arial"/>
          <w:sz w:val="24"/>
          <w:szCs w:val="24"/>
        </w:rPr>
        <w:t xml:space="preserve"> However, owing to the introduction of the property concept in terms of section 25 of the </w:t>
      </w:r>
      <w:r w:rsidRPr="00B17C11">
        <w:rPr>
          <w:rFonts w:ascii="Arial" w:hAnsi="Arial" w:cs="Arial"/>
          <w:i/>
          <w:iCs/>
          <w:sz w:val="24"/>
          <w:szCs w:val="24"/>
        </w:rPr>
        <w:t>Constitution</w:t>
      </w:r>
      <w:r w:rsidRPr="00B17C11">
        <w:rPr>
          <w:rFonts w:ascii="Arial" w:hAnsi="Arial" w:cs="Arial"/>
          <w:sz w:val="24"/>
          <w:szCs w:val="24"/>
        </w:rPr>
        <w:t xml:space="preserve"> of 1996, this narrow interpretation was extended to include other forms of property.</w:t>
      </w:r>
      <w:r w:rsidRPr="00B17C11">
        <w:rPr>
          <w:rStyle w:val="FootnoteReference"/>
          <w:rFonts w:ascii="Arial" w:hAnsi="Arial" w:cs="Arial"/>
          <w:sz w:val="24"/>
          <w:szCs w:val="24"/>
        </w:rPr>
        <w:footnoteReference w:id="301"/>
      </w:r>
    </w:p>
    <w:p w14:paraId="6F2D0CAA" w14:textId="2DD78F5F" w:rsidR="00761FF4" w:rsidRPr="00B17C11" w:rsidRDefault="00761FF4" w:rsidP="00761FF4">
      <w:pPr>
        <w:spacing w:line="360" w:lineRule="auto"/>
        <w:jc w:val="both"/>
        <w:rPr>
          <w:rFonts w:ascii="Arial" w:hAnsi="Arial" w:cs="Arial"/>
          <w:sz w:val="24"/>
          <w:szCs w:val="24"/>
          <w:lang w:val="en-GB"/>
        </w:rPr>
      </w:pPr>
      <w:r w:rsidRPr="00B17C11">
        <w:rPr>
          <w:rFonts w:ascii="Arial" w:hAnsi="Arial" w:cs="Arial"/>
          <w:sz w:val="24"/>
          <w:szCs w:val="24"/>
        </w:rPr>
        <w:t>Pienaar holds that there is no indication that the term property for purposes of section 25 is restricted to corporeal things.</w:t>
      </w:r>
      <w:r w:rsidRPr="00B17C11">
        <w:rPr>
          <w:rStyle w:val="FootnoteReference"/>
          <w:rFonts w:ascii="Arial" w:hAnsi="Arial" w:cs="Arial"/>
          <w:sz w:val="24"/>
          <w:szCs w:val="24"/>
        </w:rPr>
        <w:footnoteReference w:id="302"/>
      </w:r>
      <w:r w:rsidRPr="00B17C11">
        <w:rPr>
          <w:rFonts w:ascii="Arial" w:hAnsi="Arial" w:cs="Arial"/>
          <w:sz w:val="24"/>
          <w:szCs w:val="24"/>
        </w:rPr>
        <w:t xml:space="preserve"> In </w:t>
      </w:r>
      <w:r w:rsidRPr="00B17C11">
        <w:rPr>
          <w:rFonts w:ascii="Arial" w:hAnsi="Arial" w:cs="Arial"/>
          <w:i/>
          <w:iCs/>
          <w:sz w:val="24"/>
          <w:szCs w:val="24"/>
        </w:rPr>
        <w:t xml:space="preserve">First National Bank of SA Ltd t/a </w:t>
      </w:r>
      <w:proofErr w:type="spellStart"/>
      <w:r w:rsidRPr="00B17C11">
        <w:rPr>
          <w:rFonts w:ascii="Arial" w:hAnsi="Arial" w:cs="Arial"/>
          <w:i/>
          <w:iCs/>
          <w:sz w:val="24"/>
          <w:szCs w:val="24"/>
        </w:rPr>
        <w:t>Wesbank</w:t>
      </w:r>
      <w:proofErr w:type="spellEnd"/>
      <w:r w:rsidRPr="00B17C11">
        <w:rPr>
          <w:rFonts w:ascii="Arial" w:hAnsi="Arial" w:cs="Arial"/>
          <w:i/>
          <w:iCs/>
          <w:sz w:val="24"/>
          <w:szCs w:val="24"/>
        </w:rPr>
        <w:t xml:space="preserve"> v Commissioner, South African Revenue Service; First National Bank of SA Ltd t/a </w:t>
      </w:r>
      <w:proofErr w:type="spellStart"/>
      <w:r w:rsidRPr="00B17C11">
        <w:rPr>
          <w:rFonts w:ascii="Arial" w:hAnsi="Arial" w:cs="Arial"/>
          <w:i/>
          <w:iCs/>
          <w:sz w:val="24"/>
          <w:szCs w:val="24"/>
        </w:rPr>
        <w:t>Wesbank</w:t>
      </w:r>
      <w:proofErr w:type="spellEnd"/>
      <w:r w:rsidRPr="00B17C11">
        <w:rPr>
          <w:rFonts w:ascii="Arial" w:hAnsi="Arial" w:cs="Arial"/>
          <w:i/>
          <w:iCs/>
          <w:sz w:val="24"/>
          <w:szCs w:val="24"/>
        </w:rPr>
        <w:t xml:space="preserve"> v Minister of Finance</w:t>
      </w:r>
      <w:r w:rsidRPr="00B17C11">
        <w:rPr>
          <w:rFonts w:ascii="Arial" w:hAnsi="Arial" w:cs="Arial"/>
          <w:sz w:val="24"/>
          <w:szCs w:val="24"/>
        </w:rPr>
        <w:t xml:space="preserve">, the Constitutional Court suggested that it was judicially </w:t>
      </w:r>
      <w:r w:rsidRPr="00B17C11">
        <w:rPr>
          <w:rFonts w:ascii="Arial" w:hAnsi="Arial" w:cs="Arial"/>
          <w:sz w:val="24"/>
          <w:szCs w:val="24"/>
        </w:rPr>
        <w:lastRenderedPageBreak/>
        <w:t xml:space="preserve">unwise to </w:t>
      </w:r>
      <w:r w:rsidR="00A650C5" w:rsidRPr="00B17C11">
        <w:rPr>
          <w:rFonts w:ascii="Arial" w:hAnsi="Arial" w:cs="Arial"/>
          <w:sz w:val="24"/>
          <w:szCs w:val="24"/>
        </w:rPr>
        <w:t>define property for purposes of section 25 comprehensively</w:t>
      </w:r>
      <w:r w:rsidRPr="00B17C11">
        <w:rPr>
          <w:rFonts w:ascii="Arial" w:hAnsi="Arial" w:cs="Arial"/>
          <w:sz w:val="24"/>
          <w:szCs w:val="24"/>
        </w:rPr>
        <w:t>.</w:t>
      </w:r>
      <w:r w:rsidRPr="00B17C11">
        <w:rPr>
          <w:rStyle w:val="FootnoteReference"/>
          <w:rFonts w:ascii="Arial" w:hAnsi="Arial" w:cs="Arial"/>
          <w:sz w:val="24"/>
          <w:szCs w:val="24"/>
        </w:rPr>
        <w:footnoteReference w:id="303"/>
      </w:r>
      <w:r w:rsidRPr="00B17C11">
        <w:rPr>
          <w:rFonts w:ascii="Arial" w:hAnsi="Arial" w:cs="Arial"/>
          <w:sz w:val="24"/>
          <w:szCs w:val="24"/>
        </w:rPr>
        <w:t xml:space="preserve"> </w:t>
      </w:r>
      <w:r w:rsidRPr="00B17C11">
        <w:rPr>
          <w:rFonts w:ascii="Arial" w:hAnsi="Arial" w:cs="Arial"/>
          <w:sz w:val="24"/>
          <w:szCs w:val="24"/>
          <w:lang w:val="en-GB"/>
        </w:rPr>
        <w:t xml:space="preserve">Van der Walt also stressed that the interpretation of section 25 could accommodate the notion of </w:t>
      </w:r>
      <w:proofErr w:type="spellStart"/>
      <w:r w:rsidRPr="00B17C11">
        <w:rPr>
          <w:rFonts w:ascii="Arial" w:hAnsi="Arial" w:cs="Arial"/>
          <w:sz w:val="24"/>
          <w:szCs w:val="24"/>
          <w:lang w:val="en-GB"/>
        </w:rPr>
        <w:t>dephysicalisation</w:t>
      </w:r>
      <w:proofErr w:type="spellEnd"/>
      <w:r w:rsidRPr="00B17C11">
        <w:rPr>
          <w:rFonts w:ascii="Arial" w:hAnsi="Arial" w:cs="Arial"/>
          <w:sz w:val="24"/>
          <w:szCs w:val="24"/>
          <w:lang w:val="en-GB"/>
        </w:rPr>
        <w:t xml:space="preserve"> of property – a recognition that certain </w:t>
      </w:r>
      <w:proofErr w:type="spellStart"/>
      <w:r w:rsidRPr="00B17C11">
        <w:rPr>
          <w:rFonts w:ascii="Arial" w:hAnsi="Arial" w:cs="Arial"/>
          <w:sz w:val="24"/>
          <w:szCs w:val="24"/>
          <w:lang w:val="en-GB"/>
        </w:rPr>
        <w:t>incorporeals</w:t>
      </w:r>
      <w:proofErr w:type="spellEnd"/>
      <w:r w:rsidRPr="00B17C11">
        <w:rPr>
          <w:rFonts w:ascii="Arial" w:hAnsi="Arial" w:cs="Arial"/>
          <w:sz w:val="24"/>
          <w:szCs w:val="24"/>
          <w:lang w:val="en-GB"/>
        </w:rPr>
        <w:t xml:space="preserve"> have progressively become more important and valuable in the modern day to the extent that they ought to be protected and treated as property.</w:t>
      </w:r>
      <w:r w:rsidRPr="00B17C11">
        <w:rPr>
          <w:rStyle w:val="FootnoteReference"/>
          <w:rFonts w:ascii="Arial" w:hAnsi="Arial" w:cs="Arial"/>
          <w:sz w:val="24"/>
          <w:szCs w:val="24"/>
          <w:lang w:val="en-GB"/>
        </w:rPr>
        <w:footnoteReference w:id="304"/>
      </w:r>
      <w:r w:rsidRPr="00B17C11">
        <w:rPr>
          <w:rFonts w:ascii="Arial" w:hAnsi="Arial" w:cs="Arial"/>
          <w:sz w:val="24"/>
          <w:szCs w:val="24"/>
          <w:lang w:val="en-GB"/>
        </w:rPr>
        <w:t xml:space="preserve"> </w:t>
      </w:r>
      <w:r w:rsidRPr="00B17C11">
        <w:rPr>
          <w:rFonts w:ascii="Arial" w:hAnsi="Arial" w:cs="Arial"/>
          <w:sz w:val="24"/>
          <w:szCs w:val="24"/>
        </w:rPr>
        <w:t>Pienaar also champions the view that constitutional property as objects of property rights should include incorporeal property, as already accepted in private law, case law, and legislation.</w:t>
      </w:r>
      <w:r w:rsidRPr="00B17C11">
        <w:rPr>
          <w:rStyle w:val="FootnoteReference"/>
          <w:rFonts w:ascii="Arial" w:hAnsi="Arial" w:cs="Arial"/>
          <w:sz w:val="24"/>
          <w:szCs w:val="24"/>
        </w:rPr>
        <w:footnoteReference w:id="305"/>
      </w:r>
    </w:p>
    <w:p w14:paraId="2E4BB571" w14:textId="7440B4E8" w:rsidR="00761FF4" w:rsidRPr="00B17C11" w:rsidRDefault="00761FF4" w:rsidP="00761FF4">
      <w:pPr>
        <w:spacing w:line="360" w:lineRule="auto"/>
        <w:jc w:val="both"/>
        <w:rPr>
          <w:rFonts w:ascii="Arial" w:hAnsi="Arial" w:cs="Arial"/>
          <w:sz w:val="24"/>
          <w:szCs w:val="24"/>
          <w:lang w:val="en-GB"/>
        </w:rPr>
      </w:pPr>
      <w:r w:rsidRPr="00B17C11">
        <w:rPr>
          <w:rFonts w:ascii="Arial" w:hAnsi="Arial" w:cs="Arial"/>
          <w:sz w:val="24"/>
          <w:szCs w:val="24"/>
          <w:lang w:val="en-GB"/>
        </w:rPr>
        <w:t xml:space="preserve">While it cannot be said that all incorporeal property interests are recognised as property in </w:t>
      </w:r>
      <w:r w:rsidR="00CA5786" w:rsidRPr="00B17C11">
        <w:rPr>
          <w:rFonts w:ascii="Arial" w:hAnsi="Arial" w:cs="Arial"/>
          <w:sz w:val="24"/>
          <w:szCs w:val="24"/>
          <w:lang w:val="en-GB"/>
        </w:rPr>
        <w:t xml:space="preserve">terms of </w:t>
      </w:r>
      <w:r w:rsidRPr="00B17C11">
        <w:rPr>
          <w:rFonts w:ascii="Arial" w:hAnsi="Arial" w:cs="Arial"/>
          <w:sz w:val="24"/>
          <w:szCs w:val="24"/>
          <w:lang w:val="en-GB"/>
        </w:rPr>
        <w:t xml:space="preserve">section 25, there is a strong argument advocating for </w:t>
      </w:r>
      <w:r w:rsidR="00CA5786" w:rsidRPr="00B17C11">
        <w:rPr>
          <w:rFonts w:ascii="Arial" w:hAnsi="Arial" w:cs="Arial"/>
          <w:sz w:val="24"/>
          <w:szCs w:val="24"/>
          <w:lang w:val="en-GB"/>
        </w:rPr>
        <w:t xml:space="preserve">the </w:t>
      </w:r>
      <w:r w:rsidRPr="00B17C11">
        <w:rPr>
          <w:rFonts w:ascii="Arial" w:hAnsi="Arial" w:cs="Arial"/>
          <w:sz w:val="24"/>
          <w:szCs w:val="24"/>
          <w:lang w:val="en-GB"/>
        </w:rPr>
        <w:t>constitutional recognition of incorporeal interests that have already been recognised as objects of property rights in private law. Van der Walt suggests that this proposition would subsume incorporeal immovable objects of registered limited real rights, intangible movable objects of limited real rights, and objects of protected intellectual property rights.</w:t>
      </w:r>
      <w:r w:rsidRPr="00B17C11">
        <w:rPr>
          <w:rStyle w:val="FootnoteReference"/>
          <w:rFonts w:ascii="Arial" w:hAnsi="Arial" w:cs="Arial"/>
          <w:sz w:val="24"/>
          <w:szCs w:val="24"/>
          <w:lang w:val="en-GB"/>
        </w:rPr>
        <w:footnoteReference w:id="306"/>
      </w:r>
    </w:p>
    <w:p w14:paraId="42E1EBF7" w14:textId="77777777" w:rsidR="00255733" w:rsidRPr="00B17C11" w:rsidRDefault="00255733" w:rsidP="00761FF4">
      <w:pPr>
        <w:spacing w:line="360" w:lineRule="auto"/>
        <w:jc w:val="both"/>
        <w:rPr>
          <w:rFonts w:ascii="Arial" w:hAnsi="Arial" w:cs="Arial"/>
          <w:sz w:val="24"/>
          <w:szCs w:val="24"/>
        </w:rPr>
      </w:pPr>
    </w:p>
    <w:p w14:paraId="297C883E" w14:textId="4C771BC2" w:rsidR="00761FF4" w:rsidRPr="00B17C11" w:rsidRDefault="00761FF4" w:rsidP="00255733">
      <w:pPr>
        <w:pStyle w:val="Heading2"/>
      </w:pPr>
      <w:bookmarkStart w:id="27" w:name="_Toc181339554"/>
      <w:r w:rsidRPr="00B17C11">
        <w:t>4.3</w:t>
      </w:r>
      <w:r w:rsidR="00255733" w:rsidRPr="00B17C11">
        <w:tab/>
      </w:r>
      <w:r w:rsidRPr="00B17C11">
        <w:rPr>
          <w:i/>
          <w:iCs/>
        </w:rPr>
        <w:t>Quasi</w:t>
      </w:r>
      <w:r w:rsidRPr="00B17C11">
        <w:t>-possession Cases after the Constitution</w:t>
      </w:r>
      <w:bookmarkEnd w:id="27"/>
    </w:p>
    <w:p w14:paraId="29838459" w14:textId="32F4A83F"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Chapter </w:t>
      </w:r>
      <w:r w:rsidR="00CA5786" w:rsidRPr="00B17C11">
        <w:rPr>
          <w:rFonts w:ascii="Arial" w:hAnsi="Arial" w:cs="Arial"/>
          <w:sz w:val="24"/>
          <w:szCs w:val="24"/>
        </w:rPr>
        <w:t>t</w:t>
      </w:r>
      <w:r w:rsidR="008D3168" w:rsidRPr="00B17C11">
        <w:rPr>
          <w:rFonts w:ascii="Arial" w:hAnsi="Arial" w:cs="Arial"/>
          <w:sz w:val="24"/>
          <w:szCs w:val="24"/>
        </w:rPr>
        <w:t>hree</w:t>
      </w:r>
      <w:r w:rsidRPr="00B17C11">
        <w:rPr>
          <w:rFonts w:ascii="Arial" w:hAnsi="Arial" w:cs="Arial"/>
          <w:sz w:val="24"/>
          <w:szCs w:val="24"/>
        </w:rPr>
        <w:t xml:space="preserve"> investigated the origins of </w:t>
      </w:r>
      <w:r w:rsidRPr="00B17C11">
        <w:rPr>
          <w:rFonts w:ascii="Arial" w:hAnsi="Arial" w:cs="Arial"/>
          <w:i/>
          <w:iCs/>
          <w:sz w:val="24"/>
          <w:szCs w:val="24"/>
        </w:rPr>
        <w:t>quasi</w:t>
      </w:r>
      <w:r w:rsidRPr="00B17C11">
        <w:rPr>
          <w:rFonts w:ascii="Arial" w:hAnsi="Arial" w:cs="Arial"/>
          <w:sz w:val="24"/>
          <w:szCs w:val="24"/>
        </w:rPr>
        <w:t xml:space="preserve">-possession and its application under the spoliation remedy before the </w:t>
      </w:r>
      <w:r w:rsidRPr="00B17C11">
        <w:rPr>
          <w:rFonts w:ascii="Arial" w:hAnsi="Arial" w:cs="Arial"/>
          <w:i/>
          <w:iCs/>
          <w:sz w:val="24"/>
          <w:szCs w:val="24"/>
        </w:rPr>
        <w:t>Constitution</w:t>
      </w:r>
      <w:r w:rsidRPr="00B17C11">
        <w:rPr>
          <w:rFonts w:ascii="Arial" w:hAnsi="Arial" w:cs="Arial"/>
          <w:sz w:val="24"/>
          <w:szCs w:val="24"/>
        </w:rPr>
        <w:t xml:space="preserve"> of 1996. This section studies the application of the spoliation remedy on</w:t>
      </w:r>
      <w:r w:rsidRPr="00B17C11">
        <w:rPr>
          <w:rFonts w:ascii="Arial" w:hAnsi="Arial" w:cs="Arial"/>
          <w:i/>
          <w:iCs/>
          <w:sz w:val="24"/>
          <w:szCs w:val="24"/>
        </w:rPr>
        <w:t xml:space="preserve"> quasi</w:t>
      </w:r>
      <w:r w:rsidRPr="00B17C11">
        <w:rPr>
          <w:rFonts w:ascii="Arial" w:hAnsi="Arial" w:cs="Arial"/>
          <w:sz w:val="24"/>
          <w:szCs w:val="24"/>
        </w:rPr>
        <w:t xml:space="preserve">-possession cases after the </w:t>
      </w:r>
      <w:r w:rsidRPr="00B17C11">
        <w:rPr>
          <w:rFonts w:ascii="Arial" w:hAnsi="Arial" w:cs="Arial"/>
          <w:i/>
          <w:iCs/>
          <w:sz w:val="24"/>
          <w:szCs w:val="24"/>
        </w:rPr>
        <w:t>Constitution</w:t>
      </w:r>
      <w:r w:rsidR="0060104B" w:rsidRPr="00B17C11">
        <w:rPr>
          <w:rFonts w:ascii="Arial" w:hAnsi="Arial" w:cs="Arial"/>
          <w:i/>
          <w:iCs/>
          <w:sz w:val="24"/>
          <w:szCs w:val="24"/>
        </w:rPr>
        <w:t xml:space="preserve"> </w:t>
      </w:r>
      <w:r w:rsidR="0060104B" w:rsidRPr="00B17C11">
        <w:rPr>
          <w:rFonts w:ascii="Arial" w:hAnsi="Arial" w:cs="Arial"/>
          <w:sz w:val="24"/>
          <w:szCs w:val="24"/>
        </w:rPr>
        <w:t>came into operation</w:t>
      </w:r>
      <w:r w:rsidRPr="00B17C11">
        <w:rPr>
          <w:rFonts w:ascii="Arial" w:hAnsi="Arial" w:cs="Arial"/>
          <w:sz w:val="24"/>
          <w:szCs w:val="24"/>
        </w:rPr>
        <w:t xml:space="preserve">. The focus of this research is limited to the spoliation of the </w:t>
      </w:r>
      <w:r w:rsidRPr="00B17C11">
        <w:rPr>
          <w:rFonts w:ascii="Arial" w:hAnsi="Arial" w:cs="Arial"/>
          <w:i/>
          <w:iCs/>
          <w:sz w:val="24"/>
          <w:szCs w:val="24"/>
        </w:rPr>
        <w:t>quasi</w:t>
      </w:r>
      <w:r w:rsidRPr="00B17C11">
        <w:rPr>
          <w:rFonts w:ascii="Arial" w:hAnsi="Arial" w:cs="Arial"/>
          <w:sz w:val="24"/>
          <w:szCs w:val="24"/>
        </w:rPr>
        <w:t>-possession of water and electricity supply. This is because acts of self-help often occur in cases where the supply of water and electricity is summarily terminated as opposed to other forms of property rights.</w:t>
      </w:r>
      <w:r w:rsidRPr="00B17C11">
        <w:rPr>
          <w:rStyle w:val="FootnoteReference"/>
          <w:rFonts w:ascii="Arial" w:hAnsi="Arial" w:cs="Arial"/>
          <w:sz w:val="24"/>
          <w:szCs w:val="24"/>
        </w:rPr>
        <w:footnoteReference w:id="307"/>
      </w:r>
      <w:r w:rsidRPr="00B17C11">
        <w:rPr>
          <w:rFonts w:ascii="Arial" w:hAnsi="Arial" w:cs="Arial"/>
          <w:sz w:val="24"/>
          <w:szCs w:val="24"/>
        </w:rPr>
        <w:t xml:space="preserve"> Additionally, the water and electricity supply informs or realises a dignified and humane occupation of residential premises.</w:t>
      </w:r>
      <w:r w:rsidRPr="00B17C11">
        <w:rPr>
          <w:rStyle w:val="FootnoteReference"/>
          <w:rFonts w:ascii="Arial" w:hAnsi="Arial" w:cs="Arial"/>
          <w:sz w:val="24"/>
          <w:szCs w:val="24"/>
        </w:rPr>
        <w:footnoteReference w:id="308"/>
      </w:r>
    </w:p>
    <w:p w14:paraId="35790B4C" w14:textId="77777777" w:rsidR="00761FF4" w:rsidRPr="00B17C11" w:rsidRDefault="00761FF4" w:rsidP="00255733">
      <w:pPr>
        <w:pStyle w:val="Heading3"/>
      </w:pPr>
      <w:bookmarkStart w:id="28" w:name="_Toc181339555"/>
      <w:r w:rsidRPr="00B17C11">
        <w:lastRenderedPageBreak/>
        <w:t>4.3.1 Statutory rights protectable under the spoliation remedy</w:t>
      </w:r>
      <w:bookmarkEnd w:id="28"/>
    </w:p>
    <w:p w14:paraId="7FB32897" w14:textId="6EE75951"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Even though courts have tended to investigate the merits of </w:t>
      </w:r>
      <w:r w:rsidR="0060104B" w:rsidRPr="00B17C11">
        <w:rPr>
          <w:rFonts w:ascii="Arial" w:hAnsi="Arial" w:cs="Arial"/>
          <w:sz w:val="24"/>
          <w:szCs w:val="24"/>
        </w:rPr>
        <w:t>a</w:t>
      </w:r>
      <w:r w:rsidRPr="00B17C11">
        <w:rPr>
          <w:rFonts w:ascii="Arial" w:hAnsi="Arial" w:cs="Arial"/>
          <w:sz w:val="24"/>
          <w:szCs w:val="24"/>
        </w:rPr>
        <w:t xml:space="preserve"> case, they have unanimously and consistently maintained that the spoliation remedy is not an appropriate remedy where contractual rights or specific performance of </w:t>
      </w:r>
      <w:r w:rsidR="0060104B" w:rsidRPr="00B17C11">
        <w:rPr>
          <w:rFonts w:ascii="Arial" w:hAnsi="Arial" w:cs="Arial"/>
          <w:sz w:val="24"/>
          <w:szCs w:val="24"/>
        </w:rPr>
        <w:t xml:space="preserve">a </w:t>
      </w:r>
      <w:r w:rsidRPr="00B17C11">
        <w:rPr>
          <w:rFonts w:ascii="Arial" w:hAnsi="Arial" w:cs="Arial"/>
          <w:sz w:val="24"/>
          <w:szCs w:val="24"/>
        </w:rPr>
        <w:t>contractual obligation is claimed.</w:t>
      </w:r>
      <w:r w:rsidRPr="00B17C11">
        <w:rPr>
          <w:rStyle w:val="FootnoteReference"/>
          <w:rFonts w:ascii="Arial" w:hAnsi="Arial" w:cs="Arial"/>
          <w:sz w:val="24"/>
          <w:szCs w:val="24"/>
        </w:rPr>
        <w:footnoteReference w:id="309"/>
      </w:r>
      <w:r w:rsidRPr="00B17C11">
        <w:rPr>
          <w:rFonts w:ascii="Arial" w:hAnsi="Arial" w:cs="Arial"/>
          <w:sz w:val="24"/>
          <w:szCs w:val="24"/>
        </w:rPr>
        <w:t xml:space="preserve"> Therefore, as a rule, the spoliation remedy cannot be used to claim personal rights.</w:t>
      </w:r>
      <w:r w:rsidRPr="00B17C11">
        <w:rPr>
          <w:rStyle w:val="FootnoteReference"/>
          <w:rFonts w:ascii="Arial" w:hAnsi="Arial" w:cs="Arial"/>
          <w:sz w:val="24"/>
          <w:szCs w:val="24"/>
        </w:rPr>
        <w:footnoteReference w:id="310"/>
      </w:r>
      <w:r w:rsidRPr="00B17C11">
        <w:rPr>
          <w:rFonts w:ascii="Arial" w:hAnsi="Arial" w:cs="Arial"/>
          <w:sz w:val="24"/>
          <w:szCs w:val="24"/>
        </w:rPr>
        <w:t xml:space="preserve"> An exception to this rule only arises when a personal right to the supply of water or electricity is an incident of possession of the thing, such that an interference with the personal right essentially amounts to an interference with the thing.</w:t>
      </w:r>
      <w:r w:rsidRPr="00B17C11">
        <w:rPr>
          <w:rStyle w:val="FootnoteReference"/>
          <w:rFonts w:ascii="Arial" w:hAnsi="Arial" w:cs="Arial"/>
          <w:sz w:val="24"/>
          <w:szCs w:val="24"/>
        </w:rPr>
        <w:footnoteReference w:id="311"/>
      </w:r>
      <w:r w:rsidRPr="00B17C11">
        <w:rPr>
          <w:rFonts w:ascii="Arial" w:hAnsi="Arial" w:cs="Arial"/>
          <w:sz w:val="24"/>
          <w:szCs w:val="24"/>
        </w:rPr>
        <w:t xml:space="preserve"> As a result, before the</w:t>
      </w:r>
      <w:r w:rsidR="0060104B" w:rsidRPr="00B17C11">
        <w:rPr>
          <w:rFonts w:ascii="Arial" w:hAnsi="Arial" w:cs="Arial"/>
          <w:sz w:val="24"/>
          <w:szCs w:val="24"/>
        </w:rPr>
        <w:t xml:space="preserve"> promulgation of the</w:t>
      </w:r>
      <w:r w:rsidRPr="00B17C11">
        <w:rPr>
          <w:rFonts w:ascii="Arial" w:hAnsi="Arial" w:cs="Arial"/>
          <w:sz w:val="24"/>
          <w:szCs w:val="24"/>
        </w:rPr>
        <w:t xml:space="preserve"> </w:t>
      </w:r>
      <w:r w:rsidRPr="00B17C11">
        <w:rPr>
          <w:rFonts w:ascii="Arial" w:hAnsi="Arial" w:cs="Arial"/>
          <w:i/>
          <w:iCs/>
          <w:sz w:val="24"/>
          <w:szCs w:val="24"/>
        </w:rPr>
        <w:t>Constitution of the Republic of South Africa</w:t>
      </w:r>
      <w:r w:rsidR="00793C78" w:rsidRPr="00B17C11">
        <w:rPr>
          <w:rFonts w:ascii="Arial" w:hAnsi="Arial" w:cs="Arial"/>
          <w:i/>
          <w:iCs/>
          <w:sz w:val="24"/>
          <w:szCs w:val="24"/>
        </w:rPr>
        <w:t xml:space="preserve">, </w:t>
      </w:r>
      <w:r w:rsidRPr="00B17C11">
        <w:rPr>
          <w:rFonts w:ascii="Arial" w:hAnsi="Arial" w:cs="Arial"/>
          <w:sz w:val="24"/>
          <w:szCs w:val="24"/>
        </w:rPr>
        <w:t xml:space="preserve">1996, only the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and non-</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found protection under the spoliation remedy.</w:t>
      </w:r>
      <w:r w:rsidRPr="00B17C11">
        <w:rPr>
          <w:rStyle w:val="FootnoteReference"/>
          <w:rFonts w:ascii="Arial" w:hAnsi="Arial" w:cs="Arial"/>
          <w:sz w:val="24"/>
          <w:szCs w:val="24"/>
        </w:rPr>
        <w:footnoteReference w:id="312"/>
      </w:r>
      <w:r w:rsidRPr="00B17C11">
        <w:rPr>
          <w:rFonts w:ascii="Arial" w:hAnsi="Arial" w:cs="Arial"/>
          <w:sz w:val="24"/>
          <w:szCs w:val="24"/>
        </w:rPr>
        <w:t xml:space="preserve"> The applicant only had to prove factual possession or actual use in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cases and an incident of possession in non-</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cases.</w:t>
      </w:r>
      <w:r w:rsidRPr="00B17C11">
        <w:rPr>
          <w:rStyle w:val="FootnoteReference"/>
          <w:rFonts w:ascii="Arial" w:hAnsi="Arial" w:cs="Arial"/>
          <w:sz w:val="24"/>
          <w:szCs w:val="24"/>
        </w:rPr>
        <w:footnoteReference w:id="313"/>
      </w:r>
      <w:r w:rsidRPr="00B17C11">
        <w:rPr>
          <w:rFonts w:ascii="Arial" w:hAnsi="Arial" w:cs="Arial"/>
          <w:sz w:val="24"/>
          <w:szCs w:val="24"/>
        </w:rPr>
        <w:t xml:space="preserve"> This position was changed due to the practice of determining the nature of the right to ensure that rights are not derived from contract.</w:t>
      </w:r>
    </w:p>
    <w:p w14:paraId="17291BB9" w14:textId="41A4006F"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While courts are correct to say that specific performance cannot be enforced under the guise of the spoliation remedy, such determination vicissitudes a contrary approach to normal principles of the spoliation remedy and causes confusion regarding the scope of rights protectable under the spoliation remedy.</w:t>
      </w:r>
    </w:p>
    <w:p w14:paraId="1F194D38" w14:textId="1397504E"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For instance, in </w:t>
      </w:r>
      <w:r w:rsidRPr="00B17C11">
        <w:rPr>
          <w:rFonts w:ascii="Arial" w:hAnsi="Arial" w:cs="Arial"/>
          <w:i/>
          <w:iCs/>
          <w:sz w:val="24"/>
          <w:szCs w:val="24"/>
        </w:rPr>
        <w:t>Impala Water Users Association v Lourens NO and Others,</w:t>
      </w:r>
      <w:r w:rsidRPr="00B17C11">
        <w:rPr>
          <w:rFonts w:ascii="Arial" w:hAnsi="Arial" w:cs="Arial"/>
          <w:sz w:val="24"/>
          <w:szCs w:val="24"/>
        </w:rPr>
        <w:t xml:space="preserve"> the </w:t>
      </w:r>
      <w:proofErr w:type="spellStart"/>
      <w:r w:rsidRPr="00B17C11">
        <w:rPr>
          <w:rFonts w:ascii="Arial" w:hAnsi="Arial" w:cs="Arial"/>
          <w:i/>
          <w:iCs/>
          <w:sz w:val="24"/>
          <w:szCs w:val="24"/>
        </w:rPr>
        <w:t>spoliatus</w:t>
      </w:r>
      <w:proofErr w:type="spellEnd"/>
      <w:r w:rsidRPr="00B17C11">
        <w:rPr>
          <w:rFonts w:ascii="Arial" w:hAnsi="Arial" w:cs="Arial"/>
          <w:i/>
          <w:iCs/>
          <w:sz w:val="24"/>
          <w:szCs w:val="24"/>
        </w:rPr>
        <w:t xml:space="preserve"> </w:t>
      </w:r>
      <w:r w:rsidRPr="00B17C11">
        <w:rPr>
          <w:rFonts w:ascii="Arial" w:hAnsi="Arial" w:cs="Arial"/>
          <w:sz w:val="24"/>
          <w:szCs w:val="24"/>
        </w:rPr>
        <w:t>appealed against the decision of the High Court, where an order was made directing the restoration of the flow of water to farms owned by respondents. The respondents were formal members and water users under the Impala Water Irrigation Board</w:t>
      </w:r>
      <w:r w:rsidR="00A650C5" w:rsidRPr="00B17C11">
        <w:rPr>
          <w:rFonts w:ascii="Arial" w:hAnsi="Arial" w:cs="Arial"/>
          <w:sz w:val="24"/>
          <w:szCs w:val="24"/>
        </w:rPr>
        <w:t>. They</w:t>
      </w:r>
      <w:r w:rsidRPr="00B17C11">
        <w:rPr>
          <w:rFonts w:ascii="Arial" w:hAnsi="Arial" w:cs="Arial"/>
          <w:sz w:val="24"/>
          <w:szCs w:val="24"/>
        </w:rPr>
        <w:t xml:space="preserve"> had obtained registration for irrigation in terms of section 88 of the </w:t>
      </w:r>
      <w:r w:rsidRPr="00B17C11">
        <w:rPr>
          <w:rFonts w:ascii="Arial" w:hAnsi="Arial" w:cs="Arial"/>
          <w:i/>
          <w:iCs/>
          <w:sz w:val="24"/>
          <w:szCs w:val="24"/>
        </w:rPr>
        <w:t>Water Act</w:t>
      </w:r>
      <w:r w:rsidRPr="00B17C11">
        <w:rPr>
          <w:rFonts w:ascii="Arial" w:hAnsi="Arial" w:cs="Arial"/>
          <w:sz w:val="24"/>
          <w:szCs w:val="24"/>
        </w:rPr>
        <w:t xml:space="preserve"> 54 of 1956, which was later repealed by the </w:t>
      </w:r>
      <w:r w:rsidRPr="00B17C11">
        <w:rPr>
          <w:rFonts w:ascii="Arial" w:hAnsi="Arial" w:cs="Arial"/>
          <w:i/>
          <w:iCs/>
          <w:sz w:val="24"/>
          <w:szCs w:val="24"/>
        </w:rPr>
        <w:t>National Water Act</w:t>
      </w:r>
      <w:r w:rsidRPr="00B17C11">
        <w:rPr>
          <w:rFonts w:ascii="Arial" w:hAnsi="Arial" w:cs="Arial"/>
          <w:sz w:val="24"/>
          <w:szCs w:val="24"/>
        </w:rPr>
        <w:t xml:space="preserve"> 36 of 1998.</w:t>
      </w:r>
      <w:r w:rsidRPr="00B17C11">
        <w:rPr>
          <w:rStyle w:val="FootnoteReference"/>
          <w:rFonts w:ascii="Arial" w:hAnsi="Arial" w:cs="Arial"/>
          <w:sz w:val="24"/>
          <w:szCs w:val="24"/>
        </w:rPr>
        <w:footnoteReference w:id="314"/>
      </w:r>
    </w:p>
    <w:p w14:paraId="28B41BFC" w14:textId="74F31E00"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lastRenderedPageBreak/>
        <w:t xml:space="preserve">When the Impala Irrigation Board (appellant) was declared a Water User Association under section 98(6)(a) of the </w:t>
      </w:r>
      <w:r w:rsidRPr="00B17C11">
        <w:rPr>
          <w:rFonts w:ascii="Arial" w:hAnsi="Arial" w:cs="Arial"/>
          <w:i/>
          <w:iCs/>
          <w:sz w:val="24"/>
          <w:szCs w:val="24"/>
        </w:rPr>
        <w:t>National Water Act</w:t>
      </w:r>
      <w:r w:rsidRPr="00B17C11">
        <w:rPr>
          <w:rFonts w:ascii="Arial" w:hAnsi="Arial" w:cs="Arial"/>
          <w:sz w:val="24"/>
          <w:szCs w:val="24"/>
        </w:rPr>
        <w:t xml:space="preserve"> 36 of 1998, the respondents automatically became members under para 7.2a of its </w:t>
      </w:r>
      <w:r w:rsidR="00793C78" w:rsidRPr="00B17C11">
        <w:rPr>
          <w:rFonts w:ascii="Arial" w:hAnsi="Arial" w:cs="Arial"/>
          <w:sz w:val="24"/>
          <w:szCs w:val="24"/>
        </w:rPr>
        <w:t>Constitution</w:t>
      </w:r>
      <w:r w:rsidRPr="00B17C11">
        <w:rPr>
          <w:rFonts w:ascii="Arial" w:hAnsi="Arial" w:cs="Arial"/>
          <w:sz w:val="24"/>
          <w:szCs w:val="24"/>
        </w:rPr>
        <w:t>.</w:t>
      </w:r>
      <w:r w:rsidRPr="00B17C11">
        <w:rPr>
          <w:rStyle w:val="FootnoteReference"/>
          <w:rFonts w:ascii="Arial" w:hAnsi="Arial" w:cs="Arial"/>
          <w:sz w:val="24"/>
          <w:szCs w:val="24"/>
        </w:rPr>
        <w:footnoteReference w:id="315"/>
      </w:r>
      <w:r w:rsidRPr="00B17C11">
        <w:rPr>
          <w:rFonts w:ascii="Arial" w:hAnsi="Arial" w:cs="Arial"/>
          <w:sz w:val="24"/>
          <w:szCs w:val="24"/>
        </w:rPr>
        <w:t xml:space="preserve"> However, a dispute arose between the appellant and respondents regarding the legality of the water charge increase in connection with the cost of financing the construction of a dam. The appellant instituted a suit against respondents to recover alleged amounts of a dam-financing component from the water charge. This suit was still pending when the appellant exercised its powers in section 59(3)(b) of the </w:t>
      </w:r>
      <w:r w:rsidRPr="00B17C11">
        <w:rPr>
          <w:rFonts w:ascii="Arial" w:hAnsi="Arial" w:cs="Arial"/>
          <w:i/>
          <w:iCs/>
          <w:sz w:val="24"/>
          <w:szCs w:val="24"/>
        </w:rPr>
        <w:t>National Water Act</w:t>
      </w:r>
      <w:r w:rsidRPr="00B17C11">
        <w:rPr>
          <w:rFonts w:ascii="Arial" w:hAnsi="Arial" w:cs="Arial"/>
          <w:sz w:val="24"/>
          <w:szCs w:val="24"/>
        </w:rPr>
        <w:t xml:space="preserve"> to restrict the flow of water to farms owned by respondents.</w:t>
      </w:r>
      <w:r w:rsidRPr="00B17C11">
        <w:rPr>
          <w:rStyle w:val="FootnoteReference"/>
          <w:rFonts w:ascii="Arial" w:hAnsi="Arial" w:cs="Arial"/>
          <w:sz w:val="24"/>
          <w:szCs w:val="24"/>
        </w:rPr>
        <w:footnoteReference w:id="316"/>
      </w:r>
    </w:p>
    <w:p w14:paraId="20A266B2" w14:textId="066B32A4"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respondents approached the court for an order of spoliation. They argued that the appellant had the </w:t>
      </w:r>
      <w:r w:rsidRPr="00B17C11">
        <w:rPr>
          <w:rFonts w:ascii="Arial" w:hAnsi="Arial" w:cs="Arial"/>
          <w:i/>
          <w:iCs/>
          <w:sz w:val="24"/>
          <w:szCs w:val="24"/>
        </w:rPr>
        <w:t>onus</w:t>
      </w:r>
      <w:r w:rsidRPr="00B17C11">
        <w:rPr>
          <w:rFonts w:ascii="Arial" w:hAnsi="Arial" w:cs="Arial"/>
          <w:sz w:val="24"/>
          <w:szCs w:val="24"/>
        </w:rPr>
        <w:t xml:space="preserve"> to prove that its actions in interfering with the water supply fell strictly and squarely within the ambit of the authorising statute in section 59(3)(b).</w:t>
      </w:r>
      <w:r w:rsidRPr="00B17C11">
        <w:rPr>
          <w:rStyle w:val="FootnoteReference"/>
          <w:rFonts w:ascii="Arial" w:hAnsi="Arial" w:cs="Arial"/>
          <w:sz w:val="24"/>
          <w:szCs w:val="24"/>
        </w:rPr>
        <w:footnoteReference w:id="317"/>
      </w:r>
      <w:r w:rsidRPr="00B17C11">
        <w:rPr>
          <w:rFonts w:ascii="Arial" w:hAnsi="Arial" w:cs="Arial"/>
          <w:sz w:val="24"/>
          <w:szCs w:val="24"/>
        </w:rPr>
        <w:t xml:space="preserve"> They relied on the decision of the court in </w:t>
      </w:r>
      <w:r w:rsidRPr="00B17C11">
        <w:rPr>
          <w:rFonts w:ascii="Arial" w:hAnsi="Arial" w:cs="Arial"/>
          <w:i/>
          <w:iCs/>
          <w:sz w:val="24"/>
          <w:szCs w:val="24"/>
        </w:rPr>
        <w:t>George Municipality v Vena and Another</w:t>
      </w:r>
      <w:r w:rsidRPr="00B17C11">
        <w:rPr>
          <w:rFonts w:ascii="Arial" w:hAnsi="Arial" w:cs="Arial"/>
          <w:sz w:val="24"/>
          <w:szCs w:val="24"/>
        </w:rPr>
        <w:t xml:space="preserve">, where it was held that the </w:t>
      </w:r>
      <w:r w:rsidRPr="00B17C11">
        <w:rPr>
          <w:rFonts w:ascii="Arial" w:hAnsi="Arial" w:cs="Arial"/>
          <w:i/>
          <w:iCs/>
          <w:sz w:val="24"/>
          <w:szCs w:val="24"/>
        </w:rPr>
        <w:t>onus</w:t>
      </w:r>
      <w:r w:rsidRPr="00B17C11">
        <w:rPr>
          <w:rFonts w:ascii="Arial" w:hAnsi="Arial" w:cs="Arial"/>
          <w:sz w:val="24"/>
          <w:szCs w:val="24"/>
        </w:rPr>
        <w:t xml:space="preserve"> lies with the dispossessor who has deprived another of possession without recourse to </w:t>
      </w:r>
      <w:r w:rsidR="00A650C5" w:rsidRPr="00B17C11">
        <w:rPr>
          <w:rFonts w:ascii="Arial" w:hAnsi="Arial" w:cs="Arial"/>
          <w:sz w:val="24"/>
          <w:szCs w:val="24"/>
        </w:rPr>
        <w:t xml:space="preserve">the </w:t>
      </w:r>
      <w:r w:rsidRPr="00B17C11">
        <w:rPr>
          <w:rFonts w:ascii="Arial" w:hAnsi="Arial" w:cs="Arial"/>
          <w:sz w:val="24"/>
          <w:szCs w:val="24"/>
        </w:rPr>
        <w:t>law under the purported exercise of the statutory power to prove that his actions were in accordance with the relevant authorising statute.</w:t>
      </w:r>
      <w:r w:rsidRPr="00B17C11">
        <w:rPr>
          <w:rStyle w:val="FootnoteReference"/>
          <w:rFonts w:ascii="Arial" w:hAnsi="Arial" w:cs="Arial"/>
          <w:sz w:val="24"/>
          <w:szCs w:val="24"/>
        </w:rPr>
        <w:footnoteReference w:id="318"/>
      </w:r>
      <w:r w:rsidRPr="00B17C11">
        <w:rPr>
          <w:rFonts w:ascii="Arial" w:hAnsi="Arial" w:cs="Arial"/>
          <w:sz w:val="24"/>
          <w:szCs w:val="24"/>
        </w:rPr>
        <w:t xml:space="preserve"> The respondents pointed out that the appellant failed to discharge the </w:t>
      </w:r>
      <w:r w:rsidRPr="00B17C11">
        <w:rPr>
          <w:rFonts w:ascii="Arial" w:hAnsi="Arial" w:cs="Arial"/>
          <w:i/>
          <w:iCs/>
          <w:sz w:val="24"/>
          <w:szCs w:val="24"/>
        </w:rPr>
        <w:t>onus</w:t>
      </w:r>
      <w:r w:rsidRPr="00B17C11">
        <w:rPr>
          <w:rFonts w:ascii="Arial" w:hAnsi="Arial" w:cs="Arial"/>
          <w:sz w:val="24"/>
          <w:szCs w:val="24"/>
        </w:rPr>
        <w:t xml:space="preserve"> that it can rely on section 59(3)(b) because, at the time of this proceedings, the suit to determine whether the unpaid portion of the water use charge is legally due was under review and the subject of</w:t>
      </w:r>
      <w:r w:rsidR="0060104B" w:rsidRPr="00B17C11">
        <w:rPr>
          <w:rFonts w:ascii="Arial" w:hAnsi="Arial" w:cs="Arial"/>
          <w:sz w:val="24"/>
          <w:szCs w:val="24"/>
        </w:rPr>
        <w:t xml:space="preserve"> a</w:t>
      </w:r>
      <w:r w:rsidRPr="00B17C11">
        <w:rPr>
          <w:rFonts w:ascii="Arial" w:hAnsi="Arial" w:cs="Arial"/>
          <w:sz w:val="24"/>
          <w:szCs w:val="24"/>
        </w:rPr>
        <w:t xml:space="preserve"> defended action between the appellant and respondents.</w:t>
      </w:r>
      <w:r w:rsidRPr="00B17C11">
        <w:rPr>
          <w:rStyle w:val="FootnoteReference"/>
          <w:rFonts w:ascii="Arial" w:hAnsi="Arial" w:cs="Arial"/>
          <w:sz w:val="24"/>
          <w:szCs w:val="24"/>
        </w:rPr>
        <w:footnoteReference w:id="319"/>
      </w:r>
    </w:p>
    <w:p w14:paraId="114A6D78" w14:textId="74823970"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appellant based its case on </w:t>
      </w:r>
      <w:r w:rsidRPr="00B17C11">
        <w:rPr>
          <w:rFonts w:ascii="Arial" w:hAnsi="Arial" w:cs="Arial"/>
          <w:i/>
          <w:iCs/>
          <w:sz w:val="24"/>
          <w:szCs w:val="24"/>
        </w:rPr>
        <w:t xml:space="preserve">Telkom SA Ltd v </w:t>
      </w:r>
      <w:proofErr w:type="spellStart"/>
      <w:r w:rsidRPr="00B17C11">
        <w:rPr>
          <w:rFonts w:ascii="Arial" w:hAnsi="Arial" w:cs="Arial"/>
          <w:i/>
          <w:iCs/>
          <w:sz w:val="24"/>
          <w:szCs w:val="24"/>
        </w:rPr>
        <w:t>Xsinet</w:t>
      </w:r>
      <w:proofErr w:type="spellEnd"/>
      <w:r w:rsidRPr="00B17C11">
        <w:rPr>
          <w:rFonts w:ascii="Arial" w:hAnsi="Arial" w:cs="Arial"/>
          <w:i/>
          <w:iCs/>
          <w:sz w:val="24"/>
          <w:szCs w:val="24"/>
        </w:rPr>
        <w:t xml:space="preserve"> (Pty) Ltd</w:t>
      </w:r>
      <w:r w:rsidRPr="00B17C11">
        <w:rPr>
          <w:rFonts w:ascii="Arial" w:hAnsi="Arial" w:cs="Arial"/>
          <w:sz w:val="24"/>
          <w:szCs w:val="24"/>
        </w:rPr>
        <w:t xml:space="preserve"> to argue that the respondents’ rights to draw water were not protectable under the spoliation remedy because they were personal in nature and originated from a contract.</w:t>
      </w:r>
      <w:r w:rsidRPr="00B17C11">
        <w:rPr>
          <w:rStyle w:val="FootnoteReference"/>
          <w:rFonts w:ascii="Arial" w:hAnsi="Arial" w:cs="Arial"/>
          <w:sz w:val="24"/>
          <w:szCs w:val="24"/>
        </w:rPr>
        <w:footnoteReference w:id="320"/>
      </w:r>
      <w:r w:rsidRPr="00B17C11">
        <w:rPr>
          <w:rFonts w:ascii="Arial" w:hAnsi="Arial" w:cs="Arial"/>
          <w:sz w:val="24"/>
          <w:szCs w:val="24"/>
        </w:rPr>
        <w:t xml:space="preserve"> Therefore, the </w:t>
      </w:r>
      <w:r w:rsidRPr="00B17C11">
        <w:rPr>
          <w:rFonts w:ascii="Arial" w:hAnsi="Arial" w:cs="Arial"/>
          <w:sz w:val="24"/>
          <w:szCs w:val="24"/>
        </w:rPr>
        <w:lastRenderedPageBreak/>
        <w:t xml:space="preserve">respondents, as members of the Water Users Association, acquired the privilege of receiving water in exchange for performing membership obligations, such as the payment of water charges raised by </w:t>
      </w:r>
      <w:r w:rsidR="00A650C5" w:rsidRPr="00B17C11">
        <w:rPr>
          <w:rFonts w:ascii="Arial" w:hAnsi="Arial" w:cs="Arial"/>
          <w:sz w:val="24"/>
          <w:szCs w:val="24"/>
        </w:rPr>
        <w:t xml:space="preserve">the </w:t>
      </w:r>
      <w:r w:rsidRPr="00B17C11">
        <w:rPr>
          <w:rFonts w:ascii="Arial" w:hAnsi="Arial" w:cs="Arial"/>
          <w:sz w:val="24"/>
          <w:szCs w:val="24"/>
        </w:rPr>
        <w:t>appellant.</w:t>
      </w:r>
      <w:r w:rsidRPr="00B17C11">
        <w:rPr>
          <w:rStyle w:val="FootnoteReference"/>
          <w:rFonts w:ascii="Arial" w:hAnsi="Arial" w:cs="Arial"/>
          <w:sz w:val="24"/>
          <w:szCs w:val="24"/>
        </w:rPr>
        <w:footnoteReference w:id="321"/>
      </w:r>
      <w:r w:rsidRPr="00B17C11">
        <w:rPr>
          <w:rFonts w:ascii="Arial" w:hAnsi="Arial" w:cs="Arial"/>
          <w:sz w:val="24"/>
          <w:szCs w:val="24"/>
        </w:rPr>
        <w:t xml:space="preserve"> The court rejected this argument and held that the respondents’ right to draw water w</w:t>
      </w:r>
      <w:r w:rsidR="00A650C5" w:rsidRPr="00B17C11">
        <w:rPr>
          <w:rFonts w:ascii="Arial" w:hAnsi="Arial" w:cs="Arial"/>
          <w:sz w:val="24"/>
          <w:szCs w:val="24"/>
        </w:rPr>
        <w:t>as</w:t>
      </w:r>
      <w:r w:rsidRPr="00B17C11">
        <w:rPr>
          <w:rFonts w:ascii="Arial" w:hAnsi="Arial" w:cs="Arial"/>
          <w:sz w:val="24"/>
          <w:szCs w:val="24"/>
        </w:rPr>
        <w:t xml:space="preserve"> not personal or contractual. The court pointed out that the respondents were entitled to rights under the previous </w:t>
      </w:r>
      <w:r w:rsidRPr="00B17C11">
        <w:rPr>
          <w:rFonts w:ascii="Arial" w:hAnsi="Arial" w:cs="Arial"/>
          <w:i/>
          <w:iCs/>
          <w:sz w:val="24"/>
          <w:szCs w:val="24"/>
        </w:rPr>
        <w:t>Water Act</w:t>
      </w:r>
      <w:r w:rsidRPr="00B17C11">
        <w:rPr>
          <w:rFonts w:ascii="Arial" w:hAnsi="Arial" w:cs="Arial"/>
          <w:sz w:val="24"/>
          <w:szCs w:val="24"/>
        </w:rPr>
        <w:t xml:space="preserve"> 54 of 1956, which were registered for irrigation under section 88 of the Act.</w:t>
      </w:r>
      <w:r w:rsidRPr="00B17C11">
        <w:rPr>
          <w:rStyle w:val="FootnoteReference"/>
          <w:rFonts w:ascii="Arial" w:hAnsi="Arial" w:cs="Arial"/>
          <w:sz w:val="24"/>
          <w:szCs w:val="24"/>
        </w:rPr>
        <w:footnoteReference w:id="322"/>
      </w:r>
      <w:r w:rsidRPr="00B17C11">
        <w:rPr>
          <w:rFonts w:ascii="Arial" w:hAnsi="Arial" w:cs="Arial"/>
          <w:sz w:val="24"/>
          <w:szCs w:val="24"/>
        </w:rPr>
        <w:t xml:space="preserve"> Moreover, the court held that rights flowing from statute cannot be described as personal rights originating from contract.</w:t>
      </w:r>
      <w:r w:rsidRPr="00B17C11">
        <w:rPr>
          <w:rStyle w:val="FootnoteReference"/>
          <w:rFonts w:ascii="Arial" w:hAnsi="Arial" w:cs="Arial"/>
          <w:sz w:val="24"/>
          <w:szCs w:val="24"/>
        </w:rPr>
        <w:footnoteReference w:id="323"/>
      </w:r>
      <w:r w:rsidRPr="00B17C11">
        <w:rPr>
          <w:rFonts w:ascii="Arial" w:hAnsi="Arial" w:cs="Arial"/>
          <w:sz w:val="24"/>
          <w:szCs w:val="24"/>
        </w:rPr>
        <w:t xml:space="preserve"> Finally, the court agreed with the High Court’s judgment that the respondents’ </w:t>
      </w:r>
      <w:r w:rsidRPr="00B17C11">
        <w:rPr>
          <w:rFonts w:ascii="Arial" w:hAnsi="Arial" w:cs="Arial"/>
          <w:i/>
          <w:iCs/>
          <w:sz w:val="24"/>
          <w:szCs w:val="24"/>
        </w:rPr>
        <w:t>quasi</w:t>
      </w:r>
      <w:r w:rsidRPr="00B17C11">
        <w:rPr>
          <w:rFonts w:ascii="Arial" w:hAnsi="Arial" w:cs="Arial"/>
          <w:sz w:val="24"/>
          <w:szCs w:val="24"/>
        </w:rPr>
        <w:t>-possession right to draw water was spoliated</w:t>
      </w:r>
      <w:r w:rsidR="0060104B" w:rsidRPr="00B17C11">
        <w:rPr>
          <w:rFonts w:ascii="Arial" w:hAnsi="Arial" w:cs="Arial"/>
          <w:sz w:val="24"/>
          <w:szCs w:val="24"/>
        </w:rPr>
        <w:t xml:space="preserve"> and</w:t>
      </w:r>
      <w:r w:rsidR="00A650C5" w:rsidRPr="00B17C11">
        <w:rPr>
          <w:rFonts w:ascii="Arial" w:hAnsi="Arial" w:cs="Arial"/>
          <w:sz w:val="24"/>
          <w:szCs w:val="24"/>
        </w:rPr>
        <w:t xml:space="preserve"> </w:t>
      </w:r>
      <w:r w:rsidR="0060104B" w:rsidRPr="00B17C11">
        <w:rPr>
          <w:rFonts w:ascii="Arial" w:hAnsi="Arial" w:cs="Arial"/>
          <w:sz w:val="24"/>
          <w:szCs w:val="24"/>
        </w:rPr>
        <w:t>t</w:t>
      </w:r>
      <w:r w:rsidRPr="00B17C11">
        <w:rPr>
          <w:rFonts w:ascii="Arial" w:hAnsi="Arial" w:cs="Arial"/>
          <w:sz w:val="24"/>
          <w:szCs w:val="24"/>
        </w:rPr>
        <w:t>hat section 59(3) could only be invoked when the water charge was legally payable.</w:t>
      </w:r>
      <w:r w:rsidRPr="00B17C11">
        <w:rPr>
          <w:rStyle w:val="FootnoteReference"/>
          <w:rFonts w:ascii="Arial" w:hAnsi="Arial" w:cs="Arial"/>
          <w:sz w:val="24"/>
          <w:szCs w:val="24"/>
        </w:rPr>
        <w:footnoteReference w:id="324"/>
      </w:r>
    </w:p>
    <w:p w14:paraId="6F564DE9" w14:textId="42E27AD1"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In </w:t>
      </w:r>
      <w:r w:rsidRPr="00B17C11">
        <w:rPr>
          <w:rFonts w:ascii="Arial" w:hAnsi="Arial" w:cs="Arial"/>
          <w:i/>
          <w:iCs/>
          <w:sz w:val="24"/>
          <w:szCs w:val="24"/>
        </w:rPr>
        <w:t>FirstRand Ltd t/a Rand Merchant Bank and Another v Scholtz NO and Others</w:t>
      </w:r>
      <w:r w:rsidRPr="00B17C11">
        <w:rPr>
          <w:rFonts w:ascii="Arial" w:hAnsi="Arial" w:cs="Arial"/>
          <w:sz w:val="24"/>
          <w:szCs w:val="24"/>
        </w:rPr>
        <w:t xml:space="preserve">, the respondents were members of the Water User Association, previously known as the Blyde River Irrigation Board. The Association supplied water to respondents through a canal system, which later became inefficient and led to the construction of an irrigation network by means of a pipeline. </w:t>
      </w:r>
      <w:r w:rsidR="00CB53B8" w:rsidRPr="00B17C11">
        <w:rPr>
          <w:rFonts w:ascii="Arial" w:hAnsi="Arial" w:cs="Arial"/>
          <w:sz w:val="24"/>
          <w:szCs w:val="24"/>
        </w:rPr>
        <w:t>An</w:t>
      </w:r>
      <w:r w:rsidRPr="00B17C11">
        <w:rPr>
          <w:rFonts w:ascii="Arial" w:hAnsi="Arial" w:cs="Arial"/>
          <w:sz w:val="24"/>
          <w:szCs w:val="24"/>
        </w:rPr>
        <w:t xml:space="preserve"> agreement was reached between the Association and FirstRand in terms of which the Association would oversee the construction of the pipeline as an agent for the partnership and lease completed works against periodic rental payments.</w:t>
      </w:r>
      <w:r w:rsidRPr="00B17C11">
        <w:rPr>
          <w:rStyle w:val="FootnoteReference"/>
          <w:rFonts w:ascii="Arial" w:hAnsi="Arial" w:cs="Arial"/>
          <w:sz w:val="24"/>
          <w:szCs w:val="24"/>
        </w:rPr>
        <w:footnoteReference w:id="325"/>
      </w:r>
      <w:r w:rsidRPr="00B17C11">
        <w:rPr>
          <w:rFonts w:ascii="Arial" w:hAnsi="Arial" w:cs="Arial"/>
          <w:sz w:val="24"/>
          <w:szCs w:val="24"/>
        </w:rPr>
        <w:t xml:space="preserve"> However, the Association withdrew from the project, and FirstRand resolved to complete the project as the principal.</w:t>
      </w:r>
      <w:r w:rsidRPr="00B17C11">
        <w:rPr>
          <w:rStyle w:val="FootnoteReference"/>
          <w:rFonts w:ascii="Arial" w:hAnsi="Arial" w:cs="Arial"/>
          <w:sz w:val="24"/>
          <w:szCs w:val="24"/>
        </w:rPr>
        <w:footnoteReference w:id="326"/>
      </w:r>
    </w:p>
    <w:p w14:paraId="5CF7E21F" w14:textId="2371EF2D"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FirstRand delegated the control and maintenance of the pipeline to Blyde River Water Utility Co Pty Ltd, its subsidiary company, and the second appellant.</w:t>
      </w:r>
      <w:r w:rsidRPr="00B17C11">
        <w:rPr>
          <w:rStyle w:val="FootnoteReference"/>
          <w:rFonts w:ascii="Arial" w:hAnsi="Arial" w:cs="Arial"/>
          <w:sz w:val="24"/>
          <w:szCs w:val="24"/>
        </w:rPr>
        <w:footnoteReference w:id="327"/>
      </w:r>
      <w:r w:rsidRPr="00B17C11">
        <w:rPr>
          <w:rFonts w:ascii="Arial" w:hAnsi="Arial" w:cs="Arial"/>
          <w:sz w:val="24"/>
          <w:szCs w:val="24"/>
        </w:rPr>
        <w:t xml:space="preserve"> In January 2004, Blyde River Utility Co Pty Ltd </w:t>
      </w:r>
      <w:r w:rsidR="00A650C5" w:rsidRPr="00B17C11">
        <w:rPr>
          <w:rFonts w:ascii="Arial" w:hAnsi="Arial" w:cs="Arial"/>
          <w:sz w:val="24"/>
          <w:szCs w:val="24"/>
        </w:rPr>
        <w:t>agreed</w:t>
      </w:r>
      <w:r w:rsidRPr="00B17C11">
        <w:rPr>
          <w:rFonts w:ascii="Arial" w:hAnsi="Arial" w:cs="Arial"/>
          <w:sz w:val="24"/>
          <w:szCs w:val="24"/>
        </w:rPr>
        <w:t xml:space="preserve"> with respondents to convey water through the pipeline to their properties against a payment of a fee until 31 December 2004.</w:t>
      </w:r>
      <w:r w:rsidRPr="00B17C11">
        <w:rPr>
          <w:rStyle w:val="FootnoteReference"/>
          <w:rFonts w:ascii="Arial" w:hAnsi="Arial" w:cs="Arial"/>
          <w:sz w:val="24"/>
          <w:szCs w:val="24"/>
        </w:rPr>
        <w:footnoteReference w:id="328"/>
      </w:r>
      <w:r w:rsidRPr="00B17C11">
        <w:rPr>
          <w:rFonts w:ascii="Arial" w:hAnsi="Arial" w:cs="Arial"/>
          <w:sz w:val="24"/>
          <w:szCs w:val="24"/>
        </w:rPr>
        <w:t xml:space="preserve"> When a dispute arose regarding a fee payable for the conveyance of water in 2005, </w:t>
      </w:r>
      <w:r w:rsidRPr="00B17C11">
        <w:rPr>
          <w:rFonts w:ascii="Arial" w:hAnsi="Arial" w:cs="Arial"/>
          <w:sz w:val="24"/>
          <w:szCs w:val="24"/>
        </w:rPr>
        <w:lastRenderedPageBreak/>
        <w:t>the appellant terminated the flow of water to properties owned by respondents.</w:t>
      </w:r>
      <w:r w:rsidRPr="00B17C11">
        <w:rPr>
          <w:rStyle w:val="FootnoteReference"/>
          <w:rFonts w:ascii="Arial" w:hAnsi="Arial" w:cs="Arial"/>
          <w:sz w:val="24"/>
          <w:szCs w:val="24"/>
        </w:rPr>
        <w:footnoteReference w:id="329"/>
      </w:r>
      <w:r w:rsidRPr="00B17C11">
        <w:rPr>
          <w:rFonts w:ascii="Arial" w:hAnsi="Arial" w:cs="Arial"/>
          <w:sz w:val="24"/>
          <w:szCs w:val="24"/>
        </w:rPr>
        <w:t xml:space="preserve"> The respondents alleged that their right to draw water originated in the repealed </w:t>
      </w:r>
      <w:r w:rsidRPr="00B17C11">
        <w:rPr>
          <w:rFonts w:ascii="Arial" w:hAnsi="Arial" w:cs="Arial"/>
          <w:i/>
          <w:iCs/>
          <w:sz w:val="24"/>
          <w:szCs w:val="24"/>
        </w:rPr>
        <w:t>Water Act</w:t>
      </w:r>
      <w:r w:rsidRPr="00B17C11">
        <w:rPr>
          <w:rFonts w:ascii="Arial" w:hAnsi="Arial" w:cs="Arial"/>
          <w:sz w:val="24"/>
          <w:szCs w:val="24"/>
        </w:rPr>
        <w:t xml:space="preserve"> 54 of 1956, which rights were subsumed into rights under the </w:t>
      </w:r>
      <w:r w:rsidRPr="00B17C11">
        <w:rPr>
          <w:rFonts w:ascii="Arial" w:hAnsi="Arial" w:cs="Arial"/>
          <w:i/>
          <w:iCs/>
          <w:sz w:val="24"/>
          <w:szCs w:val="24"/>
        </w:rPr>
        <w:t>National Water Act</w:t>
      </w:r>
      <w:r w:rsidRPr="00B17C11">
        <w:rPr>
          <w:rFonts w:ascii="Arial" w:hAnsi="Arial" w:cs="Arial"/>
          <w:sz w:val="24"/>
          <w:szCs w:val="24"/>
        </w:rPr>
        <w:t xml:space="preserve"> 36 of 1998.</w:t>
      </w:r>
      <w:r w:rsidRPr="00B17C11">
        <w:rPr>
          <w:rStyle w:val="FootnoteReference"/>
          <w:rFonts w:ascii="Arial" w:hAnsi="Arial" w:cs="Arial"/>
          <w:sz w:val="24"/>
          <w:szCs w:val="24"/>
        </w:rPr>
        <w:footnoteReference w:id="330"/>
      </w:r>
      <w:r w:rsidRPr="00B17C11">
        <w:rPr>
          <w:rFonts w:ascii="Arial" w:hAnsi="Arial" w:cs="Arial"/>
          <w:sz w:val="24"/>
          <w:szCs w:val="24"/>
        </w:rPr>
        <w:t xml:space="preserve"> They argued that the right to draw water was a statutory right and an incident of their occupation and farming operations.</w:t>
      </w:r>
      <w:r w:rsidRPr="00B17C11">
        <w:rPr>
          <w:rStyle w:val="FootnoteReference"/>
          <w:rFonts w:ascii="Arial" w:hAnsi="Arial" w:cs="Arial"/>
          <w:sz w:val="24"/>
          <w:szCs w:val="24"/>
        </w:rPr>
        <w:footnoteReference w:id="331"/>
      </w:r>
    </w:p>
    <w:p w14:paraId="2CAAB07B" w14:textId="77777777"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In the court </w:t>
      </w:r>
      <w:r w:rsidRPr="00B17C11">
        <w:rPr>
          <w:rFonts w:ascii="Arial" w:hAnsi="Arial" w:cs="Arial"/>
          <w:i/>
          <w:iCs/>
          <w:sz w:val="24"/>
          <w:szCs w:val="24"/>
        </w:rPr>
        <w:t>a quo</w:t>
      </w:r>
      <w:r w:rsidRPr="00B17C11">
        <w:rPr>
          <w:rFonts w:ascii="Arial" w:hAnsi="Arial" w:cs="Arial"/>
          <w:sz w:val="24"/>
          <w:szCs w:val="24"/>
        </w:rPr>
        <w:t xml:space="preserve">, Bertelsmann J relied on the decision of the court in </w:t>
      </w:r>
      <w:r w:rsidRPr="00B17C11">
        <w:rPr>
          <w:rFonts w:ascii="Arial" w:hAnsi="Arial" w:cs="Arial"/>
          <w:i/>
          <w:iCs/>
          <w:sz w:val="24"/>
          <w:szCs w:val="24"/>
        </w:rPr>
        <w:t>Impala Water Users Association</w:t>
      </w:r>
      <w:r w:rsidRPr="00B17C11">
        <w:rPr>
          <w:rFonts w:ascii="Arial" w:hAnsi="Arial" w:cs="Arial"/>
          <w:sz w:val="24"/>
          <w:szCs w:val="24"/>
        </w:rPr>
        <w:t xml:space="preserve"> to hold that the respondents’ right to draw water was an incident of their occupation of farms registered under the irrigation scheme and a </w:t>
      </w:r>
      <w:r w:rsidRPr="00B17C11">
        <w:rPr>
          <w:rFonts w:ascii="Arial" w:hAnsi="Arial" w:cs="Arial"/>
          <w:i/>
          <w:iCs/>
          <w:sz w:val="24"/>
          <w:szCs w:val="24"/>
        </w:rPr>
        <w:t>quasi</w:t>
      </w:r>
      <w:r w:rsidRPr="00B17C11">
        <w:rPr>
          <w:rFonts w:ascii="Arial" w:hAnsi="Arial" w:cs="Arial"/>
          <w:sz w:val="24"/>
          <w:szCs w:val="24"/>
        </w:rPr>
        <w:t>-possession right protectable under the spoliation remedy.</w:t>
      </w:r>
      <w:r w:rsidRPr="00B17C11">
        <w:rPr>
          <w:rStyle w:val="FootnoteReference"/>
          <w:rFonts w:ascii="Arial" w:hAnsi="Arial" w:cs="Arial"/>
          <w:sz w:val="24"/>
          <w:szCs w:val="24"/>
        </w:rPr>
        <w:footnoteReference w:id="332"/>
      </w:r>
    </w:p>
    <w:p w14:paraId="2B4123C5" w14:textId="058E8AF5"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Supreme Court of Appeal summarised the position on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incorporeals</w:t>
      </w:r>
      <w:proofErr w:type="spellEnd"/>
      <w:r w:rsidRPr="00B17C11">
        <w:rPr>
          <w:rFonts w:ascii="Arial" w:hAnsi="Arial" w:cs="Arial"/>
          <w:sz w:val="24"/>
          <w:szCs w:val="24"/>
        </w:rPr>
        <w:t xml:space="preserve"> as follows: </w:t>
      </w:r>
      <w:r w:rsidR="00D00C27" w:rsidRPr="00B17C11">
        <w:rPr>
          <w:rFonts w:ascii="Arial" w:hAnsi="Arial" w:cs="Arial"/>
          <w:sz w:val="24"/>
          <w:szCs w:val="24"/>
        </w:rPr>
        <w:t>T</w:t>
      </w:r>
      <w:r w:rsidRPr="00B17C11">
        <w:rPr>
          <w:rFonts w:ascii="Arial" w:hAnsi="Arial" w:cs="Arial"/>
          <w:sz w:val="24"/>
          <w:szCs w:val="24"/>
        </w:rPr>
        <w:t xml:space="preserve">he spoliation remedy protects the </w:t>
      </w:r>
      <w:r w:rsidRPr="00B17C11">
        <w:rPr>
          <w:rFonts w:ascii="Arial" w:hAnsi="Arial" w:cs="Arial"/>
          <w:i/>
          <w:iCs/>
          <w:sz w:val="24"/>
          <w:szCs w:val="24"/>
        </w:rPr>
        <w:t>quasi</w:t>
      </w:r>
      <w:r w:rsidRPr="00B17C11">
        <w:rPr>
          <w:rFonts w:ascii="Arial" w:hAnsi="Arial" w:cs="Arial"/>
          <w:sz w:val="24"/>
          <w:szCs w:val="24"/>
        </w:rPr>
        <w:t>-possession of certain rights and that the existence of the right need not be proved apart for the actual exercise of the right a ‘</w:t>
      </w:r>
      <w:proofErr w:type="spellStart"/>
      <w:r w:rsidRPr="00B17C11">
        <w:rPr>
          <w:rFonts w:ascii="Arial" w:hAnsi="Arial" w:cs="Arial"/>
          <w:i/>
          <w:iCs/>
          <w:sz w:val="24"/>
          <w:szCs w:val="24"/>
        </w:rPr>
        <w:t>gebruik</w:t>
      </w:r>
      <w:r w:rsidR="00D00C27" w:rsidRPr="00B17C11">
        <w:rPr>
          <w:rFonts w:ascii="Arial" w:hAnsi="Arial" w:cs="Arial"/>
          <w:i/>
          <w:iCs/>
          <w:sz w:val="24"/>
          <w:szCs w:val="24"/>
        </w:rPr>
        <w:t>s</w:t>
      </w:r>
      <w:r w:rsidRPr="00B17C11">
        <w:rPr>
          <w:rFonts w:ascii="Arial" w:hAnsi="Arial" w:cs="Arial"/>
          <w:i/>
          <w:iCs/>
          <w:sz w:val="24"/>
          <w:szCs w:val="24"/>
        </w:rPr>
        <w:t>reg</w:t>
      </w:r>
      <w:proofErr w:type="spellEnd"/>
      <w:r w:rsidRPr="00B17C11">
        <w:rPr>
          <w:rFonts w:ascii="Arial" w:hAnsi="Arial" w:cs="Arial"/>
          <w:sz w:val="24"/>
          <w:szCs w:val="24"/>
        </w:rPr>
        <w:t>’ or an incident of possession or occupation of premises.</w:t>
      </w:r>
      <w:r w:rsidRPr="00B17C11">
        <w:rPr>
          <w:rStyle w:val="FootnoteReference"/>
          <w:rFonts w:ascii="Arial" w:hAnsi="Arial" w:cs="Arial"/>
          <w:sz w:val="24"/>
          <w:szCs w:val="24"/>
        </w:rPr>
        <w:footnoteReference w:id="333"/>
      </w:r>
      <w:r w:rsidRPr="00B17C11">
        <w:rPr>
          <w:rFonts w:ascii="Arial" w:hAnsi="Arial" w:cs="Arial"/>
          <w:sz w:val="24"/>
          <w:szCs w:val="24"/>
        </w:rPr>
        <w:t xml:space="preserve"> To ensure that there are no overlaps between the law of contract and the law of property, it was held that even though the nature of the right need not be proved, it must, however, be determined or characterised to ascertain whether its </w:t>
      </w:r>
      <w:r w:rsidRPr="00B17C11">
        <w:rPr>
          <w:rFonts w:ascii="Arial" w:hAnsi="Arial" w:cs="Arial"/>
          <w:i/>
          <w:iCs/>
          <w:sz w:val="24"/>
          <w:szCs w:val="24"/>
        </w:rPr>
        <w:t>quasi</w:t>
      </w:r>
      <w:r w:rsidRPr="00B17C11">
        <w:rPr>
          <w:rFonts w:ascii="Arial" w:hAnsi="Arial" w:cs="Arial"/>
          <w:sz w:val="24"/>
          <w:szCs w:val="24"/>
        </w:rPr>
        <w:t>-possession is protectable under the spoliation remedy.</w:t>
      </w:r>
      <w:r w:rsidRPr="00B17C11">
        <w:rPr>
          <w:rStyle w:val="FootnoteReference"/>
          <w:rFonts w:ascii="Arial" w:hAnsi="Arial" w:cs="Arial"/>
          <w:sz w:val="24"/>
          <w:szCs w:val="24"/>
        </w:rPr>
        <w:footnoteReference w:id="334"/>
      </w:r>
    </w:p>
    <w:p w14:paraId="7D06022C" w14:textId="4B374259"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characterisation of the right to ascertain its protectability under the spoliation remedy was developed in </w:t>
      </w:r>
      <w:r w:rsidRPr="00B17C11">
        <w:rPr>
          <w:rFonts w:ascii="Arial" w:hAnsi="Arial" w:cs="Arial"/>
          <w:i/>
          <w:iCs/>
          <w:sz w:val="24"/>
          <w:szCs w:val="24"/>
        </w:rPr>
        <w:t xml:space="preserve">Tigon Ltd v </w:t>
      </w:r>
      <w:proofErr w:type="spellStart"/>
      <w:r w:rsidRPr="00B17C11">
        <w:rPr>
          <w:rFonts w:ascii="Arial" w:hAnsi="Arial" w:cs="Arial"/>
          <w:i/>
          <w:iCs/>
          <w:sz w:val="24"/>
          <w:szCs w:val="24"/>
        </w:rPr>
        <w:t>Bestyet</w:t>
      </w:r>
      <w:proofErr w:type="spellEnd"/>
      <w:r w:rsidRPr="00B17C11">
        <w:rPr>
          <w:rFonts w:ascii="Arial" w:hAnsi="Arial" w:cs="Arial"/>
          <w:i/>
          <w:iCs/>
          <w:sz w:val="24"/>
          <w:szCs w:val="24"/>
        </w:rPr>
        <w:t xml:space="preserve"> Investments (Pty) Ltd</w:t>
      </w:r>
      <w:r w:rsidRPr="00B17C11">
        <w:rPr>
          <w:rFonts w:ascii="Arial" w:hAnsi="Arial" w:cs="Arial"/>
          <w:sz w:val="24"/>
          <w:szCs w:val="24"/>
        </w:rPr>
        <w:t xml:space="preserve">, where the court, with reference to </w:t>
      </w:r>
      <w:r w:rsidRPr="00B17C11">
        <w:rPr>
          <w:rFonts w:ascii="Arial" w:hAnsi="Arial" w:cs="Arial"/>
          <w:i/>
          <w:iCs/>
          <w:sz w:val="24"/>
          <w:szCs w:val="24"/>
        </w:rPr>
        <w:t>Bon Quelle</w:t>
      </w:r>
      <w:r w:rsidRPr="00B17C11">
        <w:rPr>
          <w:rFonts w:ascii="Arial" w:hAnsi="Arial" w:cs="Arial"/>
          <w:sz w:val="24"/>
          <w:szCs w:val="24"/>
        </w:rPr>
        <w:t>, highlighted that an incorporeal right is capable of possession effectuated by an exercise of a right.</w:t>
      </w:r>
      <w:r w:rsidRPr="00B17C11">
        <w:rPr>
          <w:rStyle w:val="FootnoteReference"/>
          <w:rFonts w:ascii="Arial" w:hAnsi="Arial" w:cs="Arial"/>
          <w:sz w:val="24"/>
          <w:szCs w:val="24"/>
        </w:rPr>
        <w:footnoteReference w:id="335"/>
      </w:r>
      <w:r w:rsidRPr="00B17C11">
        <w:rPr>
          <w:rFonts w:ascii="Arial" w:hAnsi="Arial" w:cs="Arial"/>
          <w:sz w:val="24"/>
          <w:szCs w:val="24"/>
        </w:rPr>
        <w:t xml:space="preserve"> The court in </w:t>
      </w:r>
      <w:r w:rsidRPr="00B17C11">
        <w:rPr>
          <w:rFonts w:ascii="Arial" w:hAnsi="Arial" w:cs="Arial"/>
          <w:i/>
          <w:iCs/>
          <w:sz w:val="24"/>
          <w:szCs w:val="24"/>
        </w:rPr>
        <w:t>Tigon</w:t>
      </w:r>
      <w:r w:rsidRPr="00B17C11">
        <w:rPr>
          <w:rFonts w:ascii="Arial" w:hAnsi="Arial" w:cs="Arial"/>
          <w:sz w:val="24"/>
          <w:szCs w:val="24"/>
        </w:rPr>
        <w:t xml:space="preserve"> furthermore determined that to prove </w:t>
      </w:r>
      <w:r w:rsidRPr="00B17C11">
        <w:rPr>
          <w:rFonts w:ascii="Arial" w:hAnsi="Arial" w:cs="Arial"/>
          <w:i/>
          <w:iCs/>
          <w:sz w:val="24"/>
          <w:szCs w:val="24"/>
        </w:rPr>
        <w:t>quasi</w:t>
      </w:r>
      <w:r w:rsidRPr="00B17C11">
        <w:rPr>
          <w:rFonts w:ascii="Arial" w:hAnsi="Arial" w:cs="Arial"/>
          <w:sz w:val="24"/>
          <w:szCs w:val="24"/>
        </w:rPr>
        <w:t>-possession, a closer look needs to be taken at the right or rights enjoyed by the holder.</w:t>
      </w:r>
      <w:r w:rsidRPr="00B17C11">
        <w:rPr>
          <w:rStyle w:val="FootnoteReference"/>
          <w:rFonts w:ascii="Arial" w:hAnsi="Arial" w:cs="Arial"/>
          <w:sz w:val="24"/>
          <w:szCs w:val="24"/>
        </w:rPr>
        <w:footnoteReference w:id="336"/>
      </w:r>
      <w:r w:rsidRPr="00B17C11">
        <w:rPr>
          <w:rFonts w:ascii="Arial" w:hAnsi="Arial" w:cs="Arial"/>
          <w:sz w:val="24"/>
          <w:szCs w:val="24"/>
        </w:rPr>
        <w:t xml:space="preserve"> Following this, the court in </w:t>
      </w:r>
      <w:r w:rsidRPr="00B17C11">
        <w:rPr>
          <w:rFonts w:ascii="Arial" w:hAnsi="Arial" w:cs="Arial"/>
          <w:i/>
          <w:iCs/>
          <w:sz w:val="24"/>
          <w:szCs w:val="24"/>
        </w:rPr>
        <w:t>FirstRand</w:t>
      </w:r>
      <w:r w:rsidRPr="00B17C11">
        <w:rPr>
          <w:rFonts w:ascii="Arial" w:hAnsi="Arial" w:cs="Arial"/>
          <w:sz w:val="24"/>
          <w:szCs w:val="24"/>
        </w:rPr>
        <w:t xml:space="preserve"> referred to </w:t>
      </w:r>
      <w:r w:rsidRPr="00B17C11">
        <w:rPr>
          <w:rFonts w:ascii="Arial" w:hAnsi="Arial" w:cs="Arial"/>
          <w:i/>
          <w:iCs/>
          <w:sz w:val="24"/>
          <w:szCs w:val="24"/>
        </w:rPr>
        <w:t xml:space="preserve">Telkom v </w:t>
      </w:r>
      <w:proofErr w:type="spellStart"/>
      <w:r w:rsidRPr="00B17C11">
        <w:rPr>
          <w:rFonts w:ascii="Arial" w:hAnsi="Arial" w:cs="Arial"/>
          <w:i/>
          <w:iCs/>
          <w:sz w:val="24"/>
          <w:szCs w:val="24"/>
        </w:rPr>
        <w:t>Xsinet</w:t>
      </w:r>
      <w:proofErr w:type="spellEnd"/>
      <w:r w:rsidRPr="00B17C11">
        <w:rPr>
          <w:rFonts w:ascii="Arial" w:hAnsi="Arial" w:cs="Arial"/>
          <w:sz w:val="24"/>
          <w:szCs w:val="24"/>
        </w:rPr>
        <w:t>, where it was held that the spoliation remedy could not be used to enforce specific performance or rights derived from contractual obligations.</w:t>
      </w:r>
      <w:r w:rsidRPr="00B17C11">
        <w:rPr>
          <w:rStyle w:val="FootnoteReference"/>
          <w:rFonts w:ascii="Arial" w:hAnsi="Arial" w:cs="Arial"/>
          <w:sz w:val="24"/>
          <w:szCs w:val="24"/>
        </w:rPr>
        <w:footnoteReference w:id="337"/>
      </w:r>
      <w:r w:rsidR="003F08A3" w:rsidRPr="00B17C11">
        <w:rPr>
          <w:rFonts w:ascii="Arial" w:hAnsi="Arial" w:cs="Arial"/>
          <w:sz w:val="24"/>
          <w:szCs w:val="24"/>
        </w:rPr>
        <w:t xml:space="preserve"> </w:t>
      </w:r>
      <w:r w:rsidRPr="00B17C11">
        <w:rPr>
          <w:rFonts w:ascii="Arial" w:hAnsi="Arial" w:cs="Arial"/>
          <w:sz w:val="24"/>
          <w:szCs w:val="24"/>
        </w:rPr>
        <w:t xml:space="preserve">The </w:t>
      </w:r>
      <w:r w:rsidRPr="00B17C11">
        <w:rPr>
          <w:rFonts w:ascii="Arial" w:hAnsi="Arial" w:cs="Arial"/>
          <w:sz w:val="24"/>
          <w:szCs w:val="24"/>
        </w:rPr>
        <w:lastRenderedPageBreak/>
        <w:t xml:space="preserve">court further distinguished between </w:t>
      </w:r>
      <w:r w:rsidRPr="00B17C11">
        <w:rPr>
          <w:rFonts w:ascii="Arial" w:hAnsi="Arial" w:cs="Arial"/>
          <w:i/>
          <w:iCs/>
          <w:sz w:val="24"/>
          <w:szCs w:val="24"/>
        </w:rPr>
        <w:t>Impala Water Users Association</w:t>
      </w:r>
      <w:r w:rsidRPr="00B17C11">
        <w:rPr>
          <w:rFonts w:ascii="Arial" w:hAnsi="Arial" w:cs="Arial"/>
          <w:sz w:val="24"/>
          <w:szCs w:val="24"/>
        </w:rPr>
        <w:t xml:space="preserve"> and </w:t>
      </w:r>
      <w:r w:rsidRPr="00B17C11">
        <w:rPr>
          <w:rFonts w:ascii="Arial" w:hAnsi="Arial" w:cs="Arial"/>
          <w:i/>
          <w:iCs/>
          <w:sz w:val="24"/>
          <w:szCs w:val="24"/>
        </w:rPr>
        <w:t>FirstRand</w:t>
      </w:r>
      <w:r w:rsidRPr="00B17C11">
        <w:rPr>
          <w:rFonts w:ascii="Arial" w:hAnsi="Arial" w:cs="Arial"/>
          <w:sz w:val="24"/>
          <w:szCs w:val="24"/>
        </w:rPr>
        <w:t>.</w:t>
      </w:r>
      <w:r w:rsidRPr="00B17C11">
        <w:rPr>
          <w:rStyle w:val="FootnoteReference"/>
          <w:rFonts w:ascii="Arial" w:hAnsi="Arial" w:cs="Arial"/>
          <w:sz w:val="24"/>
          <w:szCs w:val="24"/>
        </w:rPr>
        <w:footnoteReference w:id="338"/>
      </w:r>
      <w:r w:rsidRPr="00B17C11">
        <w:rPr>
          <w:rFonts w:ascii="Arial" w:hAnsi="Arial" w:cs="Arial"/>
          <w:sz w:val="24"/>
          <w:szCs w:val="24"/>
        </w:rPr>
        <w:t xml:space="preserve"> In contrast, it was held that the respondents in </w:t>
      </w:r>
      <w:r w:rsidRPr="00B17C11">
        <w:rPr>
          <w:rFonts w:ascii="Arial" w:hAnsi="Arial" w:cs="Arial"/>
          <w:i/>
          <w:iCs/>
          <w:sz w:val="24"/>
          <w:szCs w:val="24"/>
        </w:rPr>
        <w:t xml:space="preserve">FirstRand </w:t>
      </w:r>
      <w:r w:rsidRPr="00B17C11">
        <w:rPr>
          <w:rFonts w:ascii="Arial" w:hAnsi="Arial" w:cs="Arial"/>
          <w:sz w:val="24"/>
          <w:szCs w:val="24"/>
        </w:rPr>
        <w:t xml:space="preserve">were not dispossessed of statutory rights to draw water forming an incident of their possession or occupation of </w:t>
      </w:r>
      <w:r w:rsidR="00D00C27" w:rsidRPr="00B17C11">
        <w:rPr>
          <w:rFonts w:ascii="Arial" w:hAnsi="Arial" w:cs="Arial"/>
          <w:sz w:val="24"/>
          <w:szCs w:val="24"/>
        </w:rPr>
        <w:t xml:space="preserve">the </w:t>
      </w:r>
      <w:r w:rsidRPr="00B17C11">
        <w:rPr>
          <w:rFonts w:ascii="Arial" w:hAnsi="Arial" w:cs="Arial"/>
          <w:sz w:val="24"/>
          <w:szCs w:val="24"/>
        </w:rPr>
        <w:t>farms but were rather deprived of a former contractual right for the conveyance of water through a pipeline, which expired on 31 December 2004.</w:t>
      </w:r>
      <w:r w:rsidRPr="00B17C11">
        <w:rPr>
          <w:rStyle w:val="FootnoteReference"/>
          <w:rFonts w:ascii="Arial" w:hAnsi="Arial" w:cs="Arial"/>
          <w:sz w:val="24"/>
          <w:szCs w:val="24"/>
        </w:rPr>
        <w:footnoteReference w:id="339"/>
      </w:r>
    </w:p>
    <w:p w14:paraId="6A8E485E" w14:textId="77777777"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Therefore, on account of the characterisation of the right to determine its nature, the scope of </w:t>
      </w:r>
      <w:r w:rsidRPr="00B17C11">
        <w:rPr>
          <w:rFonts w:ascii="Arial" w:hAnsi="Arial" w:cs="Arial"/>
          <w:i/>
          <w:iCs/>
          <w:sz w:val="24"/>
          <w:szCs w:val="24"/>
        </w:rPr>
        <w:t>quasi</w:t>
      </w:r>
      <w:r w:rsidRPr="00B17C11">
        <w:rPr>
          <w:rFonts w:ascii="Arial" w:hAnsi="Arial" w:cs="Arial"/>
          <w:sz w:val="24"/>
          <w:szCs w:val="24"/>
        </w:rPr>
        <w:t>-possession rights protectable under the spoliation remedy was extended to include registered statutory rights.</w:t>
      </w:r>
      <w:r w:rsidRPr="00B17C11">
        <w:rPr>
          <w:rStyle w:val="FootnoteReference"/>
          <w:rFonts w:ascii="Arial" w:hAnsi="Arial" w:cs="Arial"/>
          <w:sz w:val="24"/>
          <w:szCs w:val="24"/>
        </w:rPr>
        <w:footnoteReference w:id="340"/>
      </w:r>
      <w:r w:rsidRPr="00B17C11">
        <w:rPr>
          <w:rFonts w:ascii="Arial" w:hAnsi="Arial" w:cs="Arial"/>
          <w:sz w:val="24"/>
          <w:szCs w:val="24"/>
        </w:rPr>
        <w:t xml:space="preserve"> The following paragraphs expand on this development and study the impact that the characterisation of the right has on the application of the spoliation remedy in </w:t>
      </w:r>
      <w:r w:rsidRPr="00B17C11">
        <w:rPr>
          <w:rFonts w:ascii="Arial" w:hAnsi="Arial" w:cs="Arial"/>
          <w:i/>
          <w:iCs/>
          <w:sz w:val="24"/>
          <w:szCs w:val="24"/>
        </w:rPr>
        <w:t>quasi</w:t>
      </w:r>
      <w:r w:rsidRPr="00B17C11">
        <w:rPr>
          <w:rFonts w:ascii="Arial" w:hAnsi="Arial" w:cs="Arial"/>
          <w:sz w:val="24"/>
          <w:szCs w:val="24"/>
        </w:rPr>
        <w:t>-possession cases.</w:t>
      </w:r>
    </w:p>
    <w:p w14:paraId="75BD69B1" w14:textId="77777777" w:rsidR="00255733" w:rsidRPr="00B17C11" w:rsidRDefault="00255733" w:rsidP="00761FF4">
      <w:pPr>
        <w:spacing w:line="360" w:lineRule="auto"/>
        <w:jc w:val="both"/>
        <w:rPr>
          <w:rFonts w:ascii="Arial" w:hAnsi="Arial" w:cs="Arial"/>
          <w:sz w:val="24"/>
          <w:szCs w:val="24"/>
        </w:rPr>
      </w:pPr>
    </w:p>
    <w:p w14:paraId="6F7B3E0C" w14:textId="77777777" w:rsidR="00761FF4" w:rsidRPr="00B17C11" w:rsidRDefault="00761FF4" w:rsidP="00255733">
      <w:pPr>
        <w:pStyle w:val="Heading3"/>
      </w:pPr>
      <w:bookmarkStart w:id="29" w:name="_Toc181339556"/>
      <w:r w:rsidRPr="00B17C11">
        <w:t>4.3.2 Rights Flowing from the Constitution</w:t>
      </w:r>
      <w:bookmarkEnd w:id="29"/>
    </w:p>
    <w:p w14:paraId="660854E2" w14:textId="5F33CC85"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In addition to (</w:t>
      </w:r>
      <w:proofErr w:type="spellStart"/>
      <w:r w:rsidRPr="00B17C11">
        <w:rPr>
          <w:rFonts w:ascii="Arial" w:hAnsi="Arial" w:cs="Arial"/>
          <w:sz w:val="24"/>
          <w:szCs w:val="24"/>
        </w:rPr>
        <w:t>i</w:t>
      </w:r>
      <w:proofErr w:type="spellEnd"/>
      <w:r w:rsidRPr="00B17C11">
        <w:rPr>
          <w:rFonts w:ascii="Arial" w:hAnsi="Arial" w:cs="Arial"/>
          <w:sz w:val="24"/>
          <w:szCs w:val="24"/>
        </w:rPr>
        <w:t xml:space="preserve">)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(ii) registered statutory rights, and (iii) rights incidental to the occupation of a corporeal thing, the court in </w:t>
      </w:r>
      <w:r w:rsidRPr="00B17C11">
        <w:rPr>
          <w:rFonts w:ascii="Arial" w:hAnsi="Arial" w:cs="Arial"/>
          <w:i/>
          <w:iCs/>
          <w:sz w:val="24"/>
          <w:szCs w:val="24"/>
        </w:rPr>
        <w:t xml:space="preserve">City of Cape Town v </w:t>
      </w:r>
      <w:proofErr w:type="spellStart"/>
      <w:r w:rsidRPr="00B17C11">
        <w:rPr>
          <w:rFonts w:ascii="Arial" w:hAnsi="Arial" w:cs="Arial"/>
          <w:i/>
          <w:iCs/>
          <w:sz w:val="24"/>
          <w:szCs w:val="24"/>
        </w:rPr>
        <w:t>Strumpher</w:t>
      </w:r>
      <w:proofErr w:type="spellEnd"/>
      <w:r w:rsidRPr="00B17C11">
        <w:rPr>
          <w:rFonts w:ascii="Arial" w:hAnsi="Arial" w:cs="Arial"/>
          <w:sz w:val="24"/>
          <w:szCs w:val="24"/>
        </w:rPr>
        <w:t xml:space="preserve"> included another category of rights flowing from the </w:t>
      </w:r>
      <w:r w:rsidR="00793C78" w:rsidRPr="00B17C11">
        <w:rPr>
          <w:rFonts w:ascii="Arial" w:hAnsi="Arial" w:cs="Arial"/>
          <w:i/>
          <w:iCs/>
          <w:sz w:val="24"/>
          <w:szCs w:val="24"/>
        </w:rPr>
        <w:t>Constitution</w:t>
      </w:r>
      <w:r w:rsidRPr="00B17C11">
        <w:rPr>
          <w:rFonts w:ascii="Arial" w:hAnsi="Arial" w:cs="Arial"/>
          <w:sz w:val="24"/>
          <w:szCs w:val="24"/>
        </w:rPr>
        <w:t>.</w:t>
      </w:r>
      <w:r w:rsidRPr="00B17C11">
        <w:rPr>
          <w:rStyle w:val="FootnoteReference"/>
          <w:rFonts w:ascii="Arial" w:hAnsi="Arial" w:cs="Arial"/>
          <w:sz w:val="24"/>
          <w:szCs w:val="24"/>
        </w:rPr>
        <w:footnoteReference w:id="341"/>
      </w:r>
      <w:r w:rsidRPr="00B17C11">
        <w:rPr>
          <w:rFonts w:ascii="Arial" w:hAnsi="Arial" w:cs="Arial"/>
          <w:sz w:val="24"/>
          <w:szCs w:val="24"/>
        </w:rPr>
        <w:t xml:space="preserve">  In this case, the court had to decide whether the disconnection of the municipal water supply </w:t>
      </w:r>
      <w:proofErr w:type="spellStart"/>
      <w:r w:rsidR="00D00C27" w:rsidRPr="00B17C11">
        <w:rPr>
          <w:rFonts w:ascii="Arial" w:hAnsi="Arial" w:cs="Arial"/>
          <w:sz w:val="24"/>
          <w:szCs w:val="24"/>
        </w:rPr>
        <w:t>consituted</w:t>
      </w:r>
      <w:r w:rsidRPr="00B17C11">
        <w:rPr>
          <w:rFonts w:ascii="Arial" w:hAnsi="Arial" w:cs="Arial"/>
          <w:sz w:val="24"/>
          <w:szCs w:val="24"/>
        </w:rPr>
        <w:t>spoliat</w:t>
      </w:r>
      <w:r w:rsidR="00D00C27" w:rsidRPr="00B17C11">
        <w:rPr>
          <w:rFonts w:ascii="Arial" w:hAnsi="Arial" w:cs="Arial"/>
          <w:sz w:val="24"/>
          <w:szCs w:val="24"/>
        </w:rPr>
        <w:t>ion</w:t>
      </w:r>
      <w:proofErr w:type="spellEnd"/>
      <w:r w:rsidRPr="00B17C11">
        <w:rPr>
          <w:rFonts w:ascii="Arial" w:hAnsi="Arial" w:cs="Arial"/>
          <w:sz w:val="24"/>
          <w:szCs w:val="24"/>
        </w:rPr>
        <w:t xml:space="preserve"> and whether the spoliation remedy was an appropriate remedy under the circumstances.</w:t>
      </w:r>
      <w:r w:rsidRPr="00B17C11">
        <w:rPr>
          <w:rStyle w:val="FootnoteReference"/>
          <w:rFonts w:ascii="Arial" w:hAnsi="Arial" w:cs="Arial"/>
          <w:sz w:val="24"/>
          <w:szCs w:val="24"/>
        </w:rPr>
        <w:footnoteReference w:id="342"/>
      </w:r>
    </w:p>
    <w:p w14:paraId="68AD4C1F" w14:textId="0E9BC4C4"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city supplied water to a caravan park operated by the respondent. When a dispute arose over the payment of </w:t>
      </w:r>
      <w:r w:rsidR="008747B4" w:rsidRPr="00B17C11">
        <w:rPr>
          <w:rFonts w:ascii="Arial" w:hAnsi="Arial" w:cs="Arial"/>
          <w:sz w:val="24"/>
          <w:szCs w:val="24"/>
        </w:rPr>
        <w:t xml:space="preserve">the </w:t>
      </w:r>
      <w:r w:rsidRPr="00B17C11">
        <w:rPr>
          <w:rFonts w:ascii="Arial" w:hAnsi="Arial" w:cs="Arial"/>
          <w:sz w:val="24"/>
          <w:szCs w:val="24"/>
        </w:rPr>
        <w:t>amount in arrears, the city decided to terminate the water supply to the respondent’s properties</w:t>
      </w:r>
      <w:r w:rsidR="008747B4" w:rsidRPr="00B17C11">
        <w:rPr>
          <w:rFonts w:ascii="Arial" w:hAnsi="Arial" w:cs="Arial"/>
          <w:sz w:val="24"/>
          <w:szCs w:val="24"/>
        </w:rPr>
        <w:t>. It</w:t>
      </w:r>
      <w:r w:rsidRPr="00B17C11">
        <w:rPr>
          <w:rFonts w:ascii="Arial" w:hAnsi="Arial" w:cs="Arial"/>
          <w:sz w:val="24"/>
          <w:szCs w:val="24"/>
        </w:rPr>
        <w:t xml:space="preserve"> argued that the respondent could not be granted a spoliation order because his right to water was purely personal.</w:t>
      </w:r>
      <w:r w:rsidRPr="00B17C11">
        <w:rPr>
          <w:rStyle w:val="FootnoteReference"/>
          <w:rFonts w:ascii="Arial" w:hAnsi="Arial" w:cs="Arial"/>
          <w:sz w:val="24"/>
          <w:szCs w:val="24"/>
        </w:rPr>
        <w:footnoteReference w:id="343"/>
      </w:r>
      <w:r w:rsidRPr="00B17C11">
        <w:rPr>
          <w:rFonts w:ascii="Arial" w:hAnsi="Arial" w:cs="Arial"/>
          <w:sz w:val="24"/>
          <w:szCs w:val="24"/>
        </w:rPr>
        <w:t xml:space="preserve"> The Supreme Court of Appeal held that a water supply contract between the municipality and a water consumer does not make the consumer’s right a personal right arising from the contract.</w:t>
      </w:r>
      <w:r w:rsidRPr="00B17C11">
        <w:rPr>
          <w:rStyle w:val="FootnoteReference"/>
          <w:rFonts w:ascii="Arial" w:hAnsi="Arial" w:cs="Arial"/>
          <w:sz w:val="24"/>
          <w:szCs w:val="24"/>
        </w:rPr>
        <w:footnoteReference w:id="344"/>
      </w:r>
      <w:r w:rsidRPr="00B17C11">
        <w:rPr>
          <w:rFonts w:ascii="Arial" w:hAnsi="Arial" w:cs="Arial"/>
          <w:sz w:val="24"/>
          <w:szCs w:val="24"/>
        </w:rPr>
        <w:t xml:space="preserve"> The court also found that the respondent’s right to water was </w:t>
      </w:r>
      <w:r w:rsidR="008747B4" w:rsidRPr="00B17C11">
        <w:rPr>
          <w:rFonts w:ascii="Arial" w:hAnsi="Arial" w:cs="Arial"/>
          <w:sz w:val="24"/>
          <w:szCs w:val="24"/>
        </w:rPr>
        <w:t xml:space="preserve">a </w:t>
      </w:r>
      <w:r w:rsidRPr="00B17C11">
        <w:rPr>
          <w:rFonts w:ascii="Arial" w:hAnsi="Arial" w:cs="Arial"/>
          <w:sz w:val="24"/>
          <w:szCs w:val="24"/>
        </w:rPr>
        <w:lastRenderedPageBreak/>
        <w:t xml:space="preserve">statutory right under the </w:t>
      </w:r>
      <w:r w:rsidR="008747B4" w:rsidRPr="00B17C11">
        <w:rPr>
          <w:rFonts w:ascii="Arial" w:hAnsi="Arial" w:cs="Arial"/>
          <w:i/>
          <w:iCs/>
          <w:sz w:val="24"/>
          <w:szCs w:val="24"/>
        </w:rPr>
        <w:t>Water Services Act</w:t>
      </w:r>
      <w:r w:rsidRPr="00B17C11">
        <w:rPr>
          <w:rFonts w:ascii="Arial" w:hAnsi="Arial" w:cs="Arial"/>
          <w:sz w:val="24"/>
          <w:szCs w:val="24"/>
        </w:rPr>
        <w:t xml:space="preserve"> 108 of 1997.</w:t>
      </w:r>
      <w:r w:rsidRPr="00B17C11">
        <w:rPr>
          <w:rStyle w:val="FootnoteReference"/>
          <w:rFonts w:ascii="Arial" w:hAnsi="Arial" w:cs="Arial"/>
          <w:sz w:val="24"/>
          <w:szCs w:val="24"/>
        </w:rPr>
        <w:footnoteReference w:id="345"/>
      </w:r>
      <w:r w:rsidRPr="00B17C11">
        <w:rPr>
          <w:rFonts w:ascii="Arial" w:hAnsi="Arial" w:cs="Arial"/>
          <w:sz w:val="24"/>
          <w:szCs w:val="24"/>
        </w:rPr>
        <w:t xml:space="preserve"> According to the court, the contractual agreement between the city and the respondent did not discharge the city’s constitutional and statutory obligation to supply water to the respondent.</w:t>
      </w:r>
      <w:r w:rsidRPr="00B17C11">
        <w:rPr>
          <w:rStyle w:val="FootnoteReference"/>
          <w:rFonts w:ascii="Arial" w:hAnsi="Arial" w:cs="Arial"/>
          <w:sz w:val="24"/>
          <w:szCs w:val="24"/>
        </w:rPr>
        <w:footnoteReference w:id="346"/>
      </w:r>
    </w:p>
    <w:p w14:paraId="5B4E4249" w14:textId="2B47979F"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 xml:space="preserve">The court observed that the respondent was in a similar situation with the water users in </w:t>
      </w:r>
      <w:r w:rsidR="008747B4" w:rsidRPr="00B17C11">
        <w:rPr>
          <w:rFonts w:ascii="Arial" w:hAnsi="Arial" w:cs="Arial"/>
          <w:sz w:val="24"/>
          <w:szCs w:val="24"/>
        </w:rPr>
        <w:t xml:space="preserve">the </w:t>
      </w:r>
      <w:r w:rsidRPr="00B17C11">
        <w:rPr>
          <w:rFonts w:ascii="Arial" w:hAnsi="Arial" w:cs="Arial"/>
          <w:i/>
          <w:iCs/>
          <w:sz w:val="24"/>
          <w:szCs w:val="24"/>
        </w:rPr>
        <w:t>Impala Water Users Association</w:t>
      </w:r>
      <w:r w:rsidR="00D00C27" w:rsidRPr="00B17C11">
        <w:rPr>
          <w:rFonts w:ascii="Arial" w:hAnsi="Arial" w:cs="Arial"/>
          <w:i/>
          <w:iCs/>
          <w:sz w:val="24"/>
          <w:szCs w:val="24"/>
        </w:rPr>
        <w:t xml:space="preserve"> </w:t>
      </w:r>
      <w:r w:rsidR="00D00C27" w:rsidRPr="00B17C11">
        <w:rPr>
          <w:rFonts w:ascii="Arial" w:hAnsi="Arial" w:cs="Arial"/>
          <w:sz w:val="24"/>
          <w:szCs w:val="24"/>
        </w:rPr>
        <w:t>case</w:t>
      </w:r>
      <w:r w:rsidR="008747B4" w:rsidRPr="00B17C11">
        <w:rPr>
          <w:rFonts w:ascii="Arial" w:hAnsi="Arial" w:cs="Arial"/>
          <w:sz w:val="24"/>
          <w:szCs w:val="24"/>
        </w:rPr>
        <w:t>. T</w:t>
      </w:r>
      <w:r w:rsidRPr="00B17C11">
        <w:rPr>
          <w:rFonts w:ascii="Arial" w:hAnsi="Arial" w:cs="Arial"/>
          <w:sz w:val="24"/>
          <w:szCs w:val="24"/>
        </w:rPr>
        <w:t xml:space="preserve">he respondent’s right to water was also subsumed into rights under the </w:t>
      </w:r>
      <w:r w:rsidR="008747B4" w:rsidRPr="00B17C11">
        <w:rPr>
          <w:rFonts w:ascii="Arial" w:hAnsi="Arial" w:cs="Arial"/>
          <w:i/>
          <w:iCs/>
          <w:sz w:val="24"/>
          <w:szCs w:val="24"/>
        </w:rPr>
        <w:t>Water Services Act</w:t>
      </w:r>
      <w:r w:rsidRPr="00B17C11">
        <w:rPr>
          <w:rFonts w:ascii="Arial" w:hAnsi="Arial" w:cs="Arial"/>
          <w:sz w:val="24"/>
          <w:szCs w:val="24"/>
        </w:rPr>
        <w:t xml:space="preserve"> and could not be described as a mere personal right.</w:t>
      </w:r>
      <w:r w:rsidRPr="00B17C11">
        <w:rPr>
          <w:rStyle w:val="FootnoteReference"/>
          <w:rFonts w:ascii="Arial" w:hAnsi="Arial" w:cs="Arial"/>
          <w:sz w:val="24"/>
          <w:szCs w:val="24"/>
        </w:rPr>
        <w:footnoteReference w:id="347"/>
      </w:r>
      <w:r w:rsidRPr="00B17C11">
        <w:rPr>
          <w:rFonts w:ascii="Arial" w:hAnsi="Arial" w:cs="Arial"/>
          <w:sz w:val="24"/>
          <w:szCs w:val="24"/>
        </w:rPr>
        <w:t xml:space="preserve"> Finally, the court concluded by stating that the respondent’s right to water was not a personal right but a public law right, existing independently of any contractual relationship that the respondent had with the city.</w:t>
      </w:r>
      <w:r w:rsidRPr="00B17C11">
        <w:rPr>
          <w:rStyle w:val="FootnoteReference"/>
          <w:rFonts w:ascii="Arial" w:hAnsi="Arial" w:cs="Arial"/>
          <w:sz w:val="24"/>
          <w:szCs w:val="24"/>
        </w:rPr>
        <w:footnoteReference w:id="348"/>
      </w:r>
    </w:p>
    <w:p w14:paraId="6451E27A" w14:textId="3CE575D7"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The Supreme Court of Appeal claimed that the respondent’s right was also incidental to possession of the property.</w:t>
      </w:r>
      <w:r w:rsidRPr="00B17C11">
        <w:rPr>
          <w:rStyle w:val="FootnoteReference"/>
          <w:rFonts w:ascii="Arial" w:hAnsi="Arial" w:cs="Arial"/>
          <w:sz w:val="24"/>
          <w:szCs w:val="24"/>
        </w:rPr>
        <w:footnoteReference w:id="349"/>
      </w:r>
      <w:r w:rsidRPr="00B17C11">
        <w:rPr>
          <w:rFonts w:ascii="Arial" w:hAnsi="Arial" w:cs="Arial"/>
          <w:sz w:val="24"/>
          <w:szCs w:val="24"/>
        </w:rPr>
        <w:t xml:space="preserve"> This claim is questionable because the court came to this conclusion without evaluating the facts of the case or referring to previous authorities to ascertain whether this was, in fact, the case.</w:t>
      </w:r>
      <w:r w:rsidRPr="00B17C11">
        <w:rPr>
          <w:rStyle w:val="FootnoteReference"/>
          <w:rFonts w:ascii="Arial" w:hAnsi="Arial" w:cs="Arial"/>
          <w:sz w:val="24"/>
          <w:szCs w:val="24"/>
        </w:rPr>
        <w:footnoteReference w:id="350"/>
      </w:r>
      <w:r w:rsidRPr="00B17C11">
        <w:rPr>
          <w:rFonts w:ascii="Arial" w:hAnsi="Arial" w:cs="Arial"/>
          <w:sz w:val="24"/>
          <w:szCs w:val="24"/>
        </w:rPr>
        <w:t xml:space="preserve"> It would seem that the court was less concerned with whether the respondent’s right to water was an incident of possession. Much of the court’s attention was focused on the fact that the right was not merely contractual but a public law right.</w:t>
      </w:r>
      <w:r w:rsidRPr="00B17C11">
        <w:rPr>
          <w:rStyle w:val="FootnoteReference"/>
          <w:rFonts w:ascii="Arial" w:hAnsi="Arial" w:cs="Arial"/>
          <w:sz w:val="24"/>
          <w:szCs w:val="24"/>
        </w:rPr>
        <w:footnoteReference w:id="351"/>
      </w:r>
      <w:r w:rsidRPr="00B17C11">
        <w:rPr>
          <w:rFonts w:ascii="Arial" w:hAnsi="Arial" w:cs="Arial"/>
          <w:sz w:val="24"/>
          <w:szCs w:val="24"/>
        </w:rPr>
        <w:t xml:space="preserve"> Therefore, the characterisation of the respondent’s right as a public law right appears to have justified its protection, thereby, once again, expanding the scope of </w:t>
      </w:r>
      <w:r w:rsidRPr="00B17C11">
        <w:rPr>
          <w:rFonts w:ascii="Arial" w:hAnsi="Arial" w:cs="Arial"/>
          <w:i/>
          <w:iCs/>
          <w:sz w:val="24"/>
          <w:szCs w:val="24"/>
        </w:rPr>
        <w:t>quasi</w:t>
      </w:r>
      <w:r w:rsidRPr="00B17C11">
        <w:rPr>
          <w:rFonts w:ascii="Arial" w:hAnsi="Arial" w:cs="Arial"/>
          <w:sz w:val="24"/>
          <w:szCs w:val="24"/>
        </w:rPr>
        <w:t>-possession rights protectable under the spoliation remedy.</w:t>
      </w:r>
      <w:r w:rsidRPr="00B17C11">
        <w:rPr>
          <w:rStyle w:val="FootnoteReference"/>
          <w:rFonts w:ascii="Arial" w:hAnsi="Arial" w:cs="Arial"/>
          <w:sz w:val="24"/>
          <w:szCs w:val="24"/>
        </w:rPr>
        <w:footnoteReference w:id="352"/>
      </w:r>
    </w:p>
    <w:p w14:paraId="346A5B1B" w14:textId="4850DEC3"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lastRenderedPageBreak/>
        <w:t>It should be noted that the right of access to water is provided</w:t>
      </w:r>
      <w:r w:rsidR="00D00C27" w:rsidRPr="00B17C11">
        <w:rPr>
          <w:rFonts w:ascii="Arial" w:hAnsi="Arial" w:cs="Arial"/>
          <w:sz w:val="24"/>
          <w:szCs w:val="24"/>
        </w:rPr>
        <w:t xml:space="preserve"> for</w:t>
      </w:r>
      <w:r w:rsidRPr="00B17C11">
        <w:rPr>
          <w:rFonts w:ascii="Arial" w:hAnsi="Arial" w:cs="Arial"/>
          <w:sz w:val="24"/>
          <w:szCs w:val="24"/>
        </w:rPr>
        <w:t xml:space="preserve"> in section 27(1)(b) of the </w:t>
      </w:r>
      <w:r w:rsidR="00D3659A" w:rsidRPr="00B17C11">
        <w:rPr>
          <w:rFonts w:ascii="Arial" w:hAnsi="Arial" w:cs="Arial"/>
          <w:i/>
          <w:iCs/>
          <w:sz w:val="24"/>
          <w:szCs w:val="24"/>
        </w:rPr>
        <w:t>Constitution</w:t>
      </w:r>
      <w:r w:rsidR="008747B4" w:rsidRPr="00B17C11">
        <w:rPr>
          <w:rFonts w:ascii="Arial" w:hAnsi="Arial" w:cs="Arial"/>
          <w:i/>
          <w:iCs/>
          <w:sz w:val="24"/>
          <w:szCs w:val="24"/>
        </w:rPr>
        <w:t>,</w:t>
      </w:r>
      <w:r w:rsidR="00D3659A" w:rsidRPr="00B17C11">
        <w:rPr>
          <w:rFonts w:ascii="Arial" w:hAnsi="Arial" w:cs="Arial"/>
          <w:sz w:val="24"/>
          <w:szCs w:val="24"/>
        </w:rPr>
        <w:t xml:space="preserve"> </w:t>
      </w:r>
      <w:r w:rsidRPr="00B17C11">
        <w:rPr>
          <w:rFonts w:ascii="Arial" w:hAnsi="Arial" w:cs="Arial"/>
          <w:sz w:val="24"/>
          <w:szCs w:val="24"/>
        </w:rPr>
        <w:t>which justifies the human rights public law dimension.</w:t>
      </w:r>
      <w:r w:rsidR="0041297E" w:rsidRPr="00B17C11">
        <w:rPr>
          <w:rStyle w:val="FootnoteReference"/>
          <w:rFonts w:ascii="Arial" w:hAnsi="Arial" w:cs="Arial"/>
          <w:sz w:val="24"/>
          <w:szCs w:val="24"/>
        </w:rPr>
        <w:footnoteReference w:id="353"/>
      </w:r>
      <w:r w:rsidRPr="00B17C11">
        <w:rPr>
          <w:rFonts w:ascii="Arial" w:hAnsi="Arial" w:cs="Arial"/>
          <w:sz w:val="24"/>
          <w:szCs w:val="24"/>
        </w:rPr>
        <w:t xml:space="preserve"> The same cannot be said </w:t>
      </w:r>
      <w:r w:rsidR="008747B4" w:rsidRPr="00B17C11">
        <w:rPr>
          <w:rFonts w:ascii="Arial" w:hAnsi="Arial" w:cs="Arial"/>
          <w:sz w:val="24"/>
          <w:szCs w:val="24"/>
        </w:rPr>
        <w:t>with</w:t>
      </w:r>
      <w:r w:rsidRPr="00B17C11">
        <w:rPr>
          <w:rFonts w:ascii="Arial" w:hAnsi="Arial" w:cs="Arial"/>
          <w:sz w:val="24"/>
          <w:szCs w:val="24"/>
        </w:rPr>
        <w:t xml:space="preserve"> respect </w:t>
      </w:r>
      <w:r w:rsidR="00242739" w:rsidRPr="00B17C11">
        <w:rPr>
          <w:rFonts w:ascii="Arial" w:hAnsi="Arial" w:cs="Arial"/>
          <w:sz w:val="24"/>
          <w:szCs w:val="24"/>
        </w:rPr>
        <w:t>to</w:t>
      </w:r>
      <w:r w:rsidRPr="00B17C11">
        <w:rPr>
          <w:rFonts w:ascii="Arial" w:hAnsi="Arial" w:cs="Arial"/>
          <w:sz w:val="24"/>
          <w:szCs w:val="24"/>
        </w:rPr>
        <w:t xml:space="preserve"> the electricity supply because it is not sourced in the </w:t>
      </w:r>
      <w:r w:rsidR="00793C78" w:rsidRPr="00B17C11">
        <w:rPr>
          <w:rFonts w:ascii="Arial" w:hAnsi="Arial" w:cs="Arial"/>
          <w:i/>
          <w:iCs/>
          <w:sz w:val="24"/>
          <w:szCs w:val="24"/>
        </w:rPr>
        <w:t>Constitution</w:t>
      </w:r>
      <w:r w:rsidRPr="00B17C11">
        <w:rPr>
          <w:rFonts w:ascii="Arial" w:hAnsi="Arial" w:cs="Arial"/>
          <w:sz w:val="24"/>
          <w:szCs w:val="24"/>
        </w:rPr>
        <w:t>, albeit a vital municipal service which the state is often obligated to supply.</w:t>
      </w:r>
      <w:r w:rsidRPr="00B17C11">
        <w:rPr>
          <w:rStyle w:val="FootnoteReference"/>
          <w:rFonts w:ascii="Arial" w:hAnsi="Arial" w:cs="Arial"/>
          <w:sz w:val="24"/>
          <w:szCs w:val="24"/>
        </w:rPr>
        <w:footnoteReference w:id="354"/>
      </w:r>
      <w:r w:rsidR="00E70083" w:rsidRPr="00B17C11">
        <w:rPr>
          <w:rFonts w:ascii="Arial" w:hAnsi="Arial" w:cs="Arial"/>
          <w:sz w:val="24"/>
          <w:szCs w:val="24"/>
        </w:rPr>
        <w:t xml:space="preserve"> This was addressed in </w:t>
      </w:r>
      <w:r w:rsidR="00E70083" w:rsidRPr="00B17C11">
        <w:rPr>
          <w:rFonts w:ascii="Arial" w:hAnsi="Arial" w:cs="Arial"/>
          <w:i/>
          <w:iCs/>
          <w:sz w:val="24"/>
          <w:szCs w:val="24"/>
        </w:rPr>
        <w:t xml:space="preserve">Darries and Others v City of Johannesburg and Others </w:t>
      </w:r>
      <w:r w:rsidR="00E70083" w:rsidRPr="00B17C11">
        <w:rPr>
          <w:rFonts w:ascii="Arial" w:hAnsi="Arial" w:cs="Arial"/>
          <w:sz w:val="24"/>
          <w:szCs w:val="24"/>
        </w:rPr>
        <w:t xml:space="preserve">and later confirmed by the Constitutional Court in </w:t>
      </w:r>
      <w:r w:rsidR="00E70083" w:rsidRPr="00B17C11">
        <w:rPr>
          <w:rFonts w:ascii="Arial" w:hAnsi="Arial" w:cs="Arial"/>
          <w:i/>
          <w:iCs/>
          <w:sz w:val="24"/>
          <w:szCs w:val="24"/>
        </w:rPr>
        <w:t xml:space="preserve">Rademan v </w:t>
      </w:r>
      <w:proofErr w:type="spellStart"/>
      <w:r w:rsidR="00E70083" w:rsidRPr="00B17C11">
        <w:rPr>
          <w:rFonts w:ascii="Arial" w:hAnsi="Arial" w:cs="Arial"/>
          <w:i/>
          <w:iCs/>
          <w:sz w:val="24"/>
          <w:szCs w:val="24"/>
        </w:rPr>
        <w:t>Moqhaka</w:t>
      </w:r>
      <w:proofErr w:type="spellEnd"/>
      <w:r w:rsidR="00E70083" w:rsidRPr="00B17C11">
        <w:rPr>
          <w:rFonts w:ascii="Arial" w:hAnsi="Arial" w:cs="Arial"/>
          <w:i/>
          <w:iCs/>
          <w:sz w:val="24"/>
          <w:szCs w:val="24"/>
        </w:rPr>
        <w:t xml:space="preserve"> Local Municipality and Others</w:t>
      </w:r>
      <w:r w:rsidR="00E70083" w:rsidRPr="00B17C11">
        <w:rPr>
          <w:rFonts w:ascii="Arial" w:hAnsi="Arial" w:cs="Arial"/>
          <w:sz w:val="24"/>
          <w:szCs w:val="24"/>
        </w:rPr>
        <w:t>.</w:t>
      </w:r>
      <w:r w:rsidR="00E70083" w:rsidRPr="00B17C11">
        <w:rPr>
          <w:rStyle w:val="FootnoteReference"/>
          <w:rFonts w:ascii="Arial" w:hAnsi="Arial" w:cs="Arial"/>
          <w:sz w:val="24"/>
          <w:szCs w:val="24"/>
        </w:rPr>
        <w:footnoteReference w:id="355"/>
      </w:r>
    </w:p>
    <w:p w14:paraId="6F35ED27" w14:textId="5B9C9BA5" w:rsidR="00761FF4" w:rsidRPr="00B17C11" w:rsidRDefault="00761FF4" w:rsidP="00761FF4">
      <w:pPr>
        <w:spacing w:line="360" w:lineRule="auto"/>
        <w:jc w:val="both"/>
        <w:rPr>
          <w:rFonts w:ascii="Arial" w:hAnsi="Arial" w:cs="Arial"/>
          <w:sz w:val="24"/>
          <w:szCs w:val="24"/>
        </w:rPr>
      </w:pPr>
      <w:r w:rsidRPr="00B17C11">
        <w:rPr>
          <w:rFonts w:ascii="Arial" w:hAnsi="Arial" w:cs="Arial"/>
          <w:sz w:val="24"/>
          <w:szCs w:val="24"/>
        </w:rPr>
        <w:t>Muller</w:t>
      </w:r>
      <w:r w:rsidR="00570884" w:rsidRPr="00B17C11">
        <w:rPr>
          <w:rFonts w:ascii="Arial" w:hAnsi="Arial" w:cs="Arial"/>
          <w:sz w:val="24"/>
          <w:szCs w:val="24"/>
        </w:rPr>
        <w:t xml:space="preserve">, </w:t>
      </w:r>
      <w:r w:rsidRPr="00B17C11">
        <w:rPr>
          <w:rFonts w:ascii="Arial" w:hAnsi="Arial" w:cs="Arial"/>
          <w:sz w:val="24"/>
          <w:szCs w:val="24"/>
        </w:rPr>
        <w:t>Marais</w:t>
      </w:r>
      <w:r w:rsidR="00570884" w:rsidRPr="00B17C11">
        <w:rPr>
          <w:rFonts w:ascii="Arial" w:hAnsi="Arial" w:cs="Arial"/>
          <w:sz w:val="24"/>
          <w:szCs w:val="24"/>
        </w:rPr>
        <w:t>, and Ngwenyama</w:t>
      </w:r>
      <w:r w:rsidRPr="00B17C11">
        <w:rPr>
          <w:rFonts w:ascii="Arial" w:hAnsi="Arial" w:cs="Arial"/>
          <w:sz w:val="24"/>
          <w:szCs w:val="24"/>
        </w:rPr>
        <w:t xml:space="preserve"> suggest that electricity supply should also be considered a public law right due to its usefulness in the present-day world.</w:t>
      </w:r>
      <w:r w:rsidRPr="00B17C11">
        <w:rPr>
          <w:rStyle w:val="FootnoteReference"/>
          <w:rFonts w:ascii="Arial" w:hAnsi="Arial" w:cs="Arial"/>
          <w:sz w:val="24"/>
          <w:szCs w:val="24"/>
        </w:rPr>
        <w:footnoteReference w:id="356"/>
      </w:r>
      <w:r w:rsidRPr="00B17C11">
        <w:rPr>
          <w:rFonts w:ascii="Arial" w:hAnsi="Arial" w:cs="Arial"/>
          <w:sz w:val="24"/>
          <w:szCs w:val="24"/>
        </w:rPr>
        <w:t xml:space="preserve"> However, for a social norm to be regarded as a right, there must be a claimant and a person responsible for discharging the claim.</w:t>
      </w:r>
      <w:r w:rsidRPr="00B17C11">
        <w:rPr>
          <w:rStyle w:val="FootnoteReference"/>
          <w:rFonts w:ascii="Arial" w:hAnsi="Arial" w:cs="Arial"/>
          <w:sz w:val="24"/>
          <w:szCs w:val="24"/>
        </w:rPr>
        <w:footnoteReference w:id="357"/>
      </w:r>
      <w:r w:rsidRPr="00B17C11">
        <w:rPr>
          <w:rFonts w:ascii="Arial" w:hAnsi="Arial" w:cs="Arial"/>
          <w:sz w:val="24"/>
          <w:szCs w:val="24"/>
        </w:rPr>
        <w:t xml:space="preserve"> In the </w:t>
      </w:r>
      <w:r w:rsidRPr="00B17C11">
        <w:rPr>
          <w:rFonts w:ascii="Arial" w:hAnsi="Arial" w:cs="Arial"/>
          <w:i/>
          <w:sz w:val="24"/>
          <w:szCs w:val="24"/>
        </w:rPr>
        <w:t>United Democratic Movement and Others v Eskom Holdings SOC Ltd and Others</w:t>
      </w:r>
      <w:r w:rsidRPr="00B17C11">
        <w:rPr>
          <w:rFonts w:ascii="Arial" w:hAnsi="Arial" w:cs="Arial"/>
          <w:iCs/>
          <w:sz w:val="24"/>
          <w:szCs w:val="24"/>
        </w:rPr>
        <w:t>, the government highlighted that it has no obligation to provide emergency power (electricity).</w:t>
      </w:r>
      <w:r w:rsidRPr="00B17C11">
        <w:rPr>
          <w:rStyle w:val="FootnoteReference"/>
          <w:rFonts w:ascii="Arial" w:hAnsi="Arial" w:cs="Arial"/>
          <w:iCs/>
          <w:sz w:val="24"/>
          <w:szCs w:val="24"/>
        </w:rPr>
        <w:footnoteReference w:id="358"/>
      </w:r>
      <w:r w:rsidRPr="00B17C11">
        <w:rPr>
          <w:rFonts w:ascii="Arial" w:hAnsi="Arial" w:cs="Arial"/>
          <w:iCs/>
          <w:sz w:val="24"/>
          <w:szCs w:val="24"/>
        </w:rPr>
        <w:t xml:space="preserve"> </w:t>
      </w:r>
      <w:r w:rsidRPr="00B17C11">
        <w:rPr>
          <w:rFonts w:ascii="Arial" w:hAnsi="Arial" w:cs="Arial"/>
          <w:sz w:val="24"/>
          <w:szCs w:val="24"/>
        </w:rPr>
        <w:t xml:space="preserve">The president of the Republic of South Africa further submitted that the national government has no </w:t>
      </w:r>
      <w:r w:rsidRPr="00B17C11">
        <w:rPr>
          <w:rFonts w:ascii="Arial" w:hAnsi="Arial" w:cs="Arial"/>
          <w:iCs/>
          <w:sz w:val="24"/>
          <w:szCs w:val="24"/>
          <w:lang w:val="en-US"/>
        </w:rPr>
        <w:t>constitutional obligation to supply electricity to the people of the republic.</w:t>
      </w:r>
      <w:r w:rsidRPr="00B17C11">
        <w:rPr>
          <w:rStyle w:val="FootnoteReference"/>
          <w:rFonts w:ascii="Arial" w:hAnsi="Arial" w:cs="Arial"/>
          <w:iCs/>
          <w:sz w:val="24"/>
          <w:szCs w:val="24"/>
          <w:lang w:val="en-US"/>
        </w:rPr>
        <w:footnoteReference w:id="359"/>
      </w:r>
      <w:r w:rsidRPr="00B17C11">
        <w:rPr>
          <w:rFonts w:ascii="Arial" w:hAnsi="Arial" w:cs="Arial"/>
          <w:iCs/>
          <w:sz w:val="24"/>
          <w:szCs w:val="24"/>
          <w:lang w:val="en-US"/>
        </w:rPr>
        <w:t xml:space="preserve"> Similar submissions were debunked by the Constitutional Court in </w:t>
      </w:r>
      <w:r w:rsidRPr="00B17C11">
        <w:rPr>
          <w:rFonts w:ascii="Arial" w:hAnsi="Arial" w:cs="Arial"/>
          <w:i/>
          <w:sz w:val="24"/>
          <w:szCs w:val="24"/>
          <w:lang w:val="en-US"/>
        </w:rPr>
        <w:t>Eskom Holdings SOC Ltd v Vaal River Development Association (Pty) Ltd and Others</w:t>
      </w:r>
      <w:r w:rsidRPr="00B17C11">
        <w:rPr>
          <w:rFonts w:ascii="Arial" w:hAnsi="Arial" w:cs="Arial"/>
          <w:iCs/>
          <w:sz w:val="24"/>
          <w:szCs w:val="24"/>
          <w:lang w:val="en-US"/>
        </w:rPr>
        <w:t>, where it was held that Eskom, as an organ of the state, is bound by the Bill of Rights and</w:t>
      </w:r>
      <w:r w:rsidR="008747B4" w:rsidRPr="00B17C11">
        <w:rPr>
          <w:rFonts w:ascii="Arial" w:hAnsi="Arial" w:cs="Arial"/>
          <w:iCs/>
          <w:sz w:val="24"/>
          <w:szCs w:val="24"/>
          <w:lang w:val="en-US"/>
        </w:rPr>
        <w:t>,</w:t>
      </w:r>
      <w:r w:rsidRPr="00B17C11">
        <w:rPr>
          <w:rFonts w:ascii="Arial" w:hAnsi="Arial" w:cs="Arial"/>
          <w:iCs/>
          <w:sz w:val="24"/>
          <w:szCs w:val="24"/>
          <w:lang w:val="en-US"/>
        </w:rPr>
        <w:t xml:space="preserve"> therefore, </w:t>
      </w:r>
      <w:r w:rsidRPr="00B17C11">
        <w:rPr>
          <w:rFonts w:ascii="Arial" w:hAnsi="Arial" w:cs="Arial"/>
          <w:iCs/>
          <w:sz w:val="24"/>
          <w:szCs w:val="24"/>
          <w:lang w:val="en-US"/>
        </w:rPr>
        <w:lastRenderedPageBreak/>
        <w:t xml:space="preserve">constitutionally obligated to provide electricity in terms of section 8(1) read with section 7(2) of the </w:t>
      </w:r>
      <w:r w:rsidR="00D3659A" w:rsidRPr="00B17C11">
        <w:rPr>
          <w:rFonts w:ascii="Arial" w:hAnsi="Arial" w:cs="Arial"/>
          <w:i/>
          <w:sz w:val="24"/>
          <w:szCs w:val="24"/>
          <w:lang w:val="en-US"/>
        </w:rPr>
        <w:t>Constitution</w:t>
      </w:r>
      <w:r w:rsidRPr="00B17C11">
        <w:rPr>
          <w:rFonts w:ascii="Arial" w:hAnsi="Arial" w:cs="Arial"/>
          <w:iCs/>
          <w:sz w:val="24"/>
          <w:szCs w:val="24"/>
          <w:lang w:val="en-US"/>
        </w:rPr>
        <w:t>.</w:t>
      </w:r>
      <w:r w:rsidRPr="00B17C11">
        <w:rPr>
          <w:rStyle w:val="FootnoteReference"/>
          <w:rFonts w:ascii="Arial" w:hAnsi="Arial" w:cs="Arial"/>
          <w:iCs/>
          <w:sz w:val="24"/>
          <w:szCs w:val="24"/>
          <w:lang w:val="en-US"/>
        </w:rPr>
        <w:footnoteReference w:id="360"/>
      </w:r>
    </w:p>
    <w:p w14:paraId="02D7E2EA" w14:textId="29B7707A" w:rsidR="00761FF4" w:rsidRPr="00B17C11" w:rsidRDefault="00761FF4" w:rsidP="00761FF4">
      <w:pPr>
        <w:spacing w:line="360" w:lineRule="auto"/>
        <w:jc w:val="both"/>
        <w:rPr>
          <w:rFonts w:ascii="Arial" w:hAnsi="Arial" w:cs="Arial"/>
          <w:iCs/>
          <w:sz w:val="24"/>
          <w:szCs w:val="24"/>
        </w:rPr>
      </w:pPr>
      <w:r w:rsidRPr="00B17C11">
        <w:rPr>
          <w:rFonts w:ascii="Arial" w:hAnsi="Arial" w:cs="Arial"/>
          <w:iCs/>
          <w:sz w:val="24"/>
          <w:szCs w:val="24"/>
          <w:lang w:val="en-US"/>
        </w:rPr>
        <w:t xml:space="preserve">Nonetheless,  the court in </w:t>
      </w:r>
      <w:r w:rsidRPr="00B17C11">
        <w:rPr>
          <w:rFonts w:ascii="Arial" w:hAnsi="Arial" w:cs="Arial"/>
          <w:i/>
          <w:sz w:val="24"/>
          <w:szCs w:val="24"/>
        </w:rPr>
        <w:t>United Democratic Movement and Others v Eskom Holdings SOC Ltd and Others</w:t>
      </w:r>
      <w:r w:rsidRPr="00B17C11">
        <w:rPr>
          <w:rFonts w:ascii="Arial" w:hAnsi="Arial" w:cs="Arial"/>
          <w:iCs/>
          <w:sz w:val="24"/>
          <w:szCs w:val="24"/>
        </w:rPr>
        <w:t xml:space="preserve"> held that load</w:t>
      </w:r>
      <w:r w:rsidR="00096FB8" w:rsidRPr="00B17C11">
        <w:rPr>
          <w:rFonts w:ascii="Arial" w:hAnsi="Arial" w:cs="Arial"/>
          <w:iCs/>
          <w:sz w:val="24"/>
          <w:szCs w:val="24"/>
        </w:rPr>
        <w:t>-</w:t>
      </w:r>
      <w:r w:rsidRPr="00B17C11">
        <w:rPr>
          <w:rFonts w:ascii="Arial" w:hAnsi="Arial" w:cs="Arial"/>
          <w:iCs/>
          <w:sz w:val="24"/>
          <w:szCs w:val="24"/>
        </w:rPr>
        <w:t>shedding was a constitutional breach constituting an unjustified infringement of constitutionally protected rights, namely (</w:t>
      </w:r>
      <w:proofErr w:type="spellStart"/>
      <w:r w:rsidRPr="00B17C11">
        <w:rPr>
          <w:rFonts w:ascii="Arial" w:hAnsi="Arial" w:cs="Arial"/>
          <w:iCs/>
          <w:sz w:val="24"/>
          <w:szCs w:val="24"/>
        </w:rPr>
        <w:t>i</w:t>
      </w:r>
      <w:proofErr w:type="spellEnd"/>
      <w:r w:rsidRPr="00B17C11">
        <w:rPr>
          <w:rFonts w:ascii="Arial" w:hAnsi="Arial" w:cs="Arial"/>
          <w:iCs/>
          <w:sz w:val="24"/>
          <w:szCs w:val="24"/>
        </w:rPr>
        <w:t>) the right to human dignity</w:t>
      </w:r>
      <w:r w:rsidRPr="00B17C11">
        <w:rPr>
          <w:rStyle w:val="FootnoteReference"/>
          <w:rFonts w:ascii="Arial" w:hAnsi="Arial" w:cs="Arial"/>
          <w:iCs/>
          <w:sz w:val="24"/>
          <w:szCs w:val="24"/>
        </w:rPr>
        <w:footnoteReference w:id="361"/>
      </w:r>
      <w:r w:rsidRPr="00B17C11">
        <w:rPr>
          <w:rFonts w:ascii="Arial" w:hAnsi="Arial" w:cs="Arial"/>
          <w:iCs/>
          <w:sz w:val="24"/>
          <w:szCs w:val="24"/>
        </w:rPr>
        <w:t xml:space="preserve"> (ii) the right to life</w:t>
      </w:r>
      <w:r w:rsidRPr="00B17C11">
        <w:rPr>
          <w:rStyle w:val="FootnoteReference"/>
          <w:rFonts w:ascii="Arial" w:hAnsi="Arial" w:cs="Arial"/>
          <w:iCs/>
          <w:sz w:val="24"/>
          <w:szCs w:val="24"/>
        </w:rPr>
        <w:footnoteReference w:id="362"/>
      </w:r>
      <w:r w:rsidRPr="00B17C11">
        <w:rPr>
          <w:rFonts w:ascii="Arial" w:hAnsi="Arial" w:cs="Arial"/>
          <w:iCs/>
          <w:sz w:val="24"/>
          <w:szCs w:val="24"/>
        </w:rPr>
        <w:t xml:space="preserve"> (iii) the right to freedom and security</w:t>
      </w:r>
      <w:r w:rsidRPr="00B17C11">
        <w:rPr>
          <w:rStyle w:val="FootnoteReference"/>
          <w:rFonts w:ascii="Arial" w:hAnsi="Arial" w:cs="Arial"/>
          <w:iCs/>
          <w:sz w:val="24"/>
          <w:szCs w:val="24"/>
        </w:rPr>
        <w:footnoteReference w:id="363"/>
      </w:r>
      <w:r w:rsidRPr="00B17C11">
        <w:rPr>
          <w:rFonts w:ascii="Arial" w:hAnsi="Arial" w:cs="Arial"/>
          <w:iCs/>
          <w:sz w:val="24"/>
          <w:szCs w:val="24"/>
        </w:rPr>
        <w:t xml:space="preserve"> (iv) the right to an environment that is not harmful to health</w:t>
      </w:r>
      <w:r w:rsidRPr="00B17C11">
        <w:rPr>
          <w:rStyle w:val="FootnoteReference"/>
          <w:rFonts w:ascii="Arial" w:hAnsi="Arial" w:cs="Arial"/>
          <w:iCs/>
          <w:sz w:val="24"/>
          <w:szCs w:val="24"/>
        </w:rPr>
        <w:footnoteReference w:id="364"/>
      </w:r>
      <w:r w:rsidRPr="00B17C11">
        <w:rPr>
          <w:rFonts w:ascii="Arial" w:hAnsi="Arial" w:cs="Arial"/>
          <w:iCs/>
          <w:sz w:val="24"/>
          <w:szCs w:val="24"/>
        </w:rPr>
        <w:t xml:space="preserve"> (v) the right of access to health care services</w:t>
      </w:r>
      <w:r w:rsidRPr="00B17C11">
        <w:rPr>
          <w:rStyle w:val="FootnoteReference"/>
          <w:rFonts w:ascii="Arial" w:hAnsi="Arial" w:cs="Arial"/>
          <w:iCs/>
          <w:sz w:val="24"/>
          <w:szCs w:val="24"/>
        </w:rPr>
        <w:footnoteReference w:id="365"/>
      </w:r>
      <w:r w:rsidRPr="00B17C11">
        <w:rPr>
          <w:rFonts w:ascii="Arial" w:hAnsi="Arial" w:cs="Arial"/>
          <w:iCs/>
          <w:sz w:val="24"/>
          <w:szCs w:val="24"/>
        </w:rPr>
        <w:t xml:space="preserve"> (vi) the right of access to sufficient food and water</w:t>
      </w:r>
      <w:r w:rsidRPr="00B17C11">
        <w:rPr>
          <w:rStyle w:val="FootnoteReference"/>
          <w:rFonts w:ascii="Arial" w:hAnsi="Arial" w:cs="Arial"/>
          <w:iCs/>
          <w:sz w:val="24"/>
          <w:szCs w:val="24"/>
        </w:rPr>
        <w:footnoteReference w:id="366"/>
      </w:r>
      <w:r w:rsidRPr="00B17C11">
        <w:rPr>
          <w:rFonts w:ascii="Arial" w:hAnsi="Arial" w:cs="Arial"/>
          <w:iCs/>
          <w:sz w:val="24"/>
          <w:szCs w:val="24"/>
        </w:rPr>
        <w:t>, and (vii) the right to basic education.</w:t>
      </w:r>
      <w:r w:rsidRPr="00B17C11">
        <w:rPr>
          <w:rStyle w:val="FootnoteReference"/>
          <w:rFonts w:ascii="Arial" w:hAnsi="Arial" w:cs="Arial"/>
          <w:iCs/>
          <w:sz w:val="24"/>
          <w:szCs w:val="24"/>
        </w:rPr>
        <w:footnoteReference w:id="367"/>
      </w:r>
    </w:p>
    <w:p w14:paraId="2F28D44B" w14:textId="14A92381" w:rsidR="00761FF4" w:rsidRPr="00B17C11" w:rsidRDefault="00761FF4" w:rsidP="00761FF4">
      <w:pPr>
        <w:spacing w:line="360" w:lineRule="auto"/>
        <w:jc w:val="both"/>
        <w:rPr>
          <w:rFonts w:ascii="Arial" w:hAnsi="Arial" w:cs="Arial"/>
          <w:iCs/>
          <w:sz w:val="24"/>
          <w:szCs w:val="24"/>
          <w:lang w:val="en-US"/>
        </w:rPr>
      </w:pPr>
      <w:r w:rsidRPr="00B17C11">
        <w:rPr>
          <w:rFonts w:ascii="Arial" w:hAnsi="Arial" w:cs="Arial"/>
          <w:iCs/>
          <w:sz w:val="24"/>
          <w:szCs w:val="24"/>
        </w:rPr>
        <w:t>It seem</w:t>
      </w:r>
      <w:r w:rsidR="00096FB8" w:rsidRPr="00B17C11">
        <w:rPr>
          <w:rFonts w:ascii="Arial" w:hAnsi="Arial" w:cs="Arial"/>
          <w:iCs/>
          <w:sz w:val="24"/>
          <w:szCs w:val="24"/>
        </w:rPr>
        <w:t>s</w:t>
      </w:r>
      <w:r w:rsidRPr="00B17C11">
        <w:rPr>
          <w:rFonts w:ascii="Arial" w:hAnsi="Arial" w:cs="Arial"/>
          <w:iCs/>
          <w:sz w:val="24"/>
          <w:szCs w:val="24"/>
        </w:rPr>
        <w:t xml:space="preserve"> that courts have not thought it necessary to decide</w:t>
      </w:r>
      <w:r w:rsidRPr="00B17C11">
        <w:rPr>
          <w:rFonts w:ascii="Arial" w:hAnsi="Arial" w:cs="Arial"/>
          <w:iCs/>
          <w:sz w:val="24"/>
          <w:szCs w:val="24"/>
          <w:lang w:val="en-US"/>
        </w:rPr>
        <w:t xml:space="preserve"> whether residents have a constitutional right to electricity supply</w:t>
      </w:r>
      <w:r w:rsidRPr="00B17C11">
        <w:rPr>
          <w:rFonts w:ascii="Arial" w:hAnsi="Arial" w:cs="Arial"/>
          <w:iCs/>
          <w:sz w:val="24"/>
          <w:szCs w:val="24"/>
        </w:rPr>
        <w:t>.</w:t>
      </w:r>
      <w:r w:rsidRPr="00B17C11">
        <w:rPr>
          <w:rStyle w:val="FootnoteReference"/>
          <w:rFonts w:ascii="Arial" w:hAnsi="Arial" w:cs="Arial"/>
          <w:iCs/>
          <w:sz w:val="24"/>
          <w:szCs w:val="24"/>
        </w:rPr>
        <w:footnoteReference w:id="368"/>
      </w:r>
      <w:r w:rsidRPr="00B17C11">
        <w:rPr>
          <w:rFonts w:ascii="Arial" w:hAnsi="Arial" w:cs="Arial"/>
          <w:iCs/>
          <w:sz w:val="24"/>
          <w:szCs w:val="24"/>
        </w:rPr>
        <w:t xml:space="preserve"> </w:t>
      </w:r>
      <w:r w:rsidR="0030435C" w:rsidRPr="00B17C11">
        <w:rPr>
          <w:rFonts w:ascii="Arial" w:hAnsi="Arial" w:cs="Arial"/>
          <w:iCs/>
          <w:sz w:val="24"/>
          <w:szCs w:val="24"/>
        </w:rPr>
        <w:t>For instance, i</w:t>
      </w:r>
      <w:r w:rsidRPr="00B17C11">
        <w:rPr>
          <w:rFonts w:ascii="Arial" w:hAnsi="Arial" w:cs="Arial"/>
          <w:iCs/>
          <w:sz w:val="24"/>
          <w:szCs w:val="24"/>
        </w:rPr>
        <w:t xml:space="preserve">n </w:t>
      </w:r>
      <w:r w:rsidRPr="00B17C11">
        <w:rPr>
          <w:rFonts w:ascii="Arial" w:hAnsi="Arial" w:cs="Arial"/>
          <w:i/>
          <w:sz w:val="24"/>
          <w:szCs w:val="24"/>
          <w:lang w:val="en-US"/>
        </w:rPr>
        <w:t>Eskom Holdings SOC Ltd v Vaal River Development Association (Pty) Ltd and Others</w:t>
      </w:r>
      <w:r w:rsidRPr="00B17C11">
        <w:rPr>
          <w:rFonts w:ascii="Arial" w:hAnsi="Arial" w:cs="Arial"/>
          <w:iCs/>
          <w:sz w:val="24"/>
          <w:szCs w:val="24"/>
          <w:lang w:val="en-US"/>
        </w:rPr>
        <w:t>, the court chose to focus on the violation of several other constitutionally protected rights that were infringed due to the substantial reduction of the electricity supply to residents.</w:t>
      </w:r>
      <w:r w:rsidRPr="00B17C11">
        <w:rPr>
          <w:rStyle w:val="FootnoteReference"/>
          <w:rFonts w:ascii="Arial" w:hAnsi="Arial" w:cs="Arial"/>
          <w:iCs/>
          <w:sz w:val="24"/>
          <w:szCs w:val="24"/>
          <w:lang w:val="en-US"/>
        </w:rPr>
        <w:footnoteReference w:id="369"/>
      </w:r>
      <w:r w:rsidRPr="00B17C11">
        <w:rPr>
          <w:rFonts w:ascii="Arial" w:hAnsi="Arial" w:cs="Arial"/>
          <w:iCs/>
          <w:sz w:val="24"/>
          <w:szCs w:val="24"/>
          <w:lang w:val="en-US"/>
        </w:rPr>
        <w:t xml:space="preserve"> The court sought to reverse the violation of constitutional rights by deciding on the impermissibility of Eskom’s conduct instead of deciding whether the residents have a constitutional right to the supply of electricity.</w:t>
      </w:r>
      <w:r w:rsidRPr="00B17C11">
        <w:rPr>
          <w:rStyle w:val="FootnoteReference"/>
          <w:rFonts w:ascii="Arial" w:hAnsi="Arial" w:cs="Arial"/>
          <w:iCs/>
          <w:sz w:val="24"/>
          <w:szCs w:val="24"/>
          <w:lang w:val="en-US"/>
        </w:rPr>
        <w:footnoteReference w:id="370"/>
      </w:r>
    </w:p>
    <w:p w14:paraId="4C651E4F" w14:textId="6B34426A" w:rsidR="00761FF4" w:rsidRPr="00B17C11" w:rsidRDefault="00761FF4" w:rsidP="00761FF4">
      <w:pPr>
        <w:spacing w:line="360" w:lineRule="auto"/>
        <w:jc w:val="both"/>
        <w:rPr>
          <w:rFonts w:ascii="Arial" w:hAnsi="Arial" w:cs="Arial"/>
          <w:iCs/>
          <w:sz w:val="24"/>
          <w:szCs w:val="24"/>
          <w:lang w:val="en-US"/>
        </w:rPr>
      </w:pPr>
      <w:r w:rsidRPr="00B17C11">
        <w:rPr>
          <w:rFonts w:ascii="Arial" w:hAnsi="Arial" w:cs="Arial"/>
          <w:iCs/>
          <w:sz w:val="24"/>
          <w:szCs w:val="24"/>
          <w:lang w:val="en-US"/>
        </w:rPr>
        <w:t xml:space="preserve">Noteworthy, access to </w:t>
      </w:r>
      <w:r w:rsidR="000C534D" w:rsidRPr="00B17C11">
        <w:rPr>
          <w:rFonts w:ascii="Arial" w:hAnsi="Arial" w:cs="Arial"/>
          <w:iCs/>
          <w:sz w:val="24"/>
          <w:szCs w:val="24"/>
          <w:lang w:val="en-US"/>
        </w:rPr>
        <w:t>electricity</w:t>
      </w:r>
      <w:r w:rsidRPr="00B17C11">
        <w:rPr>
          <w:rFonts w:ascii="Arial" w:hAnsi="Arial" w:cs="Arial"/>
          <w:iCs/>
          <w:sz w:val="24"/>
          <w:szCs w:val="24"/>
          <w:lang w:val="en-US"/>
        </w:rPr>
        <w:t xml:space="preserve"> is not a basic need for human survival. It is not even </w:t>
      </w:r>
      <w:proofErr w:type="spellStart"/>
      <w:r w:rsidRPr="00B17C11">
        <w:rPr>
          <w:rFonts w:ascii="Arial" w:hAnsi="Arial" w:cs="Arial"/>
          <w:iCs/>
          <w:sz w:val="24"/>
          <w:szCs w:val="24"/>
          <w:lang w:val="en-US"/>
        </w:rPr>
        <w:t>recognised</w:t>
      </w:r>
      <w:proofErr w:type="spellEnd"/>
      <w:r w:rsidRPr="00B17C11">
        <w:rPr>
          <w:rFonts w:ascii="Arial" w:hAnsi="Arial" w:cs="Arial"/>
          <w:iCs/>
          <w:sz w:val="24"/>
          <w:szCs w:val="24"/>
          <w:lang w:val="en-US"/>
        </w:rPr>
        <w:t xml:space="preserve"> as a constitutionally protected right in South African law. As such, the argument that electricity should be </w:t>
      </w:r>
      <w:proofErr w:type="spellStart"/>
      <w:r w:rsidRPr="00B17C11">
        <w:rPr>
          <w:rFonts w:ascii="Arial" w:hAnsi="Arial" w:cs="Arial"/>
          <w:iCs/>
          <w:sz w:val="24"/>
          <w:szCs w:val="24"/>
          <w:lang w:val="en-US"/>
        </w:rPr>
        <w:t>recognised</w:t>
      </w:r>
      <w:proofErr w:type="spellEnd"/>
      <w:r w:rsidRPr="00B17C11">
        <w:rPr>
          <w:rFonts w:ascii="Arial" w:hAnsi="Arial" w:cs="Arial"/>
          <w:iCs/>
          <w:sz w:val="24"/>
          <w:szCs w:val="24"/>
          <w:lang w:val="en-US"/>
        </w:rPr>
        <w:t xml:space="preserve"> as a public law right should not be acceptable. This argument is only tolerable on the basis that certain constitutionally protected rights necessitate the use of the electricity supply for them to be realised. It </w:t>
      </w:r>
      <w:r w:rsidRPr="00B17C11">
        <w:rPr>
          <w:rFonts w:ascii="Arial" w:hAnsi="Arial" w:cs="Arial"/>
          <w:iCs/>
          <w:sz w:val="24"/>
          <w:szCs w:val="24"/>
          <w:lang w:val="en-US"/>
        </w:rPr>
        <w:lastRenderedPageBreak/>
        <w:t xml:space="preserve">is not enough that this is the only basis upon which access to </w:t>
      </w:r>
      <w:r w:rsidR="00110E29" w:rsidRPr="00B17C11">
        <w:rPr>
          <w:rFonts w:ascii="Arial" w:hAnsi="Arial" w:cs="Arial"/>
          <w:iCs/>
          <w:sz w:val="24"/>
          <w:szCs w:val="24"/>
          <w:lang w:val="en-US"/>
        </w:rPr>
        <w:t>electricity</w:t>
      </w:r>
      <w:r w:rsidRPr="00B17C11">
        <w:rPr>
          <w:rFonts w:ascii="Arial" w:hAnsi="Arial" w:cs="Arial"/>
          <w:iCs/>
          <w:sz w:val="24"/>
          <w:szCs w:val="24"/>
          <w:lang w:val="en-US"/>
        </w:rPr>
        <w:t xml:space="preserve"> can be considered as a public law right. Moreover, it is hard to imagine how the supply of electricity can constitute a public law right whilst at the same time being capable of acquisition in an open market based on supply and demand.</w:t>
      </w:r>
    </w:p>
    <w:p w14:paraId="12EE818C" w14:textId="77777777" w:rsidR="00255733" w:rsidRPr="00B17C11" w:rsidRDefault="00255733" w:rsidP="00761FF4">
      <w:pPr>
        <w:spacing w:line="360" w:lineRule="auto"/>
        <w:jc w:val="both"/>
        <w:rPr>
          <w:rFonts w:ascii="Arial" w:hAnsi="Arial" w:cs="Arial"/>
          <w:iCs/>
          <w:sz w:val="24"/>
          <w:szCs w:val="24"/>
          <w:lang w:val="en-US"/>
        </w:rPr>
      </w:pPr>
    </w:p>
    <w:p w14:paraId="5E489E1B" w14:textId="29742408" w:rsidR="00761FF4" w:rsidRPr="00B17C11" w:rsidRDefault="00761FF4" w:rsidP="00255733">
      <w:pPr>
        <w:pStyle w:val="Heading3"/>
      </w:pPr>
      <w:bookmarkStart w:id="30" w:name="_Toc181339557"/>
      <w:r w:rsidRPr="00B17C11">
        <w:t>4.3.</w:t>
      </w:r>
      <w:r w:rsidR="00436E73" w:rsidRPr="00B17C11">
        <w:t>3</w:t>
      </w:r>
      <w:r w:rsidRPr="00B17C11">
        <w:t xml:space="preserve"> Recent </w:t>
      </w:r>
      <w:r w:rsidR="00473F74" w:rsidRPr="00B17C11">
        <w:t>j</w:t>
      </w:r>
      <w:r w:rsidRPr="00B17C11">
        <w:t xml:space="preserve">udgments </w:t>
      </w:r>
      <w:r w:rsidR="006C0173" w:rsidRPr="00B17C11">
        <w:t>i</w:t>
      </w:r>
      <w:r w:rsidRPr="00B17C11">
        <w:t xml:space="preserve">n </w:t>
      </w:r>
      <w:r w:rsidRPr="00B17C11">
        <w:rPr>
          <w:i/>
          <w:iCs/>
        </w:rPr>
        <w:t>quasi</w:t>
      </w:r>
      <w:r w:rsidRPr="00B17C11">
        <w:t>-possession cases</w:t>
      </w:r>
      <w:r w:rsidR="00473F74" w:rsidRPr="00B17C11">
        <w:t xml:space="preserve"> involving</w:t>
      </w:r>
      <w:r w:rsidRPr="00B17C11">
        <w:t xml:space="preserve"> water and electricity supply</w:t>
      </w:r>
      <w:bookmarkEnd w:id="30"/>
    </w:p>
    <w:p w14:paraId="22E650BF" w14:textId="385ADDCA" w:rsidR="00761FF4" w:rsidRPr="00285E63" w:rsidRDefault="00761FF4" w:rsidP="00761FF4">
      <w:pPr>
        <w:spacing w:line="360" w:lineRule="auto"/>
        <w:jc w:val="both"/>
        <w:rPr>
          <w:rFonts w:ascii="Arial" w:hAnsi="Arial" w:cs="Arial"/>
          <w:color w:val="000000" w:themeColor="text1"/>
          <w:sz w:val="24"/>
          <w:szCs w:val="24"/>
        </w:rPr>
      </w:pPr>
      <w:r w:rsidRPr="00285E63">
        <w:rPr>
          <w:rFonts w:ascii="Arial" w:hAnsi="Arial" w:cs="Arial"/>
          <w:color w:val="000000" w:themeColor="text1"/>
          <w:sz w:val="24"/>
          <w:szCs w:val="24"/>
        </w:rPr>
        <w:t xml:space="preserve">In </w:t>
      </w:r>
      <w:r w:rsidRPr="00285E63">
        <w:rPr>
          <w:rFonts w:ascii="Arial" w:hAnsi="Arial" w:cs="Arial"/>
          <w:i/>
          <w:iCs/>
          <w:color w:val="000000" w:themeColor="text1"/>
          <w:sz w:val="24"/>
          <w:szCs w:val="24"/>
        </w:rPr>
        <w:t>Eskom Holdings SOC Limited v Masinda</w:t>
      </w:r>
      <w:r w:rsidRPr="00285E63">
        <w:rPr>
          <w:rFonts w:ascii="Arial" w:hAnsi="Arial" w:cs="Arial"/>
          <w:color w:val="000000" w:themeColor="text1"/>
          <w:sz w:val="24"/>
          <w:szCs w:val="24"/>
        </w:rPr>
        <w:t xml:space="preserve">, the appellant (Eskom) resolved to disconnect the supply of electricity to houses identified as having illegal electricity connections due to the risk </w:t>
      </w:r>
      <w:r w:rsidR="00473F74" w:rsidRPr="00285E63">
        <w:rPr>
          <w:rFonts w:ascii="Arial" w:hAnsi="Arial" w:cs="Arial"/>
          <w:color w:val="000000" w:themeColor="text1"/>
          <w:sz w:val="24"/>
          <w:szCs w:val="24"/>
        </w:rPr>
        <w:t>to</w:t>
      </w:r>
      <w:r w:rsidRPr="00285E63">
        <w:rPr>
          <w:rFonts w:ascii="Arial" w:hAnsi="Arial" w:cs="Arial"/>
          <w:color w:val="000000" w:themeColor="text1"/>
          <w:sz w:val="24"/>
          <w:szCs w:val="24"/>
        </w:rPr>
        <w:t xml:space="preserve"> health and safety posed by such connections.</w:t>
      </w:r>
      <w:r w:rsidRPr="00285E63">
        <w:rPr>
          <w:rStyle w:val="FootnoteReference"/>
          <w:rFonts w:ascii="Arial" w:hAnsi="Arial" w:cs="Arial"/>
          <w:color w:val="000000" w:themeColor="text1"/>
          <w:sz w:val="24"/>
          <w:szCs w:val="24"/>
        </w:rPr>
        <w:footnoteReference w:id="371"/>
      </w:r>
      <w:r w:rsidRPr="00285E63">
        <w:rPr>
          <w:rFonts w:ascii="Arial" w:hAnsi="Arial" w:cs="Arial"/>
          <w:color w:val="000000" w:themeColor="text1"/>
          <w:sz w:val="24"/>
          <w:szCs w:val="24"/>
        </w:rPr>
        <w:t xml:space="preserve"> The respondent’s house was identified as having illegal connections, which led to her electricity being disconnected.</w:t>
      </w:r>
      <w:r w:rsidRPr="00285E63">
        <w:rPr>
          <w:rStyle w:val="FootnoteReference"/>
          <w:rFonts w:ascii="Arial" w:hAnsi="Arial" w:cs="Arial"/>
          <w:color w:val="000000" w:themeColor="text1"/>
          <w:sz w:val="24"/>
          <w:szCs w:val="24"/>
        </w:rPr>
        <w:footnoteReference w:id="372"/>
      </w:r>
      <w:r w:rsidRPr="00285E63">
        <w:rPr>
          <w:rFonts w:ascii="Arial" w:hAnsi="Arial" w:cs="Arial"/>
          <w:color w:val="000000" w:themeColor="text1"/>
          <w:sz w:val="24"/>
          <w:szCs w:val="24"/>
        </w:rPr>
        <w:t xml:space="preserve"> The court of first instance ordered Eskom to restore the supply of electricity to </w:t>
      </w:r>
      <w:r w:rsidR="00096FB8" w:rsidRPr="00285E63">
        <w:rPr>
          <w:rFonts w:ascii="Arial" w:hAnsi="Arial" w:cs="Arial"/>
          <w:color w:val="000000" w:themeColor="text1"/>
          <w:sz w:val="24"/>
          <w:szCs w:val="24"/>
        </w:rPr>
        <w:t xml:space="preserve">the </w:t>
      </w:r>
      <w:r w:rsidRPr="00285E63">
        <w:rPr>
          <w:rFonts w:ascii="Arial" w:hAnsi="Arial" w:cs="Arial"/>
          <w:color w:val="000000" w:themeColor="text1"/>
          <w:sz w:val="24"/>
          <w:szCs w:val="24"/>
        </w:rPr>
        <w:t>respondent’s premises.</w:t>
      </w:r>
      <w:r w:rsidRPr="00285E63">
        <w:rPr>
          <w:rStyle w:val="FootnoteReference"/>
          <w:rFonts w:ascii="Arial" w:hAnsi="Arial" w:cs="Arial"/>
          <w:color w:val="000000" w:themeColor="text1"/>
          <w:sz w:val="24"/>
          <w:szCs w:val="24"/>
        </w:rPr>
        <w:footnoteReference w:id="373"/>
      </w:r>
      <w:r w:rsidRPr="00285E63">
        <w:rPr>
          <w:rFonts w:ascii="Arial" w:hAnsi="Arial" w:cs="Arial"/>
          <w:color w:val="000000" w:themeColor="text1"/>
          <w:sz w:val="24"/>
          <w:szCs w:val="24"/>
        </w:rPr>
        <w:t xml:space="preserve"> Eskom appealed to the Supreme Court of Appeal to decide whether the respondent could rely on the spoliation remedy to restore electricity to her premises.</w:t>
      </w:r>
      <w:r w:rsidRPr="00285E63">
        <w:rPr>
          <w:rStyle w:val="FootnoteReference"/>
          <w:rFonts w:ascii="Arial" w:hAnsi="Arial" w:cs="Arial"/>
          <w:color w:val="000000" w:themeColor="text1"/>
          <w:sz w:val="24"/>
          <w:szCs w:val="24"/>
        </w:rPr>
        <w:footnoteReference w:id="374"/>
      </w:r>
    </w:p>
    <w:p w14:paraId="78B4682E" w14:textId="10FB6B72" w:rsidR="00761FF4" w:rsidRPr="00285E63" w:rsidRDefault="00761FF4" w:rsidP="00761FF4">
      <w:pPr>
        <w:spacing w:line="360" w:lineRule="auto"/>
        <w:jc w:val="both"/>
        <w:rPr>
          <w:rFonts w:ascii="Arial" w:hAnsi="Arial" w:cs="Arial"/>
          <w:color w:val="000000" w:themeColor="text1"/>
          <w:sz w:val="24"/>
          <w:szCs w:val="24"/>
        </w:rPr>
      </w:pPr>
      <w:r w:rsidRPr="00285E63">
        <w:rPr>
          <w:rFonts w:ascii="Arial" w:hAnsi="Arial" w:cs="Arial"/>
          <w:color w:val="000000" w:themeColor="text1"/>
          <w:sz w:val="24"/>
          <w:szCs w:val="24"/>
        </w:rPr>
        <w:t xml:space="preserve">The Supreme Court of Appeal pointed out that </w:t>
      </w:r>
      <w:r w:rsidR="00473F74" w:rsidRPr="00285E63">
        <w:rPr>
          <w:rFonts w:ascii="Arial" w:hAnsi="Arial" w:cs="Arial"/>
          <w:color w:val="000000" w:themeColor="text1"/>
          <w:sz w:val="24"/>
          <w:szCs w:val="24"/>
        </w:rPr>
        <w:t>a</w:t>
      </w:r>
      <w:r w:rsidRPr="00285E63">
        <w:rPr>
          <w:rFonts w:ascii="Arial" w:hAnsi="Arial" w:cs="Arial"/>
          <w:color w:val="000000" w:themeColor="text1"/>
          <w:sz w:val="24"/>
          <w:szCs w:val="24"/>
        </w:rPr>
        <w:t xml:space="preserve"> merits of the case are not investigated in spoliation proceedings.</w:t>
      </w:r>
      <w:r w:rsidRPr="00285E63">
        <w:rPr>
          <w:rStyle w:val="FootnoteReference"/>
          <w:rFonts w:ascii="Arial" w:hAnsi="Arial" w:cs="Arial"/>
          <w:color w:val="000000" w:themeColor="text1"/>
          <w:sz w:val="24"/>
          <w:szCs w:val="24"/>
        </w:rPr>
        <w:footnoteReference w:id="375"/>
      </w:r>
      <w:r w:rsidRPr="00285E63">
        <w:rPr>
          <w:rFonts w:ascii="Arial" w:hAnsi="Arial" w:cs="Arial"/>
          <w:color w:val="000000" w:themeColor="text1"/>
          <w:sz w:val="24"/>
          <w:szCs w:val="24"/>
        </w:rPr>
        <w:t xml:space="preserve"> In line with this principle, the counsel for the respondent argued that the respondent’s electricity supply had to be reconnected before any disputes </w:t>
      </w:r>
      <w:r w:rsidR="00473F74" w:rsidRPr="00285E63">
        <w:rPr>
          <w:rFonts w:ascii="Arial" w:hAnsi="Arial" w:cs="Arial"/>
          <w:color w:val="000000" w:themeColor="text1"/>
          <w:sz w:val="24"/>
          <w:szCs w:val="24"/>
        </w:rPr>
        <w:t xml:space="preserve">pertaining </w:t>
      </w:r>
      <w:r w:rsidRPr="00285E63">
        <w:rPr>
          <w:rFonts w:ascii="Arial" w:hAnsi="Arial" w:cs="Arial"/>
          <w:color w:val="000000" w:themeColor="text1"/>
          <w:sz w:val="24"/>
          <w:szCs w:val="24"/>
        </w:rPr>
        <w:t>to its legality c</w:t>
      </w:r>
      <w:r w:rsidR="00096FB8" w:rsidRPr="00285E63">
        <w:rPr>
          <w:rFonts w:ascii="Arial" w:hAnsi="Arial" w:cs="Arial"/>
          <w:color w:val="000000" w:themeColor="text1"/>
          <w:sz w:val="24"/>
          <w:szCs w:val="24"/>
        </w:rPr>
        <w:t>ould</w:t>
      </w:r>
      <w:r w:rsidRPr="00285E63">
        <w:rPr>
          <w:rFonts w:ascii="Arial" w:hAnsi="Arial" w:cs="Arial"/>
          <w:color w:val="000000" w:themeColor="text1"/>
          <w:sz w:val="24"/>
          <w:szCs w:val="24"/>
        </w:rPr>
        <w:t xml:space="preserve"> be determined.</w:t>
      </w:r>
      <w:r w:rsidRPr="00285E63">
        <w:rPr>
          <w:rStyle w:val="FootnoteReference"/>
          <w:rFonts w:ascii="Arial" w:hAnsi="Arial" w:cs="Arial"/>
          <w:color w:val="000000" w:themeColor="text1"/>
          <w:sz w:val="24"/>
          <w:szCs w:val="24"/>
        </w:rPr>
        <w:footnoteReference w:id="376"/>
      </w:r>
      <w:r w:rsidRPr="00285E63">
        <w:rPr>
          <w:rFonts w:ascii="Arial" w:hAnsi="Arial" w:cs="Arial"/>
          <w:color w:val="000000" w:themeColor="text1"/>
          <w:sz w:val="24"/>
          <w:szCs w:val="24"/>
        </w:rPr>
        <w:t xml:space="preserve"> However, the court belied this principle and held that the spoliation remedy could not be granted because the respondent’s possession of the electricity supply was unlawful and constituted a danger to the public.</w:t>
      </w:r>
      <w:r w:rsidRPr="00285E63">
        <w:rPr>
          <w:rStyle w:val="FootnoteReference"/>
          <w:rFonts w:ascii="Arial" w:hAnsi="Arial" w:cs="Arial"/>
          <w:color w:val="000000" w:themeColor="text1"/>
          <w:sz w:val="24"/>
          <w:szCs w:val="24"/>
        </w:rPr>
        <w:footnoteReference w:id="377"/>
      </w:r>
      <w:r w:rsidRPr="00285E63">
        <w:rPr>
          <w:rFonts w:ascii="Arial" w:hAnsi="Arial" w:cs="Arial"/>
          <w:color w:val="000000" w:themeColor="text1"/>
          <w:sz w:val="24"/>
          <w:szCs w:val="24"/>
        </w:rPr>
        <w:t xml:space="preserve"> It was held that directing the restoration of the electricity connections that were removed would amount to forcing Eskom to commit an act of illegality.</w:t>
      </w:r>
      <w:r w:rsidRPr="00285E63">
        <w:rPr>
          <w:rStyle w:val="FootnoteReference"/>
          <w:rFonts w:ascii="Arial" w:hAnsi="Arial" w:cs="Arial"/>
          <w:color w:val="000000" w:themeColor="text1"/>
          <w:sz w:val="24"/>
          <w:szCs w:val="24"/>
        </w:rPr>
        <w:footnoteReference w:id="378"/>
      </w:r>
      <w:r w:rsidRPr="00285E63">
        <w:rPr>
          <w:rFonts w:ascii="Arial" w:hAnsi="Arial" w:cs="Arial"/>
          <w:color w:val="000000" w:themeColor="text1"/>
          <w:sz w:val="24"/>
          <w:szCs w:val="24"/>
        </w:rPr>
        <w:t xml:space="preserve"> Moreover, the court relied on the authority of the court in </w:t>
      </w:r>
      <w:r w:rsidRPr="00285E63">
        <w:rPr>
          <w:rFonts w:ascii="Arial" w:hAnsi="Arial" w:cs="Arial"/>
          <w:i/>
          <w:iCs/>
          <w:color w:val="000000" w:themeColor="text1"/>
          <w:sz w:val="24"/>
          <w:szCs w:val="24"/>
        </w:rPr>
        <w:t>FirstRand</w:t>
      </w:r>
      <w:r w:rsidRPr="00285E63">
        <w:rPr>
          <w:rFonts w:ascii="Arial" w:hAnsi="Arial" w:cs="Arial"/>
          <w:color w:val="000000" w:themeColor="text1"/>
          <w:sz w:val="24"/>
          <w:szCs w:val="24"/>
        </w:rPr>
        <w:t xml:space="preserve"> to suggest that the nature of the right had to be determined to ascertain whether its </w:t>
      </w:r>
      <w:r w:rsidRPr="00285E63">
        <w:rPr>
          <w:rFonts w:ascii="Arial" w:hAnsi="Arial" w:cs="Arial"/>
          <w:i/>
          <w:iCs/>
          <w:color w:val="000000" w:themeColor="text1"/>
          <w:sz w:val="24"/>
          <w:szCs w:val="24"/>
        </w:rPr>
        <w:t>quasi</w:t>
      </w:r>
      <w:r w:rsidRPr="00285E63">
        <w:rPr>
          <w:rFonts w:ascii="Arial" w:hAnsi="Arial" w:cs="Arial"/>
          <w:color w:val="000000" w:themeColor="text1"/>
          <w:sz w:val="24"/>
          <w:szCs w:val="24"/>
        </w:rPr>
        <w:t>-</w:t>
      </w:r>
      <w:r w:rsidRPr="00285E63">
        <w:rPr>
          <w:rFonts w:ascii="Arial" w:hAnsi="Arial" w:cs="Arial"/>
          <w:color w:val="000000" w:themeColor="text1"/>
          <w:sz w:val="24"/>
          <w:szCs w:val="24"/>
        </w:rPr>
        <w:lastRenderedPageBreak/>
        <w:t xml:space="preserve">possession is protectable under the spoliation remedy because not all </w:t>
      </w:r>
      <w:r w:rsidRPr="00285E63">
        <w:rPr>
          <w:rFonts w:ascii="Arial" w:hAnsi="Arial" w:cs="Arial"/>
          <w:i/>
          <w:iCs/>
          <w:color w:val="000000" w:themeColor="text1"/>
          <w:sz w:val="24"/>
          <w:szCs w:val="24"/>
        </w:rPr>
        <w:t>quasi</w:t>
      </w:r>
      <w:r w:rsidRPr="00285E63">
        <w:rPr>
          <w:rFonts w:ascii="Arial" w:hAnsi="Arial" w:cs="Arial"/>
          <w:color w:val="000000" w:themeColor="text1"/>
          <w:sz w:val="24"/>
          <w:szCs w:val="24"/>
        </w:rPr>
        <w:t>-possession rights are protectable under this remedy.</w:t>
      </w:r>
      <w:r w:rsidRPr="00285E63">
        <w:rPr>
          <w:rStyle w:val="FootnoteReference"/>
          <w:rFonts w:ascii="Arial" w:hAnsi="Arial" w:cs="Arial"/>
          <w:color w:val="000000" w:themeColor="text1"/>
          <w:sz w:val="24"/>
          <w:szCs w:val="24"/>
        </w:rPr>
        <w:footnoteReference w:id="379"/>
      </w:r>
    </w:p>
    <w:p w14:paraId="3C0DA0C7" w14:textId="354AAF85" w:rsidR="00761FF4" w:rsidRPr="00B74F04" w:rsidRDefault="00761FF4" w:rsidP="00761FF4">
      <w:pPr>
        <w:spacing w:line="360" w:lineRule="auto"/>
        <w:jc w:val="both"/>
        <w:rPr>
          <w:rFonts w:ascii="Arial" w:hAnsi="Arial" w:cs="Arial"/>
          <w:sz w:val="24"/>
          <w:szCs w:val="24"/>
        </w:rPr>
      </w:pPr>
      <w:r w:rsidRPr="00285E63">
        <w:rPr>
          <w:rFonts w:ascii="Arial" w:hAnsi="Arial" w:cs="Arial"/>
          <w:color w:val="000000" w:themeColor="text1"/>
          <w:sz w:val="24"/>
          <w:szCs w:val="24"/>
        </w:rPr>
        <w:t>In this case, the court emphasised that the spoliation remedy should not be granted where the right to receive the supply of services is purely personal.</w:t>
      </w:r>
      <w:r w:rsidRPr="00285E63">
        <w:rPr>
          <w:rStyle w:val="FootnoteReference"/>
          <w:rFonts w:ascii="Arial" w:hAnsi="Arial" w:cs="Arial"/>
          <w:color w:val="000000" w:themeColor="text1"/>
          <w:sz w:val="24"/>
          <w:szCs w:val="24"/>
        </w:rPr>
        <w:footnoteReference w:id="380"/>
      </w:r>
      <w:r w:rsidRPr="00285E63">
        <w:rPr>
          <w:rFonts w:ascii="Arial" w:hAnsi="Arial" w:cs="Arial"/>
          <w:color w:val="000000" w:themeColor="text1"/>
          <w:sz w:val="24"/>
          <w:szCs w:val="24"/>
        </w:rPr>
        <w:t xml:space="preserve"> This is because the mere existence of the supply of services is insufficient to establish a right constituting an incident of possession of the property.</w:t>
      </w:r>
      <w:r w:rsidRPr="00285E63">
        <w:rPr>
          <w:rStyle w:val="FootnoteReference"/>
          <w:rFonts w:ascii="Arial" w:hAnsi="Arial" w:cs="Arial"/>
          <w:color w:val="000000" w:themeColor="text1"/>
          <w:sz w:val="24"/>
          <w:szCs w:val="24"/>
        </w:rPr>
        <w:footnoteReference w:id="381"/>
      </w:r>
      <w:r w:rsidRPr="00285E63">
        <w:rPr>
          <w:rFonts w:ascii="Arial" w:hAnsi="Arial" w:cs="Arial"/>
          <w:color w:val="000000" w:themeColor="text1"/>
          <w:sz w:val="24"/>
          <w:szCs w:val="24"/>
        </w:rPr>
        <w:t xml:space="preserve"> According to the court, the nature of the right must vest in the person in possession of the property as an incident of his possession.</w:t>
      </w:r>
      <w:r w:rsidRPr="00285E63">
        <w:rPr>
          <w:rStyle w:val="FootnoteReference"/>
          <w:rFonts w:ascii="Arial" w:hAnsi="Arial" w:cs="Arial"/>
          <w:color w:val="000000" w:themeColor="text1"/>
          <w:sz w:val="24"/>
          <w:szCs w:val="24"/>
        </w:rPr>
        <w:footnoteReference w:id="382"/>
      </w:r>
      <w:r w:rsidRPr="00285E63">
        <w:rPr>
          <w:rFonts w:ascii="Arial" w:hAnsi="Arial" w:cs="Arial"/>
          <w:color w:val="000000" w:themeColor="text1"/>
          <w:sz w:val="24"/>
          <w:szCs w:val="24"/>
        </w:rPr>
        <w:t xml:space="preserve"> In other words, the investigation or an enquiry should seek to determine whether </w:t>
      </w:r>
      <w:r w:rsidR="00096FB8" w:rsidRPr="00285E63">
        <w:rPr>
          <w:rFonts w:ascii="Arial" w:hAnsi="Arial" w:cs="Arial"/>
          <w:color w:val="000000" w:themeColor="text1"/>
          <w:sz w:val="24"/>
          <w:szCs w:val="24"/>
        </w:rPr>
        <w:t>the nature of the right</w:t>
      </w:r>
      <w:r w:rsidRPr="00285E63">
        <w:rPr>
          <w:rFonts w:ascii="Arial" w:hAnsi="Arial" w:cs="Arial"/>
          <w:color w:val="000000" w:themeColor="text1"/>
          <w:sz w:val="24"/>
          <w:szCs w:val="24"/>
        </w:rPr>
        <w:t xml:space="preserve"> is</w:t>
      </w:r>
      <w:r w:rsidR="00EE4536" w:rsidRPr="00285E63">
        <w:rPr>
          <w:rFonts w:ascii="Arial" w:hAnsi="Arial" w:cs="Arial"/>
          <w:color w:val="000000" w:themeColor="text1"/>
          <w:sz w:val="24"/>
          <w:szCs w:val="24"/>
        </w:rPr>
        <w:t xml:space="preserve"> bestowed by a servitude</w:t>
      </w:r>
      <w:r w:rsidR="00DC4B73" w:rsidRPr="00285E63">
        <w:rPr>
          <w:rFonts w:ascii="Arial" w:hAnsi="Arial" w:cs="Arial"/>
          <w:color w:val="000000" w:themeColor="text1"/>
          <w:sz w:val="24"/>
          <w:szCs w:val="24"/>
        </w:rPr>
        <w:t>,</w:t>
      </w:r>
      <w:r w:rsidR="00646020" w:rsidRPr="00285E63">
        <w:rPr>
          <w:rFonts w:ascii="Arial" w:hAnsi="Arial" w:cs="Arial"/>
          <w:color w:val="000000" w:themeColor="text1"/>
          <w:sz w:val="24"/>
          <w:szCs w:val="24"/>
        </w:rPr>
        <w:t xml:space="preserve"> </w:t>
      </w:r>
      <w:r w:rsidRPr="00285E63">
        <w:rPr>
          <w:rFonts w:ascii="Arial" w:hAnsi="Arial" w:cs="Arial"/>
          <w:color w:val="000000" w:themeColor="text1"/>
          <w:sz w:val="24"/>
          <w:szCs w:val="24"/>
        </w:rPr>
        <w:t>registered in respect of land, or has its origin in legislation.</w:t>
      </w:r>
      <w:r w:rsidRPr="00285E63">
        <w:rPr>
          <w:rStyle w:val="FootnoteReference"/>
          <w:rFonts w:ascii="Arial" w:hAnsi="Arial" w:cs="Arial"/>
          <w:color w:val="000000" w:themeColor="text1"/>
          <w:sz w:val="24"/>
          <w:szCs w:val="24"/>
        </w:rPr>
        <w:footnoteReference w:id="383"/>
      </w:r>
      <w:r w:rsidRPr="00285E63">
        <w:rPr>
          <w:rFonts w:ascii="Arial" w:hAnsi="Arial" w:cs="Arial"/>
          <w:color w:val="000000" w:themeColor="text1"/>
          <w:sz w:val="24"/>
          <w:szCs w:val="24"/>
        </w:rPr>
        <w:t xml:space="preserve"> The court found that the respondent’s right to receive electricity was not an incident of possession of her property but a personal right arising from the contractual agreement for the sale of electricity on credit through the </w:t>
      </w:r>
      <w:r w:rsidRPr="00B74F04">
        <w:rPr>
          <w:rFonts w:ascii="Arial" w:hAnsi="Arial" w:cs="Arial"/>
          <w:color w:val="000000" w:themeColor="text1"/>
          <w:sz w:val="24"/>
          <w:szCs w:val="24"/>
        </w:rPr>
        <w:t>prepaid system.</w:t>
      </w:r>
      <w:r w:rsidRPr="00B74F04">
        <w:rPr>
          <w:rStyle w:val="FootnoteReference"/>
          <w:rFonts w:ascii="Arial" w:hAnsi="Arial" w:cs="Arial"/>
          <w:color w:val="000000" w:themeColor="text1"/>
          <w:sz w:val="24"/>
          <w:szCs w:val="24"/>
        </w:rPr>
        <w:footnoteReference w:id="384"/>
      </w:r>
      <w:r w:rsidRPr="00B74F04">
        <w:rPr>
          <w:rFonts w:ascii="Arial" w:hAnsi="Arial" w:cs="Arial"/>
          <w:color w:val="000000" w:themeColor="text1"/>
          <w:sz w:val="24"/>
          <w:szCs w:val="24"/>
        </w:rPr>
        <w:t xml:space="preserve"> </w:t>
      </w:r>
      <w:r w:rsidRPr="00B74F04">
        <w:rPr>
          <w:rFonts w:ascii="Arial" w:hAnsi="Arial" w:cs="Arial"/>
          <w:sz w:val="24"/>
          <w:szCs w:val="24"/>
        </w:rPr>
        <w:t>In addition, the court held that previous cases where the supply of electricity or water was in itself considered an incident of possession of the property were incorrectly decided.</w:t>
      </w:r>
      <w:r w:rsidRPr="00B74F04">
        <w:rPr>
          <w:rStyle w:val="FootnoteReference"/>
          <w:rFonts w:ascii="Arial" w:hAnsi="Arial" w:cs="Arial"/>
          <w:sz w:val="24"/>
          <w:szCs w:val="24"/>
        </w:rPr>
        <w:footnoteReference w:id="385"/>
      </w:r>
    </w:p>
    <w:p w14:paraId="766CB69A" w14:textId="23E25BDD" w:rsidR="004E2E92" w:rsidRPr="00B74F04" w:rsidRDefault="004E2E92" w:rsidP="00761FF4">
      <w:pPr>
        <w:spacing w:line="360" w:lineRule="auto"/>
        <w:jc w:val="both"/>
        <w:rPr>
          <w:rFonts w:ascii="Arial" w:hAnsi="Arial" w:cs="Arial"/>
          <w:sz w:val="24"/>
          <w:szCs w:val="24"/>
        </w:rPr>
      </w:pPr>
      <w:r w:rsidRPr="00B74F04">
        <w:rPr>
          <w:rFonts w:ascii="Arial" w:hAnsi="Arial" w:cs="Arial"/>
          <w:sz w:val="24"/>
          <w:szCs w:val="24"/>
        </w:rPr>
        <w:t xml:space="preserve">It bears repetition that as far as previous authorities are concerned, the spoliation remedy can be applicable where the supply of the service is an incident of possession but not where the supply of a service is personal. Although the judgments of both courts in </w:t>
      </w:r>
      <w:r w:rsidRPr="00B74F04">
        <w:rPr>
          <w:rFonts w:ascii="Arial" w:hAnsi="Arial" w:cs="Arial"/>
          <w:i/>
          <w:iCs/>
          <w:sz w:val="24"/>
          <w:szCs w:val="24"/>
        </w:rPr>
        <w:t xml:space="preserve">Masinda </w:t>
      </w:r>
      <w:r w:rsidRPr="00B74F04">
        <w:rPr>
          <w:rFonts w:ascii="Arial" w:hAnsi="Arial" w:cs="Arial"/>
          <w:sz w:val="24"/>
          <w:szCs w:val="24"/>
        </w:rPr>
        <w:t xml:space="preserve">and </w:t>
      </w:r>
      <w:r w:rsidRPr="00B74F04">
        <w:rPr>
          <w:rFonts w:ascii="Arial" w:hAnsi="Arial" w:cs="Arial"/>
          <w:i/>
          <w:iCs/>
          <w:sz w:val="24"/>
          <w:szCs w:val="24"/>
        </w:rPr>
        <w:t>FirstRand</w:t>
      </w:r>
      <w:r w:rsidRPr="00B74F04">
        <w:rPr>
          <w:rFonts w:ascii="Arial" w:hAnsi="Arial" w:cs="Arial"/>
          <w:sz w:val="24"/>
          <w:szCs w:val="24"/>
        </w:rPr>
        <w:t xml:space="preserve"> contributed to the clarification that the spoliation remedy cannot be used to enforce a claim of specific performance of a contract, they do not assist in determining the circumstances under which an infringement of a right derived from </w:t>
      </w:r>
      <w:r w:rsidR="00242739" w:rsidRPr="00B74F04">
        <w:rPr>
          <w:rFonts w:ascii="Arial" w:hAnsi="Arial" w:cs="Arial"/>
          <w:sz w:val="24"/>
          <w:szCs w:val="24"/>
        </w:rPr>
        <w:t xml:space="preserve">the </w:t>
      </w:r>
      <w:r w:rsidRPr="00B74F04">
        <w:rPr>
          <w:rFonts w:ascii="Arial" w:hAnsi="Arial" w:cs="Arial"/>
          <w:sz w:val="24"/>
          <w:szCs w:val="24"/>
        </w:rPr>
        <w:t>contract can receive protection under the spoliation remedy.</w:t>
      </w:r>
      <w:r w:rsidRPr="00B74F04">
        <w:rPr>
          <w:rStyle w:val="FootnoteReference"/>
          <w:rFonts w:ascii="Arial" w:hAnsi="Arial" w:cs="Arial"/>
          <w:sz w:val="24"/>
          <w:szCs w:val="24"/>
        </w:rPr>
        <w:footnoteReference w:id="386"/>
      </w:r>
      <w:r w:rsidRPr="00B74F04">
        <w:rPr>
          <w:rFonts w:ascii="Arial" w:hAnsi="Arial" w:cs="Arial"/>
          <w:sz w:val="24"/>
          <w:szCs w:val="24"/>
        </w:rPr>
        <w:t xml:space="preserve"> Moreover, even though the court in </w:t>
      </w:r>
      <w:r w:rsidRPr="00B74F04">
        <w:rPr>
          <w:rFonts w:ascii="Arial" w:hAnsi="Arial" w:cs="Arial"/>
          <w:i/>
          <w:iCs/>
          <w:sz w:val="24"/>
          <w:szCs w:val="24"/>
        </w:rPr>
        <w:t>Impala Water Users Association</w:t>
      </w:r>
      <w:r w:rsidRPr="00B74F04">
        <w:rPr>
          <w:rFonts w:ascii="Arial" w:hAnsi="Arial" w:cs="Arial"/>
          <w:sz w:val="24"/>
          <w:szCs w:val="24"/>
        </w:rPr>
        <w:t xml:space="preserve"> provided some clarity about when the </w:t>
      </w:r>
      <w:r w:rsidRPr="00B74F04">
        <w:rPr>
          <w:rFonts w:ascii="Arial" w:hAnsi="Arial" w:cs="Arial"/>
          <w:i/>
          <w:iCs/>
          <w:sz w:val="24"/>
          <w:szCs w:val="24"/>
        </w:rPr>
        <w:t>quasi</w:t>
      </w:r>
      <w:r w:rsidRPr="00B74F04">
        <w:rPr>
          <w:rFonts w:ascii="Arial" w:hAnsi="Arial" w:cs="Arial"/>
          <w:sz w:val="24"/>
          <w:szCs w:val="24"/>
        </w:rPr>
        <w:t>-possession of an incorporeal is also an incident of possession of the premises - when it held that ‘the applicants’ use of water was not merely personal but an incident of the use of the land’</w:t>
      </w:r>
      <w:r w:rsidR="00473F74" w:rsidRPr="00B74F04">
        <w:rPr>
          <w:rFonts w:ascii="Arial" w:hAnsi="Arial" w:cs="Arial"/>
          <w:sz w:val="24"/>
          <w:szCs w:val="24"/>
        </w:rPr>
        <w:t>,</w:t>
      </w:r>
      <w:r w:rsidRPr="00B74F04">
        <w:rPr>
          <w:rFonts w:ascii="Arial" w:hAnsi="Arial" w:cs="Arial"/>
          <w:sz w:val="24"/>
          <w:szCs w:val="24"/>
        </w:rPr>
        <w:t xml:space="preserve"> the position was still not </w:t>
      </w:r>
      <w:r w:rsidRPr="00B74F04">
        <w:rPr>
          <w:rFonts w:ascii="Arial" w:hAnsi="Arial" w:cs="Arial"/>
          <w:sz w:val="24"/>
          <w:szCs w:val="24"/>
        </w:rPr>
        <w:lastRenderedPageBreak/>
        <w:t>completely clear.</w:t>
      </w:r>
      <w:r w:rsidRPr="00B74F04">
        <w:rPr>
          <w:rStyle w:val="FootnoteReference"/>
          <w:rFonts w:ascii="Arial" w:hAnsi="Arial" w:cs="Arial"/>
          <w:sz w:val="24"/>
          <w:szCs w:val="24"/>
        </w:rPr>
        <w:footnoteReference w:id="387"/>
      </w:r>
      <w:r w:rsidRPr="00B74F04">
        <w:rPr>
          <w:rFonts w:ascii="Arial" w:hAnsi="Arial" w:cs="Arial"/>
          <w:sz w:val="24"/>
          <w:szCs w:val="24"/>
        </w:rPr>
        <w:t xml:space="preserve"> There was a pressing need to differentiate between cases where the supply of</w:t>
      </w:r>
      <w:r w:rsidR="00473F74" w:rsidRPr="00B74F04">
        <w:rPr>
          <w:rFonts w:ascii="Arial" w:hAnsi="Arial" w:cs="Arial"/>
          <w:sz w:val="24"/>
          <w:szCs w:val="24"/>
        </w:rPr>
        <w:t xml:space="preserve"> a</w:t>
      </w:r>
      <w:r w:rsidRPr="00B74F04">
        <w:rPr>
          <w:rFonts w:ascii="Arial" w:hAnsi="Arial" w:cs="Arial"/>
          <w:sz w:val="24"/>
          <w:szCs w:val="24"/>
        </w:rPr>
        <w:t xml:space="preserve"> service forms part </w:t>
      </w:r>
      <w:r w:rsidR="00242739" w:rsidRPr="00B74F04">
        <w:rPr>
          <w:rFonts w:ascii="Arial" w:hAnsi="Arial" w:cs="Arial"/>
          <w:sz w:val="24"/>
          <w:szCs w:val="24"/>
        </w:rPr>
        <w:t xml:space="preserve">of </w:t>
      </w:r>
      <w:r w:rsidRPr="00B74F04">
        <w:rPr>
          <w:rFonts w:ascii="Arial" w:hAnsi="Arial" w:cs="Arial"/>
          <w:sz w:val="24"/>
          <w:szCs w:val="24"/>
        </w:rPr>
        <w:t>an incident of possession on the one hand and cases where the use of the supply is merely personal and not an incident of possession of the premises.</w:t>
      </w:r>
      <w:r w:rsidRPr="00B74F04">
        <w:rPr>
          <w:rStyle w:val="FootnoteReference"/>
          <w:rFonts w:ascii="Arial" w:hAnsi="Arial" w:cs="Arial"/>
          <w:sz w:val="24"/>
          <w:szCs w:val="24"/>
        </w:rPr>
        <w:footnoteReference w:id="388"/>
      </w:r>
    </w:p>
    <w:p w14:paraId="71DDB3B4" w14:textId="1855BED2" w:rsidR="00761FF4" w:rsidRPr="00B74F04" w:rsidRDefault="00761FF4" w:rsidP="00761FF4">
      <w:pPr>
        <w:spacing w:line="360" w:lineRule="auto"/>
        <w:jc w:val="both"/>
        <w:rPr>
          <w:rFonts w:ascii="Arial" w:hAnsi="Arial" w:cs="Arial"/>
          <w:sz w:val="24"/>
          <w:szCs w:val="24"/>
        </w:rPr>
      </w:pPr>
      <w:r w:rsidRPr="00B74F04">
        <w:rPr>
          <w:rFonts w:ascii="Arial" w:hAnsi="Arial" w:cs="Arial"/>
          <w:sz w:val="24"/>
          <w:szCs w:val="24"/>
        </w:rPr>
        <w:t xml:space="preserve">In the Western Cape Division of the High Court in </w:t>
      </w:r>
      <w:r w:rsidRPr="00B74F04">
        <w:rPr>
          <w:rFonts w:ascii="Arial" w:hAnsi="Arial" w:cs="Arial"/>
          <w:i/>
          <w:iCs/>
          <w:sz w:val="24"/>
          <w:szCs w:val="24"/>
          <w:lang w:val="en-GB"/>
        </w:rPr>
        <w:t>Makeshift 1190 (Pty) Ltd v Cilliers</w:t>
      </w:r>
      <w:r w:rsidRPr="00B74F04">
        <w:rPr>
          <w:rFonts w:ascii="Arial" w:hAnsi="Arial" w:cs="Arial"/>
          <w:sz w:val="24"/>
          <w:szCs w:val="24"/>
          <w:lang w:val="en-GB"/>
        </w:rPr>
        <w:t>,</w:t>
      </w:r>
      <w:r w:rsidRPr="00B74F04">
        <w:rPr>
          <w:sz w:val="20"/>
          <w:szCs w:val="20"/>
          <w:lang w:val="en-GB"/>
        </w:rPr>
        <w:t xml:space="preserve"> </w:t>
      </w:r>
      <w:r w:rsidRPr="00B74F04">
        <w:rPr>
          <w:rFonts w:ascii="Arial" w:hAnsi="Arial" w:cs="Arial"/>
          <w:sz w:val="24"/>
          <w:szCs w:val="24"/>
        </w:rPr>
        <w:t xml:space="preserve">Rogers J commented on the position of the court in </w:t>
      </w:r>
      <w:r w:rsidRPr="00B74F04">
        <w:rPr>
          <w:rFonts w:ascii="Arial" w:hAnsi="Arial" w:cs="Arial"/>
          <w:i/>
          <w:iCs/>
          <w:sz w:val="24"/>
          <w:szCs w:val="24"/>
        </w:rPr>
        <w:t>Masinda</w:t>
      </w:r>
      <w:r w:rsidRPr="00B74F04">
        <w:rPr>
          <w:rFonts w:ascii="Arial" w:hAnsi="Arial" w:cs="Arial"/>
          <w:sz w:val="24"/>
          <w:szCs w:val="24"/>
        </w:rPr>
        <w:t xml:space="preserve"> as follows: (</w:t>
      </w:r>
      <w:proofErr w:type="spellStart"/>
      <w:r w:rsidRPr="00B74F04">
        <w:rPr>
          <w:rFonts w:ascii="Arial" w:hAnsi="Arial" w:cs="Arial"/>
          <w:sz w:val="24"/>
          <w:szCs w:val="24"/>
        </w:rPr>
        <w:t>i</w:t>
      </w:r>
      <w:proofErr w:type="spellEnd"/>
      <w:r w:rsidRPr="00B74F04">
        <w:rPr>
          <w:rFonts w:ascii="Arial" w:hAnsi="Arial" w:cs="Arial"/>
          <w:sz w:val="24"/>
          <w:szCs w:val="24"/>
        </w:rPr>
        <w:t>) He states that he understood Leach JA to mean that an alleged right to the supply of electricity should be a servitude or a registered statutory right for it to find protection under the spoliation remedy.</w:t>
      </w:r>
      <w:r w:rsidRPr="00B74F04">
        <w:rPr>
          <w:rStyle w:val="FootnoteReference"/>
          <w:rFonts w:ascii="Arial" w:hAnsi="Arial" w:cs="Arial"/>
          <w:sz w:val="24"/>
          <w:szCs w:val="24"/>
        </w:rPr>
        <w:footnoteReference w:id="389"/>
      </w:r>
      <w:r w:rsidRPr="00B17C11">
        <w:rPr>
          <w:rFonts w:ascii="Arial" w:hAnsi="Arial" w:cs="Arial"/>
          <w:sz w:val="24"/>
          <w:szCs w:val="24"/>
        </w:rPr>
        <w:t xml:space="preserve"> He argued that between cases where the alleged right is a servitude or a registered statutory right and cases where the right is purely personal, there are also cases in which, despite the personal nature of the alleged right, the right is not purely personal but an incident of possession of the property.</w:t>
      </w:r>
      <w:r w:rsidRPr="00B17C11">
        <w:rPr>
          <w:rStyle w:val="FootnoteReference"/>
          <w:rFonts w:ascii="Arial" w:hAnsi="Arial" w:cs="Arial"/>
          <w:sz w:val="24"/>
          <w:szCs w:val="24"/>
        </w:rPr>
        <w:footnoteReference w:id="390"/>
      </w:r>
      <w:r w:rsidRPr="00B17C11">
        <w:rPr>
          <w:rFonts w:ascii="Arial" w:hAnsi="Arial" w:cs="Arial"/>
          <w:sz w:val="24"/>
          <w:szCs w:val="24"/>
        </w:rPr>
        <w:t xml:space="preserve"> </w:t>
      </w:r>
      <w:r w:rsidRPr="00B74F04">
        <w:rPr>
          <w:rFonts w:ascii="Arial" w:hAnsi="Arial" w:cs="Arial"/>
          <w:sz w:val="24"/>
          <w:szCs w:val="24"/>
        </w:rPr>
        <w:t xml:space="preserve">He further pointed out that Leach JA did not mean that cases such as </w:t>
      </w:r>
      <w:r w:rsidRPr="00B74F04">
        <w:rPr>
          <w:rFonts w:ascii="Arial" w:hAnsi="Arial" w:cs="Arial"/>
          <w:i/>
          <w:iCs/>
          <w:sz w:val="24"/>
          <w:szCs w:val="24"/>
        </w:rPr>
        <w:t>Naidoo</w:t>
      </w:r>
      <w:r w:rsidRPr="00B74F04">
        <w:rPr>
          <w:rFonts w:ascii="Arial" w:hAnsi="Arial" w:cs="Arial"/>
          <w:sz w:val="24"/>
          <w:szCs w:val="24"/>
        </w:rPr>
        <w:t xml:space="preserve"> and </w:t>
      </w:r>
      <w:r w:rsidRPr="00B74F04">
        <w:rPr>
          <w:rFonts w:ascii="Arial" w:hAnsi="Arial" w:cs="Arial"/>
          <w:i/>
          <w:iCs/>
          <w:sz w:val="24"/>
          <w:szCs w:val="24"/>
        </w:rPr>
        <w:t>Froman</w:t>
      </w:r>
      <w:r w:rsidRPr="00B74F04">
        <w:rPr>
          <w:rFonts w:ascii="Arial" w:hAnsi="Arial" w:cs="Arial"/>
          <w:sz w:val="24"/>
          <w:szCs w:val="24"/>
        </w:rPr>
        <w:t xml:space="preserve"> were incorrectly decided. Rather, he merely criticised the reasoning of previous cases insofar as it was held that the supply of electricity is, in itself, and without more, an incident of possession.</w:t>
      </w:r>
      <w:r w:rsidRPr="00B74F04">
        <w:rPr>
          <w:rStyle w:val="FootnoteReference"/>
          <w:rFonts w:ascii="Arial" w:hAnsi="Arial" w:cs="Arial"/>
          <w:sz w:val="24"/>
          <w:szCs w:val="24"/>
        </w:rPr>
        <w:footnoteReference w:id="391"/>
      </w:r>
      <w:r w:rsidRPr="00B74F04">
        <w:rPr>
          <w:rFonts w:ascii="Arial" w:hAnsi="Arial" w:cs="Arial"/>
          <w:sz w:val="24"/>
          <w:szCs w:val="24"/>
        </w:rPr>
        <w:t xml:space="preserve"> Otherwise, this would have contradicted the views of Van der Walt, </w:t>
      </w:r>
      <w:r w:rsidR="009001A7" w:rsidRPr="00B74F04">
        <w:rPr>
          <w:rFonts w:ascii="Arial" w:hAnsi="Arial" w:cs="Arial"/>
          <w:sz w:val="24"/>
          <w:szCs w:val="24"/>
        </w:rPr>
        <w:t>D</w:t>
      </w:r>
      <w:r w:rsidRPr="00B74F04">
        <w:rPr>
          <w:rFonts w:ascii="Arial" w:hAnsi="Arial" w:cs="Arial"/>
          <w:sz w:val="24"/>
          <w:szCs w:val="24"/>
        </w:rPr>
        <w:t xml:space="preserve">e Waal, </w:t>
      </w:r>
      <w:proofErr w:type="spellStart"/>
      <w:r w:rsidRPr="00B74F04">
        <w:rPr>
          <w:rFonts w:ascii="Arial" w:hAnsi="Arial" w:cs="Arial"/>
          <w:sz w:val="24"/>
          <w:szCs w:val="24"/>
        </w:rPr>
        <w:t>Sonnekus</w:t>
      </w:r>
      <w:proofErr w:type="spellEnd"/>
      <w:r w:rsidRPr="00B74F04">
        <w:rPr>
          <w:rFonts w:ascii="Arial" w:hAnsi="Arial" w:cs="Arial"/>
          <w:sz w:val="24"/>
          <w:szCs w:val="24"/>
        </w:rPr>
        <w:t xml:space="preserve">, and Kleyn, who all agreed that the spoliation remedy was correctly granted in the common law cases of </w:t>
      </w:r>
      <w:r w:rsidRPr="00B74F04">
        <w:rPr>
          <w:rFonts w:ascii="Arial" w:hAnsi="Arial" w:cs="Arial"/>
          <w:i/>
          <w:iCs/>
          <w:sz w:val="24"/>
          <w:szCs w:val="24"/>
        </w:rPr>
        <w:t>Naidoo</w:t>
      </w:r>
      <w:r w:rsidRPr="00B74F04">
        <w:rPr>
          <w:rFonts w:ascii="Arial" w:hAnsi="Arial" w:cs="Arial"/>
          <w:sz w:val="24"/>
          <w:szCs w:val="24"/>
        </w:rPr>
        <w:t xml:space="preserve"> and </w:t>
      </w:r>
      <w:r w:rsidRPr="00B74F04">
        <w:rPr>
          <w:rFonts w:ascii="Arial" w:hAnsi="Arial" w:cs="Arial"/>
          <w:i/>
          <w:iCs/>
          <w:sz w:val="24"/>
          <w:szCs w:val="24"/>
        </w:rPr>
        <w:t>Froman</w:t>
      </w:r>
      <w:r w:rsidRPr="00B74F04">
        <w:rPr>
          <w:rFonts w:ascii="Arial" w:hAnsi="Arial" w:cs="Arial"/>
          <w:sz w:val="24"/>
          <w:szCs w:val="24"/>
        </w:rPr>
        <w:t>.</w:t>
      </w:r>
      <w:r w:rsidRPr="00B74F04">
        <w:rPr>
          <w:rStyle w:val="FootnoteReference"/>
          <w:rFonts w:ascii="Arial" w:hAnsi="Arial" w:cs="Arial"/>
          <w:sz w:val="24"/>
          <w:szCs w:val="24"/>
        </w:rPr>
        <w:footnoteReference w:id="392"/>
      </w:r>
    </w:p>
    <w:p w14:paraId="6143F02F" w14:textId="13CDA19A" w:rsidR="00761FF4" w:rsidRPr="00B74F04" w:rsidRDefault="00761FF4" w:rsidP="00761FF4">
      <w:pPr>
        <w:spacing w:line="360" w:lineRule="auto"/>
        <w:jc w:val="both"/>
        <w:rPr>
          <w:rFonts w:ascii="Arial" w:hAnsi="Arial" w:cs="Arial"/>
          <w:sz w:val="24"/>
          <w:szCs w:val="24"/>
        </w:rPr>
      </w:pPr>
      <w:r w:rsidRPr="00B74F04">
        <w:rPr>
          <w:rFonts w:ascii="Arial" w:hAnsi="Arial" w:cs="Arial"/>
          <w:sz w:val="24"/>
          <w:szCs w:val="24"/>
        </w:rPr>
        <w:t xml:space="preserve">In </w:t>
      </w:r>
      <w:r w:rsidRPr="00B74F04">
        <w:rPr>
          <w:rFonts w:ascii="Arial" w:hAnsi="Arial" w:cs="Arial"/>
          <w:i/>
          <w:iCs/>
          <w:sz w:val="24"/>
          <w:szCs w:val="24"/>
        </w:rPr>
        <w:t>Makeshift</w:t>
      </w:r>
      <w:r w:rsidRPr="00B74F04">
        <w:rPr>
          <w:rFonts w:ascii="Arial" w:hAnsi="Arial" w:cs="Arial"/>
          <w:sz w:val="24"/>
          <w:szCs w:val="24"/>
        </w:rPr>
        <w:t xml:space="preserve">, the appellant owned a farm that </w:t>
      </w:r>
      <w:r w:rsidR="00A72882" w:rsidRPr="00B74F04">
        <w:rPr>
          <w:rFonts w:ascii="Arial" w:hAnsi="Arial" w:cs="Arial"/>
          <w:sz w:val="24"/>
          <w:szCs w:val="24"/>
        </w:rPr>
        <w:t>the respondent occupied</w:t>
      </w:r>
      <w:r w:rsidRPr="00B74F04">
        <w:rPr>
          <w:rFonts w:ascii="Arial" w:hAnsi="Arial" w:cs="Arial"/>
          <w:sz w:val="24"/>
          <w:szCs w:val="24"/>
        </w:rPr>
        <w:t xml:space="preserve"> as her home.</w:t>
      </w:r>
      <w:r w:rsidRPr="00B74F04">
        <w:rPr>
          <w:rStyle w:val="FootnoteReference"/>
          <w:rFonts w:ascii="Arial" w:hAnsi="Arial" w:cs="Arial"/>
          <w:sz w:val="24"/>
          <w:szCs w:val="24"/>
        </w:rPr>
        <w:footnoteReference w:id="393"/>
      </w:r>
      <w:r w:rsidRPr="00B74F04">
        <w:rPr>
          <w:rFonts w:ascii="Arial" w:hAnsi="Arial" w:cs="Arial"/>
          <w:sz w:val="24"/>
          <w:szCs w:val="24"/>
        </w:rPr>
        <w:t xml:space="preserve"> The appellant permitted the respondent to use the electricity supplied by Eskom as an incident of her occupation of the farm.</w:t>
      </w:r>
      <w:r w:rsidRPr="00B74F04">
        <w:rPr>
          <w:rStyle w:val="FootnoteReference"/>
          <w:rFonts w:ascii="Arial" w:hAnsi="Arial" w:cs="Arial"/>
          <w:sz w:val="24"/>
          <w:szCs w:val="24"/>
        </w:rPr>
        <w:footnoteReference w:id="394"/>
      </w:r>
      <w:r w:rsidRPr="00B74F04">
        <w:rPr>
          <w:rFonts w:ascii="Arial" w:hAnsi="Arial" w:cs="Arial"/>
          <w:sz w:val="24"/>
          <w:szCs w:val="24"/>
        </w:rPr>
        <w:t xml:space="preserve"> It appears from the facts that Makeshift 1109 (Pty) Ltd, a party to the electricity contract entered </w:t>
      </w:r>
      <w:r w:rsidR="00883829" w:rsidRPr="00B74F04">
        <w:rPr>
          <w:rFonts w:ascii="Arial" w:hAnsi="Arial" w:cs="Arial"/>
          <w:sz w:val="24"/>
          <w:szCs w:val="24"/>
        </w:rPr>
        <w:t xml:space="preserve">into </w:t>
      </w:r>
      <w:r w:rsidRPr="00B74F04">
        <w:rPr>
          <w:rFonts w:ascii="Arial" w:hAnsi="Arial" w:cs="Arial"/>
          <w:sz w:val="24"/>
          <w:szCs w:val="24"/>
        </w:rPr>
        <w:t>with Eskom, installed solar panels that provided enough electricity to the farm.</w:t>
      </w:r>
      <w:r w:rsidRPr="00B74F04">
        <w:rPr>
          <w:rStyle w:val="FootnoteReference"/>
          <w:rFonts w:ascii="Arial" w:hAnsi="Arial" w:cs="Arial"/>
          <w:sz w:val="24"/>
          <w:szCs w:val="24"/>
        </w:rPr>
        <w:footnoteReference w:id="395"/>
      </w:r>
      <w:r w:rsidRPr="00B74F04">
        <w:rPr>
          <w:rFonts w:ascii="Arial" w:hAnsi="Arial" w:cs="Arial"/>
          <w:sz w:val="24"/>
          <w:szCs w:val="24"/>
        </w:rPr>
        <w:t xml:space="preserve"> During this time, the store building that </w:t>
      </w:r>
      <w:r w:rsidR="00A72882" w:rsidRPr="00B74F04">
        <w:rPr>
          <w:rFonts w:ascii="Arial" w:hAnsi="Arial" w:cs="Arial"/>
          <w:sz w:val="24"/>
          <w:szCs w:val="24"/>
        </w:rPr>
        <w:t>the respondent occupied</w:t>
      </w:r>
      <w:r w:rsidRPr="00B74F04">
        <w:rPr>
          <w:rFonts w:ascii="Arial" w:hAnsi="Arial" w:cs="Arial"/>
          <w:sz w:val="24"/>
          <w:szCs w:val="24"/>
        </w:rPr>
        <w:t xml:space="preserve"> was the only part of the farm which still received electricity supply from Eskom.</w:t>
      </w:r>
      <w:r w:rsidRPr="00B74F04">
        <w:rPr>
          <w:rStyle w:val="FootnoteReference"/>
          <w:rFonts w:ascii="Arial" w:hAnsi="Arial" w:cs="Arial"/>
          <w:sz w:val="24"/>
          <w:szCs w:val="24"/>
        </w:rPr>
        <w:footnoteReference w:id="396"/>
      </w:r>
      <w:r w:rsidRPr="00B74F04">
        <w:rPr>
          <w:rFonts w:ascii="Arial" w:hAnsi="Arial" w:cs="Arial"/>
          <w:sz w:val="24"/>
          <w:szCs w:val="24"/>
        </w:rPr>
        <w:t xml:space="preserve"> Although the electricity bill to the ‘store’ was paid by </w:t>
      </w:r>
      <w:r w:rsidRPr="00B74F04">
        <w:rPr>
          <w:rFonts w:ascii="Arial" w:hAnsi="Arial" w:cs="Arial"/>
          <w:sz w:val="24"/>
          <w:szCs w:val="24"/>
        </w:rPr>
        <w:lastRenderedPageBreak/>
        <w:t>the respondent’s husband, Makeshift 1109 (Pty) Ltd decided to cancel its contract with Eskom, which consequently led to the termination of the electricity supply to the store – the only place that was still dependent on the supply of electricity.</w:t>
      </w:r>
      <w:r w:rsidRPr="00B74F04">
        <w:rPr>
          <w:rStyle w:val="FootnoteReference"/>
          <w:rFonts w:ascii="Arial" w:hAnsi="Arial" w:cs="Arial"/>
          <w:sz w:val="24"/>
          <w:szCs w:val="24"/>
        </w:rPr>
        <w:footnoteReference w:id="397"/>
      </w:r>
      <w:r w:rsidRPr="00B74F04">
        <w:rPr>
          <w:rFonts w:ascii="Arial" w:hAnsi="Arial" w:cs="Arial"/>
          <w:sz w:val="24"/>
          <w:szCs w:val="24"/>
        </w:rPr>
        <w:t xml:space="preserve"> The installation of solar panels and the subsequent termination of the electricity contract with Eskom occurred following a strained relationship between the appellant and the respondent. This gave the impression that her connection to the electricity was disconnected </w:t>
      </w:r>
      <w:r w:rsidR="006B08D3" w:rsidRPr="00B74F04">
        <w:rPr>
          <w:rFonts w:ascii="Arial" w:hAnsi="Arial" w:cs="Arial"/>
          <w:sz w:val="24"/>
          <w:szCs w:val="24"/>
        </w:rPr>
        <w:t>to</w:t>
      </w:r>
      <w:r w:rsidRPr="00B74F04">
        <w:rPr>
          <w:rFonts w:ascii="Arial" w:hAnsi="Arial" w:cs="Arial"/>
          <w:sz w:val="24"/>
          <w:szCs w:val="24"/>
        </w:rPr>
        <w:t xml:space="preserve"> force her off the farm.</w:t>
      </w:r>
      <w:r w:rsidRPr="00B74F04">
        <w:rPr>
          <w:rStyle w:val="FootnoteReference"/>
          <w:rFonts w:ascii="Arial" w:hAnsi="Arial" w:cs="Arial"/>
          <w:sz w:val="24"/>
          <w:szCs w:val="24"/>
        </w:rPr>
        <w:footnoteReference w:id="398"/>
      </w:r>
    </w:p>
    <w:p w14:paraId="06621537" w14:textId="77122A86" w:rsidR="00761FF4" w:rsidRPr="00B74F04" w:rsidRDefault="00761FF4" w:rsidP="00761FF4">
      <w:pPr>
        <w:spacing w:line="360" w:lineRule="auto"/>
        <w:jc w:val="both"/>
        <w:rPr>
          <w:rFonts w:ascii="Arial" w:hAnsi="Arial" w:cs="Arial"/>
          <w:sz w:val="24"/>
          <w:szCs w:val="24"/>
        </w:rPr>
      </w:pPr>
      <w:r w:rsidRPr="00B74F04">
        <w:rPr>
          <w:rFonts w:ascii="Arial" w:hAnsi="Arial" w:cs="Arial"/>
          <w:sz w:val="24"/>
          <w:szCs w:val="24"/>
        </w:rPr>
        <w:t xml:space="preserve">The respondent launched an urgent </w:t>
      </w:r>
      <w:r w:rsidRPr="00B74F04">
        <w:rPr>
          <w:rFonts w:ascii="Arial" w:hAnsi="Arial" w:cs="Arial"/>
          <w:i/>
          <w:iCs/>
          <w:sz w:val="24"/>
          <w:szCs w:val="24"/>
        </w:rPr>
        <w:t>ex</w:t>
      </w:r>
      <w:r w:rsidRPr="00B74F04">
        <w:rPr>
          <w:rFonts w:ascii="Arial" w:hAnsi="Arial" w:cs="Arial"/>
          <w:sz w:val="24"/>
          <w:szCs w:val="24"/>
        </w:rPr>
        <w:t xml:space="preserve"> </w:t>
      </w:r>
      <w:proofErr w:type="spellStart"/>
      <w:r w:rsidRPr="00B74F04">
        <w:rPr>
          <w:rFonts w:ascii="Arial" w:hAnsi="Arial" w:cs="Arial"/>
          <w:i/>
          <w:iCs/>
          <w:sz w:val="24"/>
          <w:szCs w:val="24"/>
        </w:rPr>
        <w:t>parte</w:t>
      </w:r>
      <w:proofErr w:type="spellEnd"/>
      <w:r w:rsidRPr="00B74F04">
        <w:rPr>
          <w:rFonts w:ascii="Arial" w:hAnsi="Arial" w:cs="Arial"/>
          <w:sz w:val="24"/>
          <w:szCs w:val="24"/>
        </w:rPr>
        <w:t xml:space="preserve"> spoliation </w:t>
      </w:r>
      <w:r w:rsidR="00883829" w:rsidRPr="00B74F04">
        <w:rPr>
          <w:rFonts w:ascii="Arial" w:hAnsi="Arial" w:cs="Arial"/>
          <w:sz w:val="24"/>
          <w:szCs w:val="24"/>
        </w:rPr>
        <w:t xml:space="preserve">application according </w:t>
      </w:r>
      <w:r w:rsidRPr="00B74F04">
        <w:rPr>
          <w:rFonts w:ascii="Arial" w:hAnsi="Arial" w:cs="Arial"/>
          <w:sz w:val="24"/>
          <w:szCs w:val="24"/>
        </w:rPr>
        <w:t>to which Makeshift 1109 (Pty) Ltd was required to restore the supply of electricity to the store occupied by the respondent and prohibited from depriving the respondent of her possession or use of water and electricity supply without a court order.</w:t>
      </w:r>
      <w:r w:rsidRPr="00B74F04">
        <w:rPr>
          <w:rStyle w:val="FootnoteReference"/>
          <w:rFonts w:ascii="Arial" w:hAnsi="Arial" w:cs="Arial"/>
          <w:sz w:val="24"/>
          <w:szCs w:val="24"/>
        </w:rPr>
        <w:footnoteReference w:id="399"/>
      </w:r>
    </w:p>
    <w:p w14:paraId="7BD4A629" w14:textId="49F72F91" w:rsidR="00761FF4" w:rsidRPr="00B74F04" w:rsidRDefault="00761FF4" w:rsidP="00761FF4">
      <w:pPr>
        <w:spacing w:line="360" w:lineRule="auto"/>
        <w:jc w:val="both"/>
        <w:rPr>
          <w:rFonts w:ascii="Arial" w:hAnsi="Arial" w:cs="Arial"/>
          <w:color w:val="000000" w:themeColor="text1"/>
          <w:sz w:val="24"/>
          <w:szCs w:val="24"/>
        </w:rPr>
      </w:pPr>
      <w:r w:rsidRPr="00B74F04">
        <w:rPr>
          <w:rFonts w:ascii="Arial" w:hAnsi="Arial" w:cs="Arial"/>
          <w:sz w:val="24"/>
          <w:szCs w:val="24"/>
        </w:rPr>
        <w:t xml:space="preserve">In the appeal to the Cape High Court, Makeshift 1109 (Pty) Ltd relied on the decision of the court in </w:t>
      </w:r>
      <w:r w:rsidRPr="00B74F04">
        <w:rPr>
          <w:rFonts w:ascii="Arial" w:hAnsi="Arial" w:cs="Arial"/>
          <w:i/>
          <w:iCs/>
          <w:sz w:val="24"/>
          <w:szCs w:val="24"/>
        </w:rPr>
        <w:t>Masinda</w:t>
      </w:r>
      <w:r w:rsidRPr="00B74F04">
        <w:rPr>
          <w:rFonts w:ascii="Arial" w:hAnsi="Arial" w:cs="Arial"/>
          <w:sz w:val="24"/>
          <w:szCs w:val="24"/>
        </w:rPr>
        <w:t xml:space="preserve"> to argue that the respondent’s possession of the electricity supply was not protectable under the spoliation remedy.</w:t>
      </w:r>
      <w:r w:rsidRPr="00B74F04">
        <w:rPr>
          <w:rStyle w:val="FootnoteReference"/>
          <w:rFonts w:ascii="Arial" w:hAnsi="Arial" w:cs="Arial"/>
          <w:sz w:val="24"/>
          <w:szCs w:val="24"/>
        </w:rPr>
        <w:footnoteReference w:id="400"/>
      </w:r>
      <w:r w:rsidRPr="00B74F04">
        <w:rPr>
          <w:rFonts w:ascii="Arial" w:hAnsi="Arial" w:cs="Arial"/>
          <w:sz w:val="24"/>
          <w:szCs w:val="24"/>
        </w:rPr>
        <w:t xml:space="preserve"> Rogers J denied this contention, arguing that it is a ‘mere’ personal right to electricity supply that does not find protection under the spoliation remedy, which the court found in </w:t>
      </w:r>
      <w:r w:rsidRPr="00B74F04">
        <w:rPr>
          <w:rFonts w:ascii="Arial" w:hAnsi="Arial" w:cs="Arial"/>
          <w:i/>
          <w:iCs/>
          <w:sz w:val="24"/>
          <w:szCs w:val="24"/>
        </w:rPr>
        <w:t>Masinda</w:t>
      </w:r>
      <w:r w:rsidRPr="00B74F04">
        <w:rPr>
          <w:rFonts w:ascii="Arial" w:hAnsi="Arial" w:cs="Arial"/>
          <w:sz w:val="24"/>
          <w:szCs w:val="24"/>
        </w:rPr>
        <w:t>.</w:t>
      </w:r>
      <w:r w:rsidRPr="00B74F04">
        <w:rPr>
          <w:rStyle w:val="FootnoteReference"/>
          <w:rFonts w:ascii="Arial" w:hAnsi="Arial" w:cs="Arial"/>
          <w:sz w:val="24"/>
          <w:szCs w:val="24"/>
        </w:rPr>
        <w:footnoteReference w:id="401"/>
      </w:r>
      <w:r w:rsidRPr="00B74F04">
        <w:rPr>
          <w:rFonts w:ascii="Arial" w:hAnsi="Arial" w:cs="Arial"/>
          <w:sz w:val="24"/>
          <w:szCs w:val="24"/>
        </w:rPr>
        <w:t xml:space="preserve"> Following </w:t>
      </w:r>
      <w:r w:rsidRPr="00B74F04">
        <w:rPr>
          <w:rFonts w:ascii="Arial" w:hAnsi="Arial" w:cs="Arial"/>
          <w:color w:val="000000" w:themeColor="text1"/>
          <w:sz w:val="24"/>
          <w:szCs w:val="24"/>
        </w:rPr>
        <w:t xml:space="preserve">this, Rogers J noted that the difficulty lies in identifying the correct basis upon which the alleged right can be characterised as protectable. He states that according to the court in </w:t>
      </w:r>
      <w:r w:rsidRPr="00B74F04">
        <w:rPr>
          <w:rFonts w:ascii="Arial" w:hAnsi="Arial" w:cs="Arial"/>
          <w:i/>
          <w:iCs/>
          <w:color w:val="000000" w:themeColor="text1"/>
          <w:sz w:val="24"/>
          <w:szCs w:val="24"/>
        </w:rPr>
        <w:t>FirstRand</w:t>
      </w:r>
      <w:r w:rsidRPr="00B74F04">
        <w:rPr>
          <w:rFonts w:ascii="Arial" w:hAnsi="Arial" w:cs="Arial"/>
          <w:color w:val="000000" w:themeColor="text1"/>
          <w:sz w:val="24"/>
          <w:szCs w:val="24"/>
        </w:rPr>
        <w:t xml:space="preserve"> and </w:t>
      </w:r>
      <w:r w:rsidRPr="00B74F04">
        <w:rPr>
          <w:rFonts w:ascii="Arial" w:hAnsi="Arial" w:cs="Arial"/>
          <w:i/>
          <w:iCs/>
          <w:color w:val="000000" w:themeColor="text1"/>
          <w:sz w:val="24"/>
          <w:szCs w:val="24"/>
        </w:rPr>
        <w:t>Masinda</w:t>
      </w:r>
      <w:r w:rsidRPr="00B74F04">
        <w:rPr>
          <w:rFonts w:ascii="Arial" w:hAnsi="Arial" w:cs="Arial"/>
          <w:color w:val="000000" w:themeColor="text1"/>
          <w:sz w:val="24"/>
          <w:szCs w:val="24"/>
        </w:rPr>
        <w:t xml:space="preserve">, one ought to enquire whether the alleged right is a mere personal right – not capable of finding protection under the spoliation remedy - or an incident of possession or a </w:t>
      </w:r>
      <w:proofErr w:type="spellStart"/>
      <w:r w:rsidRPr="00B74F04">
        <w:rPr>
          <w:rFonts w:ascii="Arial" w:hAnsi="Arial" w:cs="Arial"/>
          <w:i/>
          <w:iCs/>
          <w:color w:val="000000" w:themeColor="text1"/>
          <w:sz w:val="24"/>
          <w:szCs w:val="24"/>
        </w:rPr>
        <w:t>gebruiksreg</w:t>
      </w:r>
      <w:proofErr w:type="spellEnd"/>
      <w:r w:rsidRPr="00B74F04">
        <w:rPr>
          <w:rFonts w:ascii="Arial" w:hAnsi="Arial" w:cs="Arial"/>
          <w:color w:val="000000" w:themeColor="text1"/>
          <w:sz w:val="24"/>
          <w:szCs w:val="24"/>
        </w:rPr>
        <w:t xml:space="preserve"> protectable under this remedy.</w:t>
      </w:r>
      <w:r w:rsidRPr="00B74F04">
        <w:rPr>
          <w:rStyle w:val="FootnoteReference"/>
          <w:rFonts w:ascii="Arial" w:hAnsi="Arial" w:cs="Arial"/>
          <w:color w:val="000000" w:themeColor="text1"/>
          <w:sz w:val="24"/>
          <w:szCs w:val="24"/>
        </w:rPr>
        <w:footnoteReference w:id="402"/>
      </w:r>
    </w:p>
    <w:p w14:paraId="27F7622A" w14:textId="0015C9BA" w:rsidR="00761FF4" w:rsidRPr="00B74F04" w:rsidRDefault="00761FF4" w:rsidP="00761FF4">
      <w:pPr>
        <w:spacing w:line="360" w:lineRule="auto"/>
        <w:jc w:val="both"/>
        <w:rPr>
          <w:rFonts w:ascii="Arial" w:hAnsi="Arial" w:cs="Arial"/>
          <w:color w:val="000000" w:themeColor="text1"/>
          <w:sz w:val="24"/>
          <w:szCs w:val="24"/>
        </w:rPr>
      </w:pPr>
      <w:r w:rsidRPr="00B74F04">
        <w:rPr>
          <w:rFonts w:ascii="Arial" w:hAnsi="Arial" w:cs="Arial"/>
          <w:color w:val="000000" w:themeColor="text1"/>
          <w:sz w:val="24"/>
          <w:szCs w:val="24"/>
        </w:rPr>
        <w:t xml:space="preserve">He differentiated between (a) cases where a service takes the form of </w:t>
      </w:r>
      <w:r w:rsidR="00883829" w:rsidRPr="00B74F04">
        <w:rPr>
          <w:rFonts w:ascii="Arial" w:hAnsi="Arial" w:cs="Arial"/>
          <w:color w:val="000000" w:themeColor="text1"/>
          <w:sz w:val="24"/>
          <w:szCs w:val="24"/>
        </w:rPr>
        <w:t xml:space="preserve">a </w:t>
      </w:r>
      <w:r w:rsidRPr="00B74F04">
        <w:rPr>
          <w:rFonts w:ascii="Arial" w:hAnsi="Arial" w:cs="Arial"/>
          <w:color w:val="000000" w:themeColor="text1"/>
          <w:sz w:val="24"/>
          <w:szCs w:val="24"/>
        </w:rPr>
        <w:t xml:space="preserve">servitude or a registered statutory right, which enjoys protection under the spoliation remedy, (b) cases where the alleged right is purely personal, which do not enjoy protection under </w:t>
      </w:r>
      <w:r w:rsidRPr="00B74F04">
        <w:rPr>
          <w:rFonts w:ascii="Arial" w:hAnsi="Arial" w:cs="Arial"/>
          <w:color w:val="000000" w:themeColor="text1"/>
          <w:sz w:val="24"/>
          <w:szCs w:val="24"/>
        </w:rPr>
        <w:lastRenderedPageBreak/>
        <w:t>the spoliation remedy, and (c) cases where the alleged right is derived from a personal contractual relationship but finds protection under the spoliation remedy.</w:t>
      </w:r>
      <w:r w:rsidRPr="00B74F04">
        <w:rPr>
          <w:rStyle w:val="FootnoteReference"/>
          <w:rFonts w:ascii="Arial" w:hAnsi="Arial" w:cs="Arial"/>
          <w:color w:val="000000" w:themeColor="text1"/>
          <w:sz w:val="24"/>
          <w:szCs w:val="24"/>
        </w:rPr>
        <w:footnoteReference w:id="403"/>
      </w:r>
    </w:p>
    <w:p w14:paraId="587DB50E" w14:textId="2C863FEE" w:rsidR="00761FF4" w:rsidRPr="00B74F04" w:rsidRDefault="00761FF4" w:rsidP="00761FF4">
      <w:pPr>
        <w:spacing w:line="360" w:lineRule="auto"/>
        <w:jc w:val="both"/>
        <w:rPr>
          <w:rFonts w:ascii="Arial" w:hAnsi="Arial" w:cs="Arial"/>
          <w:color w:val="000000" w:themeColor="text1"/>
          <w:sz w:val="24"/>
          <w:szCs w:val="24"/>
        </w:rPr>
      </w:pPr>
      <w:r w:rsidRPr="00B74F04">
        <w:rPr>
          <w:rFonts w:ascii="Arial" w:hAnsi="Arial" w:cs="Arial"/>
          <w:color w:val="000000" w:themeColor="text1"/>
          <w:sz w:val="24"/>
          <w:szCs w:val="24"/>
        </w:rPr>
        <w:t xml:space="preserve">The court found that cases falling under category (b) are not protectable under the spoliation remedy because the person responsible for </w:t>
      </w:r>
      <w:r w:rsidR="00A72882" w:rsidRPr="00B74F04">
        <w:rPr>
          <w:rFonts w:ascii="Arial" w:hAnsi="Arial" w:cs="Arial"/>
          <w:color w:val="000000" w:themeColor="text1"/>
          <w:sz w:val="24"/>
          <w:szCs w:val="24"/>
        </w:rPr>
        <w:t>supplying</w:t>
      </w:r>
      <w:r w:rsidRPr="00B74F04">
        <w:rPr>
          <w:rFonts w:ascii="Arial" w:hAnsi="Arial" w:cs="Arial"/>
          <w:color w:val="000000" w:themeColor="text1"/>
          <w:sz w:val="24"/>
          <w:szCs w:val="24"/>
        </w:rPr>
        <w:t xml:space="preserve"> services is not the person who conferred on the </w:t>
      </w:r>
      <w:proofErr w:type="spellStart"/>
      <w:r w:rsidRPr="00B74F04">
        <w:rPr>
          <w:rFonts w:ascii="Arial" w:hAnsi="Arial" w:cs="Arial"/>
          <w:i/>
          <w:iCs/>
          <w:color w:val="000000" w:themeColor="text1"/>
          <w:sz w:val="24"/>
          <w:szCs w:val="24"/>
        </w:rPr>
        <w:t>spoliatus</w:t>
      </w:r>
      <w:proofErr w:type="spellEnd"/>
      <w:r w:rsidRPr="00B74F04">
        <w:rPr>
          <w:rFonts w:ascii="Arial" w:hAnsi="Arial" w:cs="Arial"/>
          <w:color w:val="000000" w:themeColor="text1"/>
          <w:sz w:val="24"/>
          <w:szCs w:val="24"/>
        </w:rPr>
        <w:t xml:space="preserve"> the right to occupy the property to which the services were provided. According to the court, the supplier of services has no interest in the possession of the property.</w:t>
      </w:r>
      <w:r w:rsidRPr="00B74F04">
        <w:rPr>
          <w:rStyle w:val="FootnoteReference"/>
          <w:rFonts w:ascii="Arial" w:hAnsi="Arial" w:cs="Arial"/>
          <w:color w:val="000000" w:themeColor="text1"/>
          <w:sz w:val="24"/>
          <w:szCs w:val="24"/>
        </w:rPr>
        <w:footnoteReference w:id="404"/>
      </w:r>
      <w:r w:rsidRPr="00B74F04">
        <w:rPr>
          <w:rFonts w:ascii="Arial" w:hAnsi="Arial" w:cs="Arial"/>
          <w:color w:val="000000" w:themeColor="text1"/>
          <w:sz w:val="24"/>
          <w:szCs w:val="24"/>
        </w:rPr>
        <w:t xml:space="preserve"> On the contrary, in category (c), the landlord is also the person responsible for providing services; he has a direct interest in the possession of the property, and his cutting of the electricity supply interferes with the tenant’s right against the landlord to be in undisturbed and peaceful possession of the property.</w:t>
      </w:r>
      <w:r w:rsidRPr="00B74F04">
        <w:rPr>
          <w:rStyle w:val="FootnoteReference"/>
          <w:rFonts w:ascii="Arial" w:hAnsi="Arial" w:cs="Arial"/>
          <w:color w:val="000000" w:themeColor="text1"/>
          <w:sz w:val="24"/>
          <w:szCs w:val="24"/>
        </w:rPr>
        <w:footnoteReference w:id="405"/>
      </w:r>
    </w:p>
    <w:p w14:paraId="6997C515" w14:textId="5412C3AD" w:rsidR="00761FF4" w:rsidRPr="00B74F04" w:rsidRDefault="00761FF4" w:rsidP="00761FF4">
      <w:pPr>
        <w:spacing w:line="360" w:lineRule="auto"/>
        <w:jc w:val="both"/>
        <w:rPr>
          <w:rFonts w:ascii="Arial" w:hAnsi="Arial" w:cs="Arial"/>
          <w:sz w:val="24"/>
          <w:szCs w:val="24"/>
        </w:rPr>
      </w:pPr>
      <w:r w:rsidRPr="00B74F04">
        <w:rPr>
          <w:rFonts w:ascii="Arial" w:hAnsi="Arial" w:cs="Arial"/>
          <w:color w:val="000000" w:themeColor="text1"/>
          <w:sz w:val="24"/>
          <w:szCs w:val="24"/>
        </w:rPr>
        <w:t xml:space="preserve">The difference between cases in categories (b) and (c) is whether the alleged right is an incident of possession or an adjunct to the alleged right </w:t>
      </w:r>
      <w:r w:rsidR="00A72882" w:rsidRPr="00B74F04">
        <w:rPr>
          <w:rFonts w:ascii="Arial" w:hAnsi="Arial" w:cs="Arial"/>
          <w:color w:val="000000" w:themeColor="text1"/>
          <w:sz w:val="24"/>
          <w:szCs w:val="24"/>
        </w:rPr>
        <w:t>that</w:t>
      </w:r>
      <w:r w:rsidRPr="00B74F04">
        <w:rPr>
          <w:rFonts w:ascii="Arial" w:hAnsi="Arial" w:cs="Arial"/>
          <w:color w:val="000000" w:themeColor="text1"/>
          <w:sz w:val="24"/>
          <w:szCs w:val="24"/>
        </w:rPr>
        <w:t xml:space="preserve"> the </w:t>
      </w:r>
      <w:proofErr w:type="spellStart"/>
      <w:r w:rsidRPr="00B74F04">
        <w:rPr>
          <w:rFonts w:ascii="Arial" w:hAnsi="Arial" w:cs="Arial"/>
          <w:i/>
          <w:iCs/>
          <w:color w:val="000000" w:themeColor="text1"/>
          <w:sz w:val="24"/>
          <w:szCs w:val="24"/>
        </w:rPr>
        <w:t>spoliatus</w:t>
      </w:r>
      <w:proofErr w:type="spellEnd"/>
      <w:r w:rsidRPr="00B74F04">
        <w:rPr>
          <w:rFonts w:ascii="Arial" w:hAnsi="Arial" w:cs="Arial"/>
          <w:i/>
          <w:iCs/>
          <w:color w:val="000000" w:themeColor="text1"/>
          <w:sz w:val="24"/>
          <w:szCs w:val="24"/>
        </w:rPr>
        <w:t xml:space="preserve"> </w:t>
      </w:r>
      <w:r w:rsidRPr="00B74F04">
        <w:rPr>
          <w:rFonts w:ascii="Arial" w:hAnsi="Arial" w:cs="Arial"/>
          <w:color w:val="000000" w:themeColor="text1"/>
          <w:sz w:val="24"/>
          <w:szCs w:val="24"/>
        </w:rPr>
        <w:t xml:space="preserve">(tenant) has against the </w:t>
      </w:r>
      <w:r w:rsidRPr="00B74F04">
        <w:rPr>
          <w:rFonts w:ascii="Arial" w:hAnsi="Arial" w:cs="Arial"/>
          <w:i/>
          <w:iCs/>
          <w:color w:val="000000" w:themeColor="text1"/>
          <w:sz w:val="24"/>
          <w:szCs w:val="24"/>
        </w:rPr>
        <w:t>spoliator</w:t>
      </w:r>
      <w:r w:rsidRPr="00B74F04">
        <w:rPr>
          <w:rFonts w:ascii="Arial" w:hAnsi="Arial" w:cs="Arial"/>
          <w:color w:val="000000" w:themeColor="text1"/>
          <w:sz w:val="24"/>
          <w:szCs w:val="24"/>
        </w:rPr>
        <w:t xml:space="preserve"> (landlord) to be in occupation of the premises. Therefore, if the right to a service is an incident of possession of the property, the alleged right is a </w:t>
      </w:r>
      <w:r w:rsidRPr="00B74F04">
        <w:rPr>
          <w:rFonts w:ascii="Arial" w:hAnsi="Arial" w:cs="Arial"/>
          <w:i/>
          <w:iCs/>
          <w:color w:val="000000" w:themeColor="text1"/>
          <w:sz w:val="24"/>
          <w:szCs w:val="24"/>
        </w:rPr>
        <w:t>quasi</w:t>
      </w:r>
      <w:r w:rsidRPr="00B74F04">
        <w:rPr>
          <w:rFonts w:ascii="Arial" w:hAnsi="Arial" w:cs="Arial"/>
          <w:color w:val="000000" w:themeColor="text1"/>
          <w:sz w:val="24"/>
          <w:szCs w:val="24"/>
        </w:rPr>
        <w:t>-possession protectable under the spoliation remedy.</w:t>
      </w:r>
      <w:r w:rsidRPr="00B74F04">
        <w:rPr>
          <w:rStyle w:val="FootnoteReference"/>
          <w:rFonts w:ascii="Arial" w:hAnsi="Arial" w:cs="Arial"/>
          <w:color w:val="000000" w:themeColor="text1"/>
          <w:sz w:val="24"/>
          <w:szCs w:val="24"/>
        </w:rPr>
        <w:footnoteReference w:id="406"/>
      </w:r>
      <w:r w:rsidRPr="00B74F04">
        <w:rPr>
          <w:rFonts w:ascii="Arial" w:hAnsi="Arial" w:cs="Arial"/>
          <w:color w:val="000000" w:themeColor="text1"/>
          <w:sz w:val="24"/>
          <w:szCs w:val="24"/>
        </w:rPr>
        <w:t xml:space="preserve"> </w:t>
      </w:r>
      <w:r w:rsidRPr="00B74F04">
        <w:rPr>
          <w:rFonts w:ascii="Arial" w:hAnsi="Arial" w:cs="Arial"/>
          <w:sz w:val="24"/>
          <w:szCs w:val="24"/>
        </w:rPr>
        <w:t>The court highlighted that:</w:t>
      </w:r>
    </w:p>
    <w:p w14:paraId="7E709F26" w14:textId="678863B1" w:rsidR="00761FF4" w:rsidRPr="00B17C11" w:rsidRDefault="00575BF2" w:rsidP="00761FF4">
      <w:pPr>
        <w:spacing w:line="240" w:lineRule="auto"/>
        <w:ind w:left="284" w:right="284"/>
        <w:jc w:val="both"/>
        <w:rPr>
          <w:rFonts w:ascii="Arial" w:hAnsi="Arial" w:cs="Arial"/>
        </w:rPr>
      </w:pPr>
      <w:r w:rsidRPr="00B74F04">
        <w:rPr>
          <w:rFonts w:ascii="Arial" w:hAnsi="Arial" w:cs="Arial"/>
        </w:rPr>
        <w:t>‘</w:t>
      </w:r>
      <w:r w:rsidR="00761FF4" w:rsidRPr="00B74F04">
        <w:rPr>
          <w:rFonts w:ascii="Arial" w:hAnsi="Arial" w:cs="Arial"/>
        </w:rPr>
        <w:t>…to decide whether the cutting off of electricity is indeed an act of spoliation in relation to the property itself, it is necessary to focus on the nature of the alleged right to the supply of electricity, in order to satisfy oneself that the case falls into the category of (c) rather than category (b).</w:t>
      </w:r>
      <w:r w:rsidRPr="00B74F04">
        <w:rPr>
          <w:rFonts w:ascii="Arial" w:hAnsi="Arial" w:cs="Arial"/>
        </w:rPr>
        <w:t>’</w:t>
      </w:r>
      <w:r w:rsidR="00761FF4" w:rsidRPr="00B74F04">
        <w:rPr>
          <w:rStyle w:val="FootnoteReference"/>
          <w:rFonts w:ascii="Arial" w:hAnsi="Arial" w:cs="Arial"/>
        </w:rPr>
        <w:footnoteReference w:id="407"/>
      </w:r>
    </w:p>
    <w:p w14:paraId="419683EB" w14:textId="77777777" w:rsidR="00761FF4" w:rsidRPr="00B6403E" w:rsidRDefault="00761FF4" w:rsidP="00761FF4">
      <w:pPr>
        <w:spacing w:line="360" w:lineRule="auto"/>
        <w:jc w:val="both"/>
        <w:rPr>
          <w:rFonts w:ascii="Arial" w:hAnsi="Arial" w:cs="Arial"/>
          <w:sz w:val="24"/>
          <w:szCs w:val="24"/>
        </w:rPr>
      </w:pPr>
      <w:r w:rsidRPr="00B6403E">
        <w:rPr>
          <w:rFonts w:ascii="Arial" w:hAnsi="Arial" w:cs="Arial"/>
          <w:sz w:val="24"/>
          <w:szCs w:val="24"/>
        </w:rPr>
        <w:lastRenderedPageBreak/>
        <w:t xml:space="preserve">Thus, for a particular case to be considered part of category (c), the </w:t>
      </w:r>
      <w:proofErr w:type="spellStart"/>
      <w:r w:rsidRPr="00B6403E">
        <w:rPr>
          <w:rFonts w:ascii="Arial" w:hAnsi="Arial" w:cs="Arial"/>
          <w:i/>
          <w:iCs/>
          <w:sz w:val="24"/>
          <w:szCs w:val="24"/>
        </w:rPr>
        <w:t>spoliatus</w:t>
      </w:r>
      <w:proofErr w:type="spellEnd"/>
      <w:r w:rsidRPr="00B6403E">
        <w:rPr>
          <w:rFonts w:ascii="Arial" w:hAnsi="Arial" w:cs="Arial"/>
          <w:sz w:val="24"/>
          <w:szCs w:val="24"/>
        </w:rPr>
        <w:t xml:space="preserve"> must demonstrate acts associated with the alleged right to be in possession of the premises.</w:t>
      </w:r>
      <w:r w:rsidRPr="00B6403E">
        <w:rPr>
          <w:rStyle w:val="FootnoteReference"/>
          <w:rFonts w:ascii="Arial" w:hAnsi="Arial" w:cs="Arial"/>
          <w:sz w:val="24"/>
          <w:szCs w:val="24"/>
        </w:rPr>
        <w:footnoteReference w:id="408"/>
      </w:r>
    </w:p>
    <w:p w14:paraId="464FA5D0" w14:textId="77777777" w:rsidR="00761FF4" w:rsidRPr="00B6403E" w:rsidRDefault="00761FF4" w:rsidP="00761FF4">
      <w:pPr>
        <w:spacing w:line="360" w:lineRule="auto"/>
        <w:jc w:val="both"/>
        <w:rPr>
          <w:rFonts w:ascii="Arial" w:hAnsi="Arial" w:cs="Arial"/>
          <w:color w:val="000000" w:themeColor="text1"/>
          <w:sz w:val="24"/>
          <w:szCs w:val="24"/>
        </w:rPr>
      </w:pPr>
      <w:r w:rsidRPr="00B6403E">
        <w:rPr>
          <w:rFonts w:ascii="Arial" w:hAnsi="Arial" w:cs="Arial"/>
          <w:sz w:val="24"/>
          <w:szCs w:val="24"/>
        </w:rPr>
        <w:t xml:space="preserve">Accordingly, the court found that the supply of electricity was an incident of the </w:t>
      </w:r>
      <w:proofErr w:type="spellStart"/>
      <w:r w:rsidRPr="00B6403E">
        <w:rPr>
          <w:rFonts w:ascii="Arial" w:hAnsi="Arial" w:cs="Arial"/>
          <w:i/>
          <w:iCs/>
          <w:sz w:val="24"/>
          <w:szCs w:val="24"/>
        </w:rPr>
        <w:t>precarium</w:t>
      </w:r>
      <w:proofErr w:type="spellEnd"/>
      <w:r w:rsidRPr="00B6403E">
        <w:rPr>
          <w:rFonts w:ascii="Arial" w:hAnsi="Arial" w:cs="Arial"/>
          <w:sz w:val="24"/>
          <w:szCs w:val="24"/>
        </w:rPr>
        <w:t xml:space="preserve"> in terms of which the respondent occupied the store building on the farm.</w:t>
      </w:r>
      <w:r w:rsidRPr="00B6403E">
        <w:rPr>
          <w:rStyle w:val="FootnoteReference"/>
          <w:rFonts w:ascii="Arial" w:hAnsi="Arial" w:cs="Arial"/>
          <w:sz w:val="24"/>
          <w:szCs w:val="24"/>
        </w:rPr>
        <w:footnoteReference w:id="409"/>
      </w:r>
      <w:r w:rsidRPr="00B6403E">
        <w:rPr>
          <w:rFonts w:ascii="Arial" w:hAnsi="Arial" w:cs="Arial"/>
          <w:sz w:val="24"/>
          <w:szCs w:val="24"/>
        </w:rPr>
        <w:t xml:space="preserve"> In other words, the occupation of the store building and the use of electrical appurtenances constituted an incident of possession and the </w:t>
      </w:r>
      <w:r w:rsidRPr="00B6403E">
        <w:rPr>
          <w:rFonts w:ascii="Arial" w:hAnsi="Arial" w:cs="Arial"/>
          <w:i/>
          <w:iCs/>
          <w:sz w:val="24"/>
          <w:szCs w:val="24"/>
        </w:rPr>
        <w:t>quasi</w:t>
      </w:r>
      <w:r w:rsidRPr="00B6403E">
        <w:rPr>
          <w:rFonts w:ascii="Arial" w:hAnsi="Arial" w:cs="Arial"/>
          <w:sz w:val="24"/>
          <w:szCs w:val="24"/>
        </w:rPr>
        <w:t>-possession of the alleged right to electricity supply.</w:t>
      </w:r>
      <w:r w:rsidRPr="00B6403E">
        <w:rPr>
          <w:rStyle w:val="FootnoteReference"/>
          <w:rFonts w:ascii="Arial" w:hAnsi="Arial" w:cs="Arial"/>
          <w:sz w:val="24"/>
          <w:szCs w:val="24"/>
        </w:rPr>
        <w:footnoteReference w:id="410"/>
      </w:r>
      <w:r w:rsidRPr="00B6403E">
        <w:rPr>
          <w:rFonts w:ascii="Arial" w:hAnsi="Arial" w:cs="Arial"/>
          <w:sz w:val="24"/>
          <w:szCs w:val="24"/>
        </w:rPr>
        <w:t xml:space="preserve"> This qualified the case under discussion in category (c) among the likes of </w:t>
      </w:r>
      <w:r w:rsidRPr="00B6403E">
        <w:rPr>
          <w:rFonts w:ascii="Arial" w:hAnsi="Arial" w:cs="Arial"/>
          <w:i/>
          <w:iCs/>
          <w:sz w:val="24"/>
          <w:szCs w:val="24"/>
        </w:rPr>
        <w:t>Naidoo</w:t>
      </w:r>
      <w:r w:rsidRPr="00B6403E">
        <w:rPr>
          <w:rFonts w:ascii="Arial" w:hAnsi="Arial" w:cs="Arial"/>
          <w:sz w:val="24"/>
          <w:szCs w:val="24"/>
        </w:rPr>
        <w:t xml:space="preserve"> and </w:t>
      </w:r>
      <w:r w:rsidRPr="00B6403E">
        <w:rPr>
          <w:rFonts w:ascii="Arial" w:hAnsi="Arial" w:cs="Arial"/>
          <w:i/>
          <w:iCs/>
          <w:sz w:val="24"/>
          <w:szCs w:val="24"/>
        </w:rPr>
        <w:t>Froman</w:t>
      </w:r>
      <w:r w:rsidRPr="00B6403E">
        <w:rPr>
          <w:rFonts w:ascii="Arial" w:hAnsi="Arial" w:cs="Arial"/>
          <w:sz w:val="24"/>
          <w:szCs w:val="24"/>
        </w:rPr>
        <w:t>, in a sense that the disconnection of the electricity supply was intended to interfere with the undisturbed and peaceful possession of the premises, thereby forcing the respondent to vacate the premises.</w:t>
      </w:r>
      <w:r w:rsidRPr="00B6403E">
        <w:rPr>
          <w:rStyle w:val="FootnoteReference"/>
          <w:rFonts w:ascii="Arial" w:hAnsi="Arial" w:cs="Arial"/>
          <w:sz w:val="24"/>
          <w:szCs w:val="24"/>
        </w:rPr>
        <w:footnoteReference w:id="411"/>
      </w:r>
      <w:r w:rsidRPr="00B6403E">
        <w:rPr>
          <w:rFonts w:ascii="Arial" w:hAnsi="Arial" w:cs="Arial"/>
          <w:sz w:val="24"/>
          <w:szCs w:val="24"/>
        </w:rPr>
        <w:t xml:space="preserve"> The court concluded that the supply of electricity to the store occupied by the respondent was an incident of possession and not a mere personal right. As such, the </w:t>
      </w:r>
      <w:r w:rsidRPr="00B6403E">
        <w:rPr>
          <w:rFonts w:ascii="Arial" w:hAnsi="Arial" w:cs="Arial"/>
          <w:color w:val="000000" w:themeColor="text1"/>
          <w:sz w:val="24"/>
          <w:szCs w:val="24"/>
        </w:rPr>
        <w:t>alleged right was found protectable under the spoliation remedy.</w:t>
      </w:r>
      <w:r w:rsidRPr="00B6403E">
        <w:rPr>
          <w:rStyle w:val="FootnoteReference"/>
          <w:rFonts w:ascii="Arial" w:hAnsi="Arial" w:cs="Arial"/>
          <w:color w:val="000000" w:themeColor="text1"/>
          <w:sz w:val="24"/>
          <w:szCs w:val="24"/>
        </w:rPr>
        <w:footnoteReference w:id="412"/>
      </w:r>
    </w:p>
    <w:p w14:paraId="4A8F4DFD" w14:textId="68C3F5AB" w:rsidR="00211EAE" w:rsidRPr="00CC4483" w:rsidRDefault="00761FF4" w:rsidP="00761FF4">
      <w:pPr>
        <w:spacing w:line="360" w:lineRule="auto"/>
        <w:jc w:val="both"/>
        <w:rPr>
          <w:rFonts w:ascii="Arial" w:hAnsi="Arial" w:cs="Arial"/>
          <w:color w:val="000000" w:themeColor="text1"/>
          <w:sz w:val="24"/>
          <w:szCs w:val="24"/>
        </w:rPr>
      </w:pPr>
      <w:r w:rsidRPr="00B6403E">
        <w:rPr>
          <w:rFonts w:ascii="Arial" w:hAnsi="Arial" w:cs="Arial"/>
          <w:color w:val="000000" w:themeColor="text1"/>
          <w:sz w:val="24"/>
          <w:szCs w:val="24"/>
        </w:rPr>
        <w:t xml:space="preserve">Rogers J set apart </w:t>
      </w:r>
      <w:r w:rsidRPr="00B6403E">
        <w:rPr>
          <w:rFonts w:ascii="Arial" w:hAnsi="Arial" w:cs="Arial"/>
          <w:i/>
          <w:iCs/>
          <w:color w:val="000000" w:themeColor="text1"/>
          <w:sz w:val="24"/>
          <w:szCs w:val="24"/>
        </w:rPr>
        <w:t>Makeshift</w:t>
      </w:r>
      <w:r w:rsidRPr="00B6403E">
        <w:rPr>
          <w:rFonts w:ascii="Arial" w:hAnsi="Arial" w:cs="Arial"/>
          <w:color w:val="000000" w:themeColor="text1"/>
          <w:sz w:val="24"/>
          <w:szCs w:val="24"/>
        </w:rPr>
        <w:t xml:space="preserve"> from </w:t>
      </w:r>
      <w:r w:rsidRPr="00B6403E">
        <w:rPr>
          <w:rFonts w:ascii="Arial" w:hAnsi="Arial" w:cs="Arial"/>
          <w:i/>
          <w:iCs/>
          <w:color w:val="000000" w:themeColor="text1"/>
          <w:sz w:val="24"/>
          <w:szCs w:val="24"/>
        </w:rPr>
        <w:t>Masinda</w:t>
      </w:r>
      <w:r w:rsidRPr="00B6403E">
        <w:rPr>
          <w:rFonts w:ascii="Arial" w:hAnsi="Arial" w:cs="Arial"/>
          <w:color w:val="000000" w:themeColor="text1"/>
          <w:sz w:val="24"/>
          <w:szCs w:val="24"/>
        </w:rPr>
        <w:t xml:space="preserve"> by introducing a different interpretation of an ‘incident of possession’.</w:t>
      </w:r>
      <w:r w:rsidRPr="00B6403E">
        <w:rPr>
          <w:rStyle w:val="FootnoteReference"/>
          <w:rFonts w:ascii="Arial" w:hAnsi="Arial" w:cs="Arial"/>
          <w:color w:val="000000" w:themeColor="text1"/>
          <w:sz w:val="24"/>
          <w:szCs w:val="24"/>
        </w:rPr>
        <w:footnoteReference w:id="413"/>
      </w:r>
      <w:r w:rsidRPr="00B6403E">
        <w:rPr>
          <w:rFonts w:ascii="Arial" w:hAnsi="Arial" w:cs="Arial"/>
          <w:color w:val="000000" w:themeColor="text1"/>
          <w:sz w:val="24"/>
          <w:szCs w:val="24"/>
        </w:rPr>
        <w:t xml:space="preserve"> He stated that apart from the </w:t>
      </w:r>
      <w:r w:rsidRPr="00B6403E">
        <w:rPr>
          <w:rFonts w:ascii="Arial" w:hAnsi="Arial" w:cs="Arial"/>
          <w:i/>
          <w:iCs/>
          <w:color w:val="000000" w:themeColor="text1"/>
          <w:sz w:val="24"/>
          <w:szCs w:val="24"/>
        </w:rPr>
        <w:t>quasi</w:t>
      </w:r>
      <w:r w:rsidRPr="00B6403E">
        <w:rPr>
          <w:rFonts w:ascii="Arial" w:hAnsi="Arial" w:cs="Arial"/>
          <w:color w:val="000000" w:themeColor="text1"/>
          <w:sz w:val="24"/>
          <w:szCs w:val="24"/>
        </w:rPr>
        <w:t xml:space="preserve">-possession of rights bestowed by servitude or a registered statutory right, there is also another category of </w:t>
      </w:r>
      <w:r w:rsidRPr="00B6403E">
        <w:rPr>
          <w:rFonts w:ascii="Arial" w:hAnsi="Arial" w:cs="Arial"/>
          <w:i/>
          <w:iCs/>
          <w:color w:val="000000" w:themeColor="text1"/>
          <w:sz w:val="24"/>
          <w:szCs w:val="24"/>
        </w:rPr>
        <w:t>quasi</w:t>
      </w:r>
      <w:r w:rsidRPr="00B6403E">
        <w:rPr>
          <w:rFonts w:ascii="Arial" w:hAnsi="Arial" w:cs="Arial"/>
          <w:color w:val="000000" w:themeColor="text1"/>
          <w:sz w:val="24"/>
          <w:szCs w:val="24"/>
        </w:rPr>
        <w:t>-possession rights protectable</w:t>
      </w:r>
      <w:r w:rsidR="00B95FBA" w:rsidRPr="00B6403E">
        <w:rPr>
          <w:rFonts w:ascii="Arial" w:hAnsi="Arial" w:cs="Arial"/>
          <w:color w:val="000000" w:themeColor="text1"/>
          <w:sz w:val="24"/>
          <w:szCs w:val="24"/>
        </w:rPr>
        <w:t xml:space="preserve"> </w:t>
      </w:r>
      <w:r w:rsidRPr="00B6403E">
        <w:rPr>
          <w:rFonts w:ascii="Arial" w:hAnsi="Arial" w:cs="Arial"/>
          <w:color w:val="000000" w:themeColor="text1"/>
          <w:sz w:val="24"/>
          <w:szCs w:val="24"/>
        </w:rPr>
        <w:t>under the spoliation remedy despite being personal in nature.</w:t>
      </w:r>
      <w:r w:rsidRPr="00B6403E">
        <w:rPr>
          <w:rStyle w:val="FootnoteReference"/>
          <w:rFonts w:ascii="Arial" w:hAnsi="Arial" w:cs="Arial"/>
          <w:color w:val="000000" w:themeColor="text1"/>
          <w:sz w:val="24"/>
          <w:szCs w:val="24"/>
        </w:rPr>
        <w:footnoteReference w:id="414"/>
      </w:r>
      <w:r w:rsidRPr="00B6403E">
        <w:rPr>
          <w:rFonts w:ascii="Arial" w:hAnsi="Arial" w:cs="Arial"/>
          <w:color w:val="000000" w:themeColor="text1"/>
          <w:sz w:val="24"/>
          <w:szCs w:val="24"/>
        </w:rPr>
        <w:t xml:space="preserve"> This is the </w:t>
      </w:r>
      <w:r w:rsidRPr="00B6403E">
        <w:rPr>
          <w:rFonts w:ascii="Arial" w:hAnsi="Arial" w:cs="Arial"/>
          <w:i/>
          <w:iCs/>
          <w:color w:val="000000" w:themeColor="text1"/>
          <w:sz w:val="24"/>
          <w:szCs w:val="24"/>
        </w:rPr>
        <w:t>quasi</w:t>
      </w:r>
      <w:r w:rsidRPr="00B6403E">
        <w:rPr>
          <w:rFonts w:ascii="Arial" w:hAnsi="Arial" w:cs="Arial"/>
          <w:color w:val="000000" w:themeColor="text1"/>
          <w:sz w:val="24"/>
          <w:szCs w:val="24"/>
        </w:rPr>
        <w:t xml:space="preserve">-possession of a right to the supply of services where the </w:t>
      </w:r>
      <w:proofErr w:type="spellStart"/>
      <w:r w:rsidRPr="00B6403E">
        <w:rPr>
          <w:rFonts w:ascii="Arial" w:hAnsi="Arial" w:cs="Arial"/>
          <w:i/>
          <w:iCs/>
          <w:color w:val="000000" w:themeColor="text1"/>
          <w:sz w:val="24"/>
          <w:szCs w:val="24"/>
        </w:rPr>
        <w:t>spoliatus</w:t>
      </w:r>
      <w:proofErr w:type="spellEnd"/>
      <w:r w:rsidRPr="00B6403E">
        <w:rPr>
          <w:rFonts w:ascii="Arial" w:hAnsi="Arial" w:cs="Arial"/>
          <w:color w:val="000000" w:themeColor="text1"/>
          <w:sz w:val="24"/>
          <w:szCs w:val="24"/>
        </w:rPr>
        <w:t xml:space="preserve"> is not </w:t>
      </w:r>
      <w:r w:rsidRPr="00B6403E">
        <w:rPr>
          <w:rFonts w:ascii="Arial" w:hAnsi="Arial" w:cs="Arial"/>
          <w:i/>
          <w:iCs/>
          <w:color w:val="000000" w:themeColor="text1"/>
          <w:sz w:val="24"/>
          <w:szCs w:val="24"/>
        </w:rPr>
        <w:t>per se</w:t>
      </w:r>
      <w:r w:rsidRPr="00B6403E">
        <w:rPr>
          <w:rFonts w:ascii="Arial" w:hAnsi="Arial" w:cs="Arial"/>
          <w:color w:val="000000" w:themeColor="text1"/>
          <w:sz w:val="24"/>
          <w:szCs w:val="24"/>
        </w:rPr>
        <w:t xml:space="preserve"> dissatisfied with the disconnection of the electricity supply in itself but with the adverse impact that such disconnection has on his exercise of the occupation of the premises.</w:t>
      </w:r>
      <w:r w:rsidRPr="00B6403E">
        <w:rPr>
          <w:rStyle w:val="FootnoteReference"/>
          <w:rFonts w:ascii="Arial" w:hAnsi="Arial" w:cs="Arial"/>
          <w:color w:val="000000" w:themeColor="text1"/>
          <w:sz w:val="24"/>
          <w:szCs w:val="24"/>
        </w:rPr>
        <w:footnoteReference w:id="415"/>
      </w:r>
      <w:r w:rsidR="00A7207C" w:rsidRPr="00B6403E">
        <w:rPr>
          <w:rFonts w:ascii="Arial" w:hAnsi="Arial" w:cs="Arial"/>
          <w:color w:val="000000" w:themeColor="text1"/>
          <w:sz w:val="24"/>
          <w:szCs w:val="24"/>
        </w:rPr>
        <w:t xml:space="preserve"> This is often the case when there is a direct interest </w:t>
      </w:r>
      <w:r w:rsidR="00242739" w:rsidRPr="00B6403E">
        <w:rPr>
          <w:rFonts w:ascii="Arial" w:hAnsi="Arial" w:cs="Arial"/>
          <w:color w:val="000000" w:themeColor="text1"/>
          <w:sz w:val="24"/>
          <w:szCs w:val="24"/>
        </w:rPr>
        <w:t xml:space="preserve">in </w:t>
      </w:r>
      <w:r w:rsidR="00A7207C" w:rsidRPr="00B6403E">
        <w:rPr>
          <w:rFonts w:ascii="Arial" w:hAnsi="Arial" w:cs="Arial"/>
          <w:color w:val="000000" w:themeColor="text1"/>
          <w:sz w:val="24"/>
          <w:szCs w:val="24"/>
        </w:rPr>
        <w:t xml:space="preserve">the possession of the property, such as when the person allowing the applicant to occupy the premises is the same person who provides services. Ordinarily, the termination of service will not only interfere with the </w:t>
      </w:r>
      <w:r w:rsidR="00A7207C" w:rsidRPr="00B6403E">
        <w:rPr>
          <w:rFonts w:ascii="Arial" w:hAnsi="Arial" w:cs="Arial"/>
          <w:i/>
          <w:iCs/>
          <w:color w:val="000000" w:themeColor="text1"/>
          <w:sz w:val="24"/>
          <w:szCs w:val="24"/>
        </w:rPr>
        <w:t>quasi</w:t>
      </w:r>
      <w:r w:rsidR="00A7207C" w:rsidRPr="00B6403E">
        <w:rPr>
          <w:rFonts w:ascii="Arial" w:hAnsi="Arial" w:cs="Arial"/>
          <w:color w:val="000000" w:themeColor="text1"/>
          <w:sz w:val="24"/>
          <w:szCs w:val="24"/>
        </w:rPr>
        <w:t>-possession of the supply but with the right to undisturbed and peaceful possession of the premises.</w:t>
      </w:r>
      <w:r w:rsidR="00A7207C" w:rsidRPr="00B6403E">
        <w:rPr>
          <w:rStyle w:val="FootnoteReference"/>
          <w:rFonts w:ascii="Arial" w:hAnsi="Arial" w:cs="Arial"/>
          <w:color w:val="000000" w:themeColor="text1"/>
          <w:sz w:val="24"/>
          <w:szCs w:val="24"/>
        </w:rPr>
        <w:footnoteReference w:id="416"/>
      </w:r>
      <w:r w:rsidRPr="00B6403E">
        <w:rPr>
          <w:rFonts w:ascii="Arial" w:hAnsi="Arial" w:cs="Arial"/>
          <w:color w:val="000000" w:themeColor="text1"/>
          <w:sz w:val="24"/>
          <w:szCs w:val="24"/>
        </w:rPr>
        <w:t xml:space="preserve"> Here</w:t>
      </w:r>
      <w:r w:rsidR="00B31243" w:rsidRPr="00B6403E">
        <w:rPr>
          <w:rFonts w:ascii="Arial" w:hAnsi="Arial" w:cs="Arial"/>
          <w:color w:val="000000" w:themeColor="text1"/>
          <w:sz w:val="24"/>
          <w:szCs w:val="24"/>
        </w:rPr>
        <w:t>,</w:t>
      </w:r>
      <w:r w:rsidRPr="00B6403E">
        <w:rPr>
          <w:rFonts w:ascii="Arial" w:hAnsi="Arial" w:cs="Arial"/>
          <w:color w:val="000000" w:themeColor="text1"/>
          <w:sz w:val="24"/>
          <w:szCs w:val="24"/>
        </w:rPr>
        <w:t xml:space="preserve"> the court seeks to protect the </w:t>
      </w:r>
      <w:proofErr w:type="spellStart"/>
      <w:r w:rsidRPr="00B6403E">
        <w:rPr>
          <w:rFonts w:ascii="Arial" w:hAnsi="Arial" w:cs="Arial"/>
          <w:i/>
          <w:iCs/>
          <w:color w:val="000000" w:themeColor="text1"/>
          <w:sz w:val="24"/>
          <w:szCs w:val="24"/>
        </w:rPr>
        <w:t>spoliatus</w:t>
      </w:r>
      <w:proofErr w:type="spellEnd"/>
      <w:r w:rsidRPr="00B6403E">
        <w:rPr>
          <w:rFonts w:ascii="Arial" w:hAnsi="Arial" w:cs="Arial"/>
          <w:color w:val="000000" w:themeColor="text1"/>
          <w:sz w:val="24"/>
          <w:szCs w:val="24"/>
        </w:rPr>
        <w:t xml:space="preserve"> against an act of self-help </w:t>
      </w:r>
      <w:r w:rsidRPr="00CC4483">
        <w:rPr>
          <w:rFonts w:ascii="Arial" w:hAnsi="Arial" w:cs="Arial"/>
          <w:color w:val="000000" w:themeColor="text1"/>
          <w:sz w:val="24"/>
          <w:szCs w:val="24"/>
        </w:rPr>
        <w:lastRenderedPageBreak/>
        <w:t xml:space="preserve">on the part of the landlord because the landlord intends to constructively evict the </w:t>
      </w:r>
      <w:proofErr w:type="spellStart"/>
      <w:r w:rsidRPr="00CC4483">
        <w:rPr>
          <w:rFonts w:ascii="Arial" w:hAnsi="Arial" w:cs="Arial"/>
          <w:i/>
          <w:iCs/>
          <w:color w:val="000000" w:themeColor="text1"/>
          <w:sz w:val="24"/>
          <w:szCs w:val="24"/>
        </w:rPr>
        <w:t>spoliatus</w:t>
      </w:r>
      <w:proofErr w:type="spellEnd"/>
      <w:r w:rsidRPr="00CC4483">
        <w:rPr>
          <w:rFonts w:ascii="Arial" w:hAnsi="Arial" w:cs="Arial"/>
          <w:color w:val="000000" w:themeColor="text1"/>
          <w:sz w:val="24"/>
          <w:szCs w:val="24"/>
        </w:rPr>
        <w:t xml:space="preserve"> without following the due legal process.</w:t>
      </w:r>
    </w:p>
    <w:p w14:paraId="6A6C52E6" w14:textId="39FC208F" w:rsidR="006D74A8" w:rsidRPr="007725A2" w:rsidRDefault="006D74A8" w:rsidP="006D74A8">
      <w:pPr>
        <w:spacing w:line="360" w:lineRule="auto"/>
        <w:jc w:val="both"/>
        <w:rPr>
          <w:rFonts w:ascii="Arial" w:hAnsi="Arial" w:cs="Arial"/>
          <w:sz w:val="24"/>
          <w:szCs w:val="24"/>
        </w:rPr>
      </w:pPr>
      <w:r w:rsidRPr="007725A2">
        <w:rPr>
          <w:rFonts w:ascii="Arial" w:hAnsi="Arial" w:cs="Arial"/>
          <w:sz w:val="24"/>
          <w:szCs w:val="24"/>
        </w:rPr>
        <w:t>This position was highlighted in</w:t>
      </w:r>
      <w:r w:rsidRPr="007725A2">
        <w:rPr>
          <w:rFonts w:ascii="Arial" w:hAnsi="Arial" w:cs="Arial"/>
          <w:i/>
          <w:iCs/>
          <w:sz w:val="24"/>
          <w:szCs w:val="24"/>
        </w:rPr>
        <w:t xml:space="preserve"> </w:t>
      </w:r>
      <w:r w:rsidRPr="007725A2">
        <w:rPr>
          <w:rFonts w:ascii="Arial" w:hAnsi="Arial" w:cs="Arial"/>
          <w:i/>
          <w:iCs/>
          <w:sz w:val="24"/>
          <w:szCs w:val="24"/>
          <w:lang w:val="en-GB"/>
        </w:rPr>
        <w:t xml:space="preserve">Eskom Holdings SOC Limited v </w:t>
      </w:r>
      <w:proofErr w:type="spellStart"/>
      <w:r w:rsidRPr="007725A2">
        <w:rPr>
          <w:rFonts w:ascii="Arial" w:hAnsi="Arial" w:cs="Arial"/>
          <w:i/>
          <w:iCs/>
          <w:sz w:val="24"/>
          <w:szCs w:val="24"/>
          <w:lang w:val="en-GB"/>
        </w:rPr>
        <w:t>Metchem</w:t>
      </w:r>
      <w:proofErr w:type="spellEnd"/>
      <w:r w:rsidRPr="007725A2">
        <w:rPr>
          <w:rFonts w:ascii="Arial" w:hAnsi="Arial" w:cs="Arial"/>
          <w:i/>
          <w:iCs/>
          <w:sz w:val="24"/>
          <w:szCs w:val="24"/>
          <w:lang w:val="en-GB"/>
        </w:rPr>
        <w:t xml:space="preserve"> </w:t>
      </w:r>
      <w:proofErr w:type="spellStart"/>
      <w:r w:rsidRPr="007725A2">
        <w:rPr>
          <w:rFonts w:ascii="Arial" w:hAnsi="Arial" w:cs="Arial"/>
          <w:i/>
          <w:iCs/>
          <w:sz w:val="24"/>
          <w:szCs w:val="24"/>
          <w:lang w:val="en-GB"/>
        </w:rPr>
        <w:t>Steelpoort</w:t>
      </w:r>
      <w:proofErr w:type="spellEnd"/>
      <w:r w:rsidRPr="007725A2">
        <w:rPr>
          <w:rFonts w:ascii="Arial" w:hAnsi="Arial" w:cs="Arial"/>
          <w:i/>
          <w:iCs/>
          <w:sz w:val="24"/>
          <w:szCs w:val="24"/>
          <w:lang w:val="en-GB"/>
        </w:rPr>
        <w:t xml:space="preserve"> CC</w:t>
      </w:r>
      <w:r w:rsidRPr="007725A2">
        <w:rPr>
          <w:rFonts w:ascii="Arial" w:hAnsi="Arial" w:cs="Arial"/>
          <w:i/>
          <w:iCs/>
          <w:sz w:val="24"/>
          <w:szCs w:val="24"/>
        </w:rPr>
        <w:t>,</w:t>
      </w:r>
      <w:r w:rsidRPr="007725A2">
        <w:rPr>
          <w:rFonts w:ascii="Arial" w:hAnsi="Arial" w:cs="Arial"/>
          <w:sz w:val="24"/>
          <w:szCs w:val="24"/>
        </w:rPr>
        <w:t xml:space="preserve"> where the court found that a spoliation remedy should be available where disturbances with the </w:t>
      </w:r>
      <w:r w:rsidRPr="007725A2">
        <w:rPr>
          <w:rFonts w:ascii="Arial" w:hAnsi="Arial" w:cs="Arial"/>
          <w:i/>
          <w:iCs/>
          <w:sz w:val="24"/>
          <w:szCs w:val="24"/>
        </w:rPr>
        <w:t>quasi</w:t>
      </w:r>
      <w:r w:rsidRPr="007725A2">
        <w:rPr>
          <w:rFonts w:ascii="Arial" w:hAnsi="Arial" w:cs="Arial"/>
          <w:sz w:val="24"/>
          <w:szCs w:val="24"/>
        </w:rPr>
        <w:t xml:space="preserve">-possession of the right to the supply of services </w:t>
      </w:r>
      <w:r w:rsidR="00242739" w:rsidRPr="007725A2">
        <w:rPr>
          <w:rFonts w:ascii="Arial" w:hAnsi="Arial" w:cs="Arial"/>
          <w:sz w:val="24"/>
          <w:szCs w:val="24"/>
        </w:rPr>
        <w:t>are</w:t>
      </w:r>
      <w:r w:rsidRPr="007725A2">
        <w:rPr>
          <w:rFonts w:ascii="Arial" w:hAnsi="Arial" w:cs="Arial"/>
          <w:sz w:val="24"/>
          <w:szCs w:val="24"/>
        </w:rPr>
        <w:t xml:space="preserve"> done to force a person to vacate the premises.</w:t>
      </w:r>
      <w:r w:rsidRPr="007725A2">
        <w:rPr>
          <w:rStyle w:val="FootnoteReference"/>
          <w:rFonts w:ascii="Arial" w:hAnsi="Arial" w:cs="Arial"/>
          <w:sz w:val="24"/>
          <w:szCs w:val="24"/>
        </w:rPr>
        <w:footnoteReference w:id="417"/>
      </w:r>
      <w:r w:rsidRPr="007725A2">
        <w:rPr>
          <w:rFonts w:ascii="Arial" w:hAnsi="Arial" w:cs="Arial"/>
          <w:sz w:val="24"/>
          <w:szCs w:val="24"/>
        </w:rPr>
        <w:t xml:space="preserve"> What this means is that if the person providing services is the same person causing disconnection of the services, then the spoliation remedy would be applied despite the contractual nature of the right.</w:t>
      </w:r>
      <w:r w:rsidRPr="007725A2">
        <w:rPr>
          <w:rStyle w:val="FootnoteReference"/>
          <w:rFonts w:ascii="Arial" w:hAnsi="Arial" w:cs="Arial"/>
          <w:sz w:val="24"/>
          <w:szCs w:val="24"/>
        </w:rPr>
        <w:footnoteReference w:id="418"/>
      </w:r>
      <w:r w:rsidRPr="007725A2">
        <w:rPr>
          <w:rFonts w:ascii="Arial" w:hAnsi="Arial" w:cs="Arial"/>
          <w:sz w:val="24"/>
          <w:szCs w:val="24"/>
        </w:rPr>
        <w:t xml:space="preserve"> In this case, Eskom appealed against the decision of the court of first instance where it was ordered to restore possession to premises occupied by the respondent. The respondent submitted that it had a </w:t>
      </w:r>
      <w:r w:rsidRPr="007725A2">
        <w:rPr>
          <w:rFonts w:ascii="Arial" w:hAnsi="Arial" w:cs="Arial"/>
          <w:i/>
          <w:iCs/>
          <w:sz w:val="24"/>
          <w:szCs w:val="24"/>
        </w:rPr>
        <w:t>quasi</w:t>
      </w:r>
      <w:r w:rsidRPr="007725A2">
        <w:rPr>
          <w:rFonts w:ascii="Arial" w:hAnsi="Arial" w:cs="Arial"/>
          <w:sz w:val="24"/>
          <w:szCs w:val="24"/>
        </w:rPr>
        <w:t>-possession of the electricity supply in its capacity as a tenant.</w:t>
      </w:r>
      <w:r w:rsidRPr="007725A2">
        <w:rPr>
          <w:rStyle w:val="FootnoteReference"/>
          <w:rFonts w:ascii="Arial" w:hAnsi="Arial" w:cs="Arial"/>
          <w:sz w:val="24"/>
          <w:szCs w:val="24"/>
        </w:rPr>
        <w:footnoteReference w:id="419"/>
      </w:r>
      <w:r w:rsidRPr="007725A2">
        <w:rPr>
          <w:rFonts w:ascii="Arial" w:hAnsi="Arial" w:cs="Arial"/>
          <w:sz w:val="24"/>
          <w:szCs w:val="24"/>
        </w:rPr>
        <w:t xml:space="preserve"> It neglected to explore the legal grounds of its argument</w:t>
      </w:r>
      <w:r w:rsidR="00242739" w:rsidRPr="007725A2">
        <w:rPr>
          <w:rFonts w:ascii="Arial" w:hAnsi="Arial" w:cs="Arial"/>
          <w:sz w:val="24"/>
          <w:szCs w:val="24"/>
        </w:rPr>
        <w:t>. It</w:t>
      </w:r>
      <w:r w:rsidRPr="007725A2">
        <w:rPr>
          <w:rFonts w:ascii="Arial" w:hAnsi="Arial" w:cs="Arial"/>
          <w:sz w:val="24"/>
          <w:szCs w:val="24"/>
        </w:rPr>
        <w:t xml:space="preserve"> relied rather on cases where the spoliation remedy was granted following the termination of the supply of electricity to leased properties by the landlord.</w:t>
      </w:r>
      <w:r w:rsidRPr="007725A2">
        <w:rPr>
          <w:rStyle w:val="FootnoteReference"/>
          <w:rFonts w:ascii="Arial" w:hAnsi="Arial" w:cs="Arial"/>
          <w:sz w:val="24"/>
          <w:szCs w:val="24"/>
        </w:rPr>
        <w:footnoteReference w:id="420"/>
      </w:r>
    </w:p>
    <w:p w14:paraId="58B51F97" w14:textId="7BA34244" w:rsidR="006D74A8" w:rsidRPr="00E974C2" w:rsidRDefault="006D74A8" w:rsidP="006D74A8">
      <w:pPr>
        <w:spacing w:line="360" w:lineRule="auto"/>
        <w:jc w:val="both"/>
        <w:rPr>
          <w:rFonts w:ascii="Arial" w:hAnsi="Arial" w:cs="Arial"/>
          <w:sz w:val="24"/>
          <w:szCs w:val="24"/>
        </w:rPr>
      </w:pPr>
      <w:r w:rsidRPr="007725A2">
        <w:rPr>
          <w:rFonts w:ascii="Arial" w:hAnsi="Arial" w:cs="Arial"/>
          <w:sz w:val="24"/>
          <w:szCs w:val="24"/>
        </w:rPr>
        <w:t>The court made it clear that in cases relied upon by the respondent, the spoliation remedy was granted to protect the actual possession of the property because services were terminated to force the applicants to vacate the premises.</w:t>
      </w:r>
      <w:r w:rsidRPr="007725A2">
        <w:rPr>
          <w:rStyle w:val="FootnoteReference"/>
          <w:rFonts w:ascii="Arial" w:hAnsi="Arial" w:cs="Arial"/>
          <w:sz w:val="24"/>
          <w:szCs w:val="24"/>
        </w:rPr>
        <w:footnoteReference w:id="421"/>
      </w:r>
      <w:r w:rsidRPr="007725A2">
        <w:rPr>
          <w:rFonts w:ascii="Arial" w:hAnsi="Arial" w:cs="Arial"/>
          <w:sz w:val="24"/>
          <w:szCs w:val="24"/>
        </w:rPr>
        <w:t xml:space="preserve"> With reference to the facts in this case, the court held that the mere termination of a service provided in terms of a contract does not of itself invoke the spoliation remedy.</w:t>
      </w:r>
      <w:r w:rsidRPr="007725A2">
        <w:rPr>
          <w:rStyle w:val="FootnoteReference"/>
          <w:rFonts w:ascii="Arial" w:hAnsi="Arial" w:cs="Arial"/>
          <w:sz w:val="24"/>
          <w:szCs w:val="24"/>
        </w:rPr>
        <w:footnoteReference w:id="422"/>
      </w:r>
      <w:r w:rsidRPr="007725A2">
        <w:rPr>
          <w:rFonts w:ascii="Arial" w:hAnsi="Arial" w:cs="Arial"/>
          <w:sz w:val="24"/>
          <w:szCs w:val="24"/>
        </w:rPr>
        <w:t xml:space="preserve"> The fact that electricity is supplied at a specific physical address to enable a consumer to see to its affairs does not mean that the supply of electricity translate</w:t>
      </w:r>
      <w:r w:rsidR="00242739" w:rsidRPr="007725A2">
        <w:rPr>
          <w:rFonts w:ascii="Arial" w:hAnsi="Arial" w:cs="Arial"/>
          <w:sz w:val="24"/>
          <w:szCs w:val="24"/>
        </w:rPr>
        <w:t>s</w:t>
      </w:r>
      <w:r w:rsidRPr="007725A2">
        <w:rPr>
          <w:rFonts w:ascii="Arial" w:hAnsi="Arial" w:cs="Arial"/>
          <w:sz w:val="24"/>
          <w:szCs w:val="24"/>
        </w:rPr>
        <w:t xml:space="preserve"> to an incident of possession of the physical property.</w:t>
      </w:r>
      <w:r w:rsidRPr="007725A2">
        <w:rPr>
          <w:rStyle w:val="FootnoteReference"/>
          <w:rFonts w:ascii="Arial" w:hAnsi="Arial" w:cs="Arial"/>
          <w:sz w:val="24"/>
          <w:szCs w:val="24"/>
        </w:rPr>
        <w:footnoteReference w:id="423"/>
      </w:r>
      <w:r w:rsidRPr="007725A2">
        <w:rPr>
          <w:rFonts w:ascii="Arial" w:hAnsi="Arial" w:cs="Arial"/>
          <w:sz w:val="24"/>
          <w:szCs w:val="24"/>
        </w:rPr>
        <w:t xml:space="preserve"> The court was content that the respondent launched a spoliation application on the mistaken impression that the spoliation remedy </w:t>
      </w:r>
      <w:r w:rsidR="00242739" w:rsidRPr="007725A2">
        <w:rPr>
          <w:rFonts w:ascii="Arial" w:hAnsi="Arial" w:cs="Arial"/>
          <w:sz w:val="24"/>
          <w:szCs w:val="24"/>
        </w:rPr>
        <w:t>wa</w:t>
      </w:r>
      <w:r w:rsidRPr="007725A2">
        <w:rPr>
          <w:rFonts w:ascii="Arial" w:hAnsi="Arial" w:cs="Arial"/>
          <w:sz w:val="24"/>
          <w:szCs w:val="24"/>
        </w:rPr>
        <w:t>s available where Eskom supplied electricity in terms of a contract.</w:t>
      </w:r>
      <w:r w:rsidRPr="007725A2">
        <w:rPr>
          <w:rStyle w:val="FootnoteReference"/>
          <w:rFonts w:ascii="Arial" w:hAnsi="Arial" w:cs="Arial"/>
          <w:sz w:val="24"/>
          <w:szCs w:val="24"/>
        </w:rPr>
        <w:footnoteReference w:id="424"/>
      </w:r>
      <w:r w:rsidRPr="007725A2">
        <w:rPr>
          <w:rFonts w:ascii="Arial" w:hAnsi="Arial" w:cs="Arial"/>
          <w:sz w:val="24"/>
          <w:szCs w:val="24"/>
        </w:rPr>
        <w:t xml:space="preserve"> The court found that the respondent’s use of the electricity supply was a personal right </w:t>
      </w:r>
      <w:r w:rsidRPr="00E974C2">
        <w:rPr>
          <w:rFonts w:ascii="Arial" w:hAnsi="Arial" w:cs="Arial"/>
          <w:sz w:val="24"/>
          <w:szCs w:val="24"/>
        </w:rPr>
        <w:lastRenderedPageBreak/>
        <w:t>flowing from the contract with Eskom and not capable of finding protection under the spoliation remedy.</w:t>
      </w:r>
      <w:r w:rsidRPr="00E974C2">
        <w:rPr>
          <w:rStyle w:val="FootnoteReference"/>
          <w:rFonts w:ascii="Arial" w:hAnsi="Arial" w:cs="Arial"/>
          <w:sz w:val="24"/>
          <w:szCs w:val="24"/>
        </w:rPr>
        <w:footnoteReference w:id="425"/>
      </w:r>
    </w:p>
    <w:p w14:paraId="3789BC1F" w14:textId="5A6F0D8E" w:rsidR="006D74A8" w:rsidRPr="00E974C2" w:rsidRDefault="006D74A8" w:rsidP="006D74A8">
      <w:pPr>
        <w:spacing w:line="360" w:lineRule="auto"/>
        <w:jc w:val="both"/>
        <w:rPr>
          <w:rFonts w:ascii="Arial" w:hAnsi="Arial" w:cs="Arial"/>
          <w:sz w:val="24"/>
          <w:szCs w:val="24"/>
        </w:rPr>
      </w:pPr>
      <w:r w:rsidRPr="00E974C2">
        <w:rPr>
          <w:rFonts w:ascii="Arial" w:hAnsi="Arial" w:cs="Arial"/>
          <w:sz w:val="24"/>
          <w:szCs w:val="24"/>
        </w:rPr>
        <w:t xml:space="preserve">According to Horn </w:t>
      </w:r>
      <w:r w:rsidRPr="00E974C2">
        <w:rPr>
          <w:rFonts w:ascii="Arial" w:hAnsi="Arial" w:cs="Arial"/>
          <w:i/>
          <w:iCs/>
          <w:sz w:val="24"/>
          <w:szCs w:val="24"/>
        </w:rPr>
        <w:t>et al</w:t>
      </w:r>
      <w:r w:rsidR="00242739" w:rsidRPr="00E974C2">
        <w:rPr>
          <w:rFonts w:ascii="Arial" w:hAnsi="Arial" w:cs="Arial"/>
          <w:i/>
          <w:iCs/>
          <w:sz w:val="24"/>
          <w:szCs w:val="24"/>
        </w:rPr>
        <w:t>.</w:t>
      </w:r>
      <w:r w:rsidRPr="00E974C2">
        <w:rPr>
          <w:rFonts w:ascii="Arial" w:hAnsi="Arial" w:cs="Arial"/>
          <w:sz w:val="24"/>
          <w:szCs w:val="24"/>
        </w:rPr>
        <w:t>, the critical evaluation of these judgements does not necessarily limit the protective ambit of the spoliation remedy but rather clarifies its use and original format.</w:t>
      </w:r>
      <w:r w:rsidRPr="00E974C2">
        <w:rPr>
          <w:rStyle w:val="FootnoteReference"/>
          <w:rFonts w:ascii="Arial" w:hAnsi="Arial" w:cs="Arial"/>
          <w:sz w:val="24"/>
          <w:szCs w:val="24"/>
        </w:rPr>
        <w:footnoteReference w:id="426"/>
      </w:r>
      <w:r w:rsidRPr="00E974C2">
        <w:rPr>
          <w:rFonts w:ascii="Arial" w:hAnsi="Arial" w:cs="Arial"/>
          <w:sz w:val="24"/>
          <w:szCs w:val="24"/>
        </w:rPr>
        <w:t xml:space="preserve"> The authors provide the following examples as further clarification:</w:t>
      </w:r>
    </w:p>
    <w:p w14:paraId="3A02CA0D" w14:textId="239B3A23" w:rsidR="006D74A8" w:rsidRPr="00E974C2" w:rsidRDefault="00242739" w:rsidP="006D74A8">
      <w:pPr>
        <w:pStyle w:val="ListParagraph"/>
        <w:numPr>
          <w:ilvl w:val="0"/>
          <w:numId w:val="8"/>
        </w:numPr>
        <w:spacing w:line="360" w:lineRule="auto"/>
        <w:jc w:val="both"/>
        <w:rPr>
          <w:rFonts w:ascii="Arial" w:hAnsi="Arial" w:cs="Arial"/>
          <w:sz w:val="24"/>
          <w:szCs w:val="24"/>
        </w:rPr>
      </w:pPr>
      <w:r w:rsidRPr="00E974C2">
        <w:rPr>
          <w:rFonts w:ascii="Arial" w:hAnsi="Arial" w:cs="Arial"/>
          <w:sz w:val="24"/>
          <w:szCs w:val="24"/>
        </w:rPr>
        <w:t>Suppose</w:t>
      </w:r>
      <w:r w:rsidR="006D74A8" w:rsidRPr="00E974C2">
        <w:rPr>
          <w:rFonts w:ascii="Arial" w:hAnsi="Arial" w:cs="Arial"/>
          <w:sz w:val="24"/>
          <w:szCs w:val="24"/>
        </w:rPr>
        <w:t xml:space="preserve"> A is a lessee of a property and enters into an agreement with the local municipality to provide electricity to the property. A will not be entitled to the restoration of the electricity by a spoliation remedy if he falls in arrears in respect of his account and the municipality terminates the supply because his right to receive electricity is contractual and not an incident of possession or use of the property.</w:t>
      </w:r>
    </w:p>
    <w:p w14:paraId="180E37EE" w14:textId="0D654E26" w:rsidR="006D74A8" w:rsidRPr="00E974C2" w:rsidRDefault="006D74A8" w:rsidP="006D74A8">
      <w:pPr>
        <w:pStyle w:val="ListParagraph"/>
        <w:numPr>
          <w:ilvl w:val="0"/>
          <w:numId w:val="8"/>
        </w:numPr>
        <w:spacing w:line="360" w:lineRule="auto"/>
        <w:jc w:val="both"/>
        <w:rPr>
          <w:rFonts w:ascii="Arial" w:hAnsi="Arial" w:cs="Arial"/>
          <w:sz w:val="24"/>
          <w:szCs w:val="24"/>
        </w:rPr>
      </w:pPr>
      <w:r w:rsidRPr="00E974C2">
        <w:rPr>
          <w:rFonts w:ascii="Arial" w:hAnsi="Arial" w:cs="Arial"/>
          <w:sz w:val="24"/>
          <w:szCs w:val="24"/>
        </w:rPr>
        <w:t>Where A leases a flat from B and his rental is inclusive of electricity and water usage. If he falls in arrears with his rental payment and B terminates his access to electricity and water. A would be entitled to a spoliation order directing B to restore access to water and electricity supply even though he is in a contractual relationship with B. This is because A’s use of the electricity and water is incidental to the possession and right to use the flat.</w:t>
      </w:r>
    </w:p>
    <w:p w14:paraId="74846BD1" w14:textId="354F456F" w:rsidR="006D74A8" w:rsidRPr="00E974C2" w:rsidRDefault="006D74A8" w:rsidP="006D74A8">
      <w:pPr>
        <w:pStyle w:val="ListParagraph"/>
        <w:numPr>
          <w:ilvl w:val="0"/>
          <w:numId w:val="8"/>
        </w:numPr>
        <w:spacing w:line="360" w:lineRule="auto"/>
        <w:jc w:val="both"/>
        <w:rPr>
          <w:rFonts w:ascii="Arial" w:hAnsi="Arial" w:cs="Arial"/>
          <w:sz w:val="24"/>
          <w:szCs w:val="24"/>
        </w:rPr>
      </w:pPr>
      <w:r w:rsidRPr="00E974C2">
        <w:rPr>
          <w:rFonts w:ascii="Arial" w:hAnsi="Arial" w:cs="Arial"/>
          <w:sz w:val="24"/>
          <w:szCs w:val="24"/>
        </w:rPr>
        <w:t xml:space="preserve">Where A leases a flat from B and his rent is inclusive of electricity and water usage, but B intends to terminate the lease agreement before its fixed term </w:t>
      </w:r>
      <w:r w:rsidR="00883829" w:rsidRPr="00E974C2">
        <w:rPr>
          <w:rFonts w:ascii="Arial" w:hAnsi="Arial" w:cs="Arial"/>
          <w:sz w:val="24"/>
          <w:szCs w:val="24"/>
        </w:rPr>
        <w:t xml:space="preserve">comes to an end </w:t>
      </w:r>
      <w:r w:rsidRPr="00E974C2">
        <w:rPr>
          <w:rFonts w:ascii="Arial" w:hAnsi="Arial" w:cs="Arial"/>
          <w:sz w:val="24"/>
          <w:szCs w:val="24"/>
        </w:rPr>
        <w:t xml:space="preserve">because he suddenly needs the flat for other uses. A would be entitled to a spoliation order should B decide to terminate </w:t>
      </w:r>
      <w:r w:rsidR="00242739" w:rsidRPr="00E974C2">
        <w:rPr>
          <w:rFonts w:ascii="Arial" w:hAnsi="Arial" w:cs="Arial"/>
          <w:sz w:val="24"/>
          <w:szCs w:val="24"/>
        </w:rPr>
        <w:t xml:space="preserve">the </w:t>
      </w:r>
      <w:r w:rsidRPr="00E974C2">
        <w:rPr>
          <w:rFonts w:ascii="Arial" w:hAnsi="Arial" w:cs="Arial"/>
          <w:sz w:val="24"/>
          <w:szCs w:val="24"/>
        </w:rPr>
        <w:t>water and electricity supply because he intends to</w:t>
      </w:r>
      <w:r w:rsidR="00883829" w:rsidRPr="00E974C2">
        <w:rPr>
          <w:rFonts w:ascii="Arial" w:hAnsi="Arial" w:cs="Arial"/>
          <w:sz w:val="24"/>
          <w:szCs w:val="24"/>
        </w:rPr>
        <w:t xml:space="preserve"> constructively</w:t>
      </w:r>
      <w:r w:rsidRPr="00E974C2">
        <w:rPr>
          <w:rFonts w:ascii="Arial" w:hAnsi="Arial" w:cs="Arial"/>
          <w:sz w:val="24"/>
          <w:szCs w:val="24"/>
        </w:rPr>
        <w:t xml:space="preserve"> </w:t>
      </w:r>
      <w:r w:rsidR="00242739" w:rsidRPr="00E974C2">
        <w:rPr>
          <w:rFonts w:ascii="Arial" w:hAnsi="Arial" w:cs="Arial"/>
          <w:sz w:val="24"/>
          <w:szCs w:val="24"/>
        </w:rPr>
        <w:t>evict A from the flat</w:t>
      </w:r>
      <w:r w:rsidRPr="00E974C2">
        <w:rPr>
          <w:rFonts w:ascii="Arial" w:hAnsi="Arial" w:cs="Arial"/>
          <w:sz w:val="24"/>
          <w:szCs w:val="24"/>
        </w:rPr>
        <w:t>.</w:t>
      </w:r>
      <w:r w:rsidRPr="00E974C2">
        <w:rPr>
          <w:rStyle w:val="FootnoteReference"/>
          <w:rFonts w:ascii="Arial" w:hAnsi="Arial" w:cs="Arial"/>
          <w:sz w:val="24"/>
          <w:szCs w:val="24"/>
        </w:rPr>
        <w:footnoteReference w:id="427"/>
      </w:r>
    </w:p>
    <w:p w14:paraId="7898F56D" w14:textId="3D27811A" w:rsidR="00761FF4" w:rsidRPr="00B17C11" w:rsidRDefault="00761FF4" w:rsidP="00761FF4">
      <w:pPr>
        <w:spacing w:line="360" w:lineRule="auto"/>
        <w:jc w:val="both"/>
        <w:rPr>
          <w:rFonts w:ascii="Arial" w:hAnsi="Arial" w:cs="Arial"/>
          <w:sz w:val="24"/>
          <w:szCs w:val="24"/>
          <w:lang w:val="en-GB"/>
        </w:rPr>
      </w:pPr>
      <w:r w:rsidRPr="00E974C2">
        <w:rPr>
          <w:rFonts w:ascii="Arial" w:hAnsi="Arial" w:cs="Arial"/>
          <w:sz w:val="24"/>
          <w:szCs w:val="24"/>
        </w:rPr>
        <w:t xml:space="preserve">In essence, to prove ‘an incident of possession’ requirement, the </w:t>
      </w:r>
      <w:proofErr w:type="spellStart"/>
      <w:r w:rsidRPr="00E974C2">
        <w:rPr>
          <w:rFonts w:ascii="Arial" w:hAnsi="Arial" w:cs="Arial"/>
          <w:i/>
          <w:iCs/>
          <w:sz w:val="24"/>
          <w:szCs w:val="24"/>
        </w:rPr>
        <w:t>spoliatus</w:t>
      </w:r>
      <w:proofErr w:type="spellEnd"/>
      <w:r w:rsidRPr="00E974C2">
        <w:rPr>
          <w:rFonts w:ascii="Arial" w:hAnsi="Arial" w:cs="Arial"/>
          <w:i/>
          <w:iCs/>
          <w:sz w:val="24"/>
          <w:szCs w:val="24"/>
        </w:rPr>
        <w:t xml:space="preserve"> </w:t>
      </w:r>
      <w:r w:rsidRPr="00E974C2">
        <w:rPr>
          <w:rFonts w:ascii="Arial" w:hAnsi="Arial" w:cs="Arial"/>
          <w:sz w:val="24"/>
          <w:szCs w:val="24"/>
        </w:rPr>
        <w:t xml:space="preserve">need not only demonstrate acts usually associated with the professed right </w:t>
      </w:r>
      <w:r w:rsidR="00E92CB9" w:rsidRPr="00E974C2">
        <w:rPr>
          <w:rFonts w:ascii="Arial" w:hAnsi="Arial" w:cs="Arial"/>
          <w:sz w:val="24"/>
          <w:szCs w:val="24"/>
        </w:rPr>
        <w:t>t</w:t>
      </w:r>
      <w:r w:rsidRPr="00E974C2">
        <w:rPr>
          <w:rFonts w:ascii="Arial" w:hAnsi="Arial" w:cs="Arial"/>
          <w:sz w:val="24"/>
          <w:szCs w:val="24"/>
        </w:rPr>
        <w:t>o land</w:t>
      </w:r>
      <w:r w:rsidR="00C67F9A" w:rsidRPr="00E974C2">
        <w:rPr>
          <w:rFonts w:ascii="Arial" w:hAnsi="Arial" w:cs="Arial"/>
          <w:sz w:val="24"/>
          <w:szCs w:val="24"/>
        </w:rPr>
        <w:t xml:space="preserve"> but</w:t>
      </w:r>
      <w:r w:rsidRPr="00E974C2">
        <w:rPr>
          <w:rFonts w:ascii="Arial" w:hAnsi="Arial" w:cs="Arial"/>
          <w:sz w:val="24"/>
          <w:szCs w:val="24"/>
        </w:rPr>
        <w:t xml:space="preserve"> must also have an occupation right against the landlord</w:t>
      </w:r>
      <w:r w:rsidRPr="00E974C2">
        <w:rPr>
          <w:rFonts w:ascii="Arial" w:hAnsi="Arial" w:cs="Arial"/>
          <w:sz w:val="24"/>
          <w:szCs w:val="24"/>
          <w:lang w:val="en-GB"/>
        </w:rPr>
        <w:t>.</w:t>
      </w:r>
      <w:r w:rsidRPr="00E974C2">
        <w:rPr>
          <w:rStyle w:val="FootnoteReference"/>
          <w:rFonts w:ascii="Arial" w:hAnsi="Arial" w:cs="Arial"/>
          <w:sz w:val="24"/>
          <w:szCs w:val="24"/>
          <w:lang w:val="en-GB"/>
        </w:rPr>
        <w:footnoteReference w:id="428"/>
      </w:r>
      <w:r w:rsidRPr="00E974C2">
        <w:rPr>
          <w:rFonts w:ascii="Arial" w:hAnsi="Arial" w:cs="Arial"/>
          <w:sz w:val="24"/>
          <w:szCs w:val="24"/>
          <w:lang w:val="en-GB"/>
        </w:rPr>
        <w:t xml:space="preserve"> </w:t>
      </w:r>
      <w:r w:rsidRPr="00E974C2">
        <w:rPr>
          <w:rFonts w:ascii="Arial" w:hAnsi="Arial" w:cs="Arial"/>
          <w:sz w:val="24"/>
          <w:szCs w:val="24"/>
        </w:rPr>
        <w:t>The immediate consequence of this finding is that electricity suppliers</w:t>
      </w:r>
      <w:r w:rsidR="00622339" w:rsidRPr="00E974C2">
        <w:rPr>
          <w:rFonts w:ascii="Arial" w:hAnsi="Arial" w:cs="Arial"/>
          <w:sz w:val="24"/>
          <w:szCs w:val="24"/>
        </w:rPr>
        <w:t xml:space="preserve"> </w:t>
      </w:r>
      <w:r w:rsidR="00CD2C04" w:rsidRPr="00E974C2">
        <w:rPr>
          <w:rFonts w:ascii="Arial" w:hAnsi="Arial" w:cs="Arial"/>
          <w:sz w:val="24"/>
          <w:szCs w:val="24"/>
        </w:rPr>
        <w:t xml:space="preserve">and persons who have no interest in the land </w:t>
      </w:r>
      <w:r w:rsidRPr="00A63AFE">
        <w:rPr>
          <w:rFonts w:ascii="Arial" w:hAnsi="Arial" w:cs="Arial"/>
          <w:sz w:val="24"/>
          <w:szCs w:val="24"/>
        </w:rPr>
        <w:lastRenderedPageBreak/>
        <w:t xml:space="preserve">get a free pass to engage in acts of self-help if </w:t>
      </w:r>
      <w:r w:rsidR="00B31243" w:rsidRPr="00A63AFE">
        <w:rPr>
          <w:rFonts w:ascii="Arial" w:hAnsi="Arial" w:cs="Arial"/>
          <w:sz w:val="24"/>
          <w:szCs w:val="24"/>
        </w:rPr>
        <w:t xml:space="preserve">the </w:t>
      </w:r>
      <w:r w:rsidRPr="00A63AFE">
        <w:rPr>
          <w:rFonts w:ascii="Arial" w:hAnsi="Arial" w:cs="Arial"/>
          <w:sz w:val="24"/>
          <w:szCs w:val="24"/>
        </w:rPr>
        <w:t xml:space="preserve">right to electricity supply is sourced in </w:t>
      </w:r>
      <w:r w:rsidR="0075672B" w:rsidRPr="00A63AFE">
        <w:rPr>
          <w:rFonts w:ascii="Arial" w:hAnsi="Arial" w:cs="Arial"/>
          <w:sz w:val="24"/>
          <w:szCs w:val="24"/>
        </w:rPr>
        <w:t xml:space="preserve">a </w:t>
      </w:r>
      <w:r w:rsidRPr="00A63AFE">
        <w:rPr>
          <w:rFonts w:ascii="Arial" w:hAnsi="Arial" w:cs="Arial"/>
          <w:sz w:val="24"/>
          <w:szCs w:val="24"/>
        </w:rPr>
        <w:t>contract.</w:t>
      </w:r>
      <w:r w:rsidRPr="00A63AFE">
        <w:rPr>
          <w:rStyle w:val="FootnoteReference"/>
          <w:rFonts w:ascii="Arial" w:hAnsi="Arial" w:cs="Arial"/>
          <w:sz w:val="24"/>
          <w:szCs w:val="24"/>
        </w:rPr>
        <w:footnoteReference w:id="429"/>
      </w:r>
    </w:p>
    <w:p w14:paraId="1F0C40C6" w14:textId="2A71F577" w:rsidR="00761FF4" w:rsidRPr="00A63AFE" w:rsidRDefault="00761FF4" w:rsidP="00761FF4">
      <w:pPr>
        <w:spacing w:line="360" w:lineRule="auto"/>
        <w:jc w:val="both"/>
        <w:rPr>
          <w:rFonts w:ascii="Arial" w:hAnsi="Arial" w:cs="Arial"/>
          <w:color w:val="000000" w:themeColor="text1"/>
          <w:sz w:val="24"/>
          <w:szCs w:val="24"/>
          <w:lang w:val="en-GB"/>
        </w:rPr>
      </w:pPr>
      <w:r w:rsidRPr="00A63AFE">
        <w:rPr>
          <w:rFonts w:ascii="Arial" w:hAnsi="Arial" w:cs="Arial"/>
          <w:color w:val="000000" w:themeColor="text1"/>
          <w:sz w:val="24"/>
          <w:szCs w:val="24"/>
        </w:rPr>
        <w:t xml:space="preserve">In light of this interpretation, it would seem that the spoliation remedy was available only in the case of </w:t>
      </w:r>
      <w:proofErr w:type="spellStart"/>
      <w:r w:rsidRPr="00A63AFE">
        <w:rPr>
          <w:rFonts w:ascii="Arial" w:hAnsi="Arial" w:cs="Arial"/>
          <w:color w:val="000000" w:themeColor="text1"/>
          <w:sz w:val="24"/>
          <w:szCs w:val="24"/>
        </w:rPr>
        <w:t>servitutal</w:t>
      </w:r>
      <w:proofErr w:type="spellEnd"/>
      <w:r w:rsidRPr="00A63AFE">
        <w:rPr>
          <w:rFonts w:ascii="Arial" w:hAnsi="Arial" w:cs="Arial"/>
          <w:color w:val="000000" w:themeColor="text1"/>
          <w:sz w:val="24"/>
          <w:szCs w:val="24"/>
        </w:rPr>
        <w:t xml:space="preserve"> rights, registered statutory rights, and in cases where the spoliator has an interest in the land. This research argues that it is not only persons with an interest in the land who are capable of committing acts of self-help. There are also</w:t>
      </w:r>
      <w:r w:rsidRPr="00A63AFE">
        <w:rPr>
          <w:rFonts w:ascii="Arial" w:hAnsi="Arial" w:cs="Arial"/>
          <w:color w:val="000000" w:themeColor="text1"/>
          <w:sz w:val="24"/>
          <w:szCs w:val="24"/>
          <w:lang w:val="en-GB"/>
        </w:rPr>
        <w:t xml:space="preserve"> instances where the </w:t>
      </w:r>
      <w:r w:rsidRPr="00A63AFE">
        <w:rPr>
          <w:rFonts w:ascii="Arial" w:hAnsi="Arial" w:cs="Arial"/>
          <w:iCs/>
          <w:color w:val="000000" w:themeColor="text1"/>
          <w:sz w:val="24"/>
          <w:szCs w:val="24"/>
          <w:lang w:val="en-GB"/>
        </w:rPr>
        <w:t>spoliator</w:t>
      </w:r>
      <w:r w:rsidRPr="00A63AFE">
        <w:rPr>
          <w:rFonts w:ascii="Arial" w:hAnsi="Arial" w:cs="Arial"/>
          <w:i/>
          <w:color w:val="000000" w:themeColor="text1"/>
          <w:sz w:val="24"/>
          <w:szCs w:val="24"/>
          <w:lang w:val="en-GB"/>
        </w:rPr>
        <w:t xml:space="preserve"> </w:t>
      </w:r>
      <w:r w:rsidRPr="00A63AFE">
        <w:rPr>
          <w:rFonts w:ascii="Arial" w:hAnsi="Arial" w:cs="Arial"/>
          <w:color w:val="000000" w:themeColor="text1"/>
          <w:sz w:val="24"/>
          <w:szCs w:val="24"/>
          <w:lang w:val="en-GB"/>
        </w:rPr>
        <w:t>is not the landlord or the building owner. This is part of the reason this research investigates whether the spoliation remedy can be extended to protect persons whose water and electricity supply were unlawfully despoiled by third parties and or essential service providers such as municipalities and or Eskom.</w:t>
      </w:r>
      <w:r w:rsidR="00C05F4C" w:rsidRPr="00A63AFE">
        <w:rPr>
          <w:rStyle w:val="FootnoteReference"/>
          <w:rFonts w:ascii="Arial" w:hAnsi="Arial" w:cs="Arial"/>
          <w:color w:val="000000" w:themeColor="text1"/>
          <w:sz w:val="24"/>
          <w:szCs w:val="24"/>
          <w:lang w:val="en-GB"/>
        </w:rPr>
        <w:footnoteReference w:id="430"/>
      </w:r>
    </w:p>
    <w:p w14:paraId="7EE59A44" w14:textId="77777777" w:rsidR="00C05F4C" w:rsidRPr="00B17C11" w:rsidRDefault="00C05F4C" w:rsidP="00C05F4C">
      <w:pPr>
        <w:spacing w:before="240" w:line="360" w:lineRule="auto"/>
        <w:jc w:val="both"/>
        <w:rPr>
          <w:rFonts w:ascii="Arial" w:hAnsi="Arial" w:cs="Arial"/>
          <w:sz w:val="24"/>
          <w:szCs w:val="24"/>
          <w:lang w:val="en-GB"/>
        </w:rPr>
      </w:pPr>
      <w:r w:rsidRPr="008719C3">
        <w:rPr>
          <w:rFonts w:ascii="Arial" w:hAnsi="Arial" w:cs="Arial"/>
          <w:sz w:val="24"/>
          <w:szCs w:val="24"/>
          <w:lang w:val="en-GB"/>
        </w:rPr>
        <w:t xml:space="preserve">For instance, while the court in </w:t>
      </w:r>
      <w:r w:rsidRPr="008719C3">
        <w:rPr>
          <w:rFonts w:ascii="Arial" w:hAnsi="Arial" w:cs="Arial"/>
          <w:i/>
          <w:sz w:val="24"/>
          <w:szCs w:val="24"/>
          <w:lang w:val="en-GB"/>
        </w:rPr>
        <w:t>Vena and Another v George Municipality</w:t>
      </w:r>
      <w:r w:rsidRPr="008719C3">
        <w:rPr>
          <w:rFonts w:ascii="Arial" w:hAnsi="Arial" w:cs="Arial"/>
          <w:sz w:val="24"/>
          <w:szCs w:val="24"/>
          <w:lang w:val="en-GB"/>
        </w:rPr>
        <w:t xml:space="preserve"> did not exactly concern itself with the </w:t>
      </w:r>
      <w:r w:rsidRPr="008719C3">
        <w:rPr>
          <w:rFonts w:ascii="Arial" w:hAnsi="Arial" w:cs="Arial"/>
          <w:i/>
          <w:iCs/>
          <w:sz w:val="24"/>
          <w:szCs w:val="24"/>
          <w:lang w:val="en-GB"/>
        </w:rPr>
        <w:t>quasi</w:t>
      </w:r>
      <w:r w:rsidRPr="008719C3">
        <w:rPr>
          <w:rFonts w:ascii="Arial" w:hAnsi="Arial" w:cs="Arial"/>
          <w:sz w:val="24"/>
          <w:szCs w:val="24"/>
          <w:lang w:val="en-GB"/>
        </w:rPr>
        <w:t xml:space="preserve">-possession of water and electricity supply, it did, however, award a spoliation order against the council for its failure to follow due legal process. </w:t>
      </w:r>
      <w:r w:rsidRPr="008719C3">
        <w:rPr>
          <w:rFonts w:ascii="Arial" w:hAnsi="Arial" w:cs="Arial"/>
          <w:i/>
          <w:sz w:val="24"/>
          <w:szCs w:val="24"/>
          <w:lang w:val="en-GB"/>
        </w:rPr>
        <w:t xml:space="preserve">In </w:t>
      </w:r>
      <w:proofErr w:type="spellStart"/>
      <w:r w:rsidRPr="008719C3">
        <w:rPr>
          <w:rFonts w:ascii="Arial" w:hAnsi="Arial" w:cs="Arial"/>
          <w:i/>
          <w:sz w:val="24"/>
          <w:szCs w:val="24"/>
          <w:lang w:val="en-GB"/>
        </w:rPr>
        <w:t>casu</w:t>
      </w:r>
      <w:proofErr w:type="spellEnd"/>
      <w:r w:rsidRPr="008719C3">
        <w:rPr>
          <w:rFonts w:ascii="Arial" w:hAnsi="Arial" w:cs="Arial"/>
          <w:sz w:val="24"/>
          <w:szCs w:val="24"/>
          <w:lang w:val="en-GB"/>
        </w:rPr>
        <w:t>, the respondent carried out demolitions in terms of section 3B(1)(a) of the Prevention of Illegal Squatting Act 52 of 1951, which empowered the landowner to demolish buildings erected on his property without his consent.</w:t>
      </w:r>
      <w:r w:rsidRPr="008719C3">
        <w:rPr>
          <w:rStyle w:val="FootnoteReference"/>
          <w:rFonts w:ascii="Arial" w:hAnsi="Arial" w:cs="Arial"/>
          <w:sz w:val="24"/>
          <w:szCs w:val="24"/>
          <w:lang w:val="en-GB"/>
        </w:rPr>
        <w:footnoteReference w:id="431"/>
      </w:r>
      <w:r w:rsidRPr="008719C3">
        <w:rPr>
          <w:rFonts w:ascii="Arial" w:hAnsi="Arial" w:cs="Arial"/>
          <w:sz w:val="24"/>
          <w:szCs w:val="24"/>
          <w:lang w:val="en-GB"/>
        </w:rPr>
        <w:t xml:space="preserve"> The court understood section 3B(1)(a) to apply only to buildings erected on land unlawfully occupied.</w:t>
      </w:r>
      <w:r w:rsidRPr="008719C3">
        <w:rPr>
          <w:rStyle w:val="FootnoteReference"/>
          <w:rFonts w:ascii="Arial" w:hAnsi="Arial" w:cs="Arial"/>
          <w:sz w:val="24"/>
          <w:szCs w:val="24"/>
          <w:lang w:val="en-GB"/>
        </w:rPr>
        <w:footnoteReference w:id="432"/>
      </w:r>
    </w:p>
    <w:p w14:paraId="495C18B7" w14:textId="77777777" w:rsidR="00C05F4C" w:rsidRPr="00873581" w:rsidRDefault="00C05F4C" w:rsidP="00C05F4C">
      <w:pPr>
        <w:spacing w:before="240" w:line="360" w:lineRule="auto"/>
        <w:jc w:val="both"/>
        <w:rPr>
          <w:rFonts w:ascii="Arial" w:hAnsi="Arial" w:cs="Arial"/>
          <w:sz w:val="24"/>
          <w:szCs w:val="24"/>
          <w:shd w:val="clear" w:color="auto" w:fill="FFFFFF"/>
        </w:rPr>
      </w:pPr>
      <w:r w:rsidRPr="00873581">
        <w:rPr>
          <w:rFonts w:ascii="Arial" w:hAnsi="Arial" w:cs="Arial"/>
          <w:sz w:val="24"/>
          <w:szCs w:val="24"/>
          <w:lang w:val="en-GB"/>
        </w:rPr>
        <w:lastRenderedPageBreak/>
        <w:t>The evidence indicated that the applicants were registered in the respondent’s records as tenants on the date the demolitions took place.</w:t>
      </w:r>
      <w:r w:rsidRPr="00873581">
        <w:rPr>
          <w:rStyle w:val="FootnoteReference"/>
          <w:rFonts w:ascii="Arial" w:hAnsi="Arial" w:cs="Arial"/>
          <w:sz w:val="24"/>
          <w:szCs w:val="24"/>
          <w:lang w:val="en-GB"/>
        </w:rPr>
        <w:footnoteReference w:id="433"/>
      </w:r>
      <w:r w:rsidRPr="00873581">
        <w:rPr>
          <w:rFonts w:ascii="Arial" w:hAnsi="Arial" w:cs="Arial"/>
          <w:sz w:val="24"/>
          <w:szCs w:val="24"/>
          <w:lang w:val="en-GB"/>
        </w:rPr>
        <w:t xml:space="preserve"> This meant that both applicants had a right to land in the form of a lease, which entitled them to occupy the land.</w:t>
      </w:r>
      <w:r w:rsidRPr="00873581">
        <w:rPr>
          <w:rStyle w:val="FootnoteReference"/>
          <w:rFonts w:ascii="Arial" w:hAnsi="Arial" w:cs="Arial"/>
          <w:sz w:val="24"/>
          <w:szCs w:val="24"/>
          <w:lang w:val="en-GB"/>
        </w:rPr>
        <w:footnoteReference w:id="434"/>
      </w:r>
      <w:r w:rsidRPr="00873581">
        <w:rPr>
          <w:rFonts w:ascii="Arial" w:hAnsi="Arial" w:cs="Arial"/>
          <w:sz w:val="24"/>
          <w:szCs w:val="24"/>
          <w:lang w:val="en-GB"/>
        </w:rPr>
        <w:t xml:space="preserve"> Moreover, the land in question was governed by Provincial Notice 198 of 2 March 1979, which, in terms of Regulation 11, required the council to provide occupants with seven days’ notice to remedy the breach before carrying out any demolition of the property.</w:t>
      </w:r>
      <w:r w:rsidRPr="00873581">
        <w:rPr>
          <w:rStyle w:val="FootnoteReference"/>
          <w:rFonts w:ascii="Arial" w:hAnsi="Arial" w:cs="Arial"/>
          <w:sz w:val="24"/>
          <w:szCs w:val="24"/>
          <w:lang w:val="en-GB"/>
        </w:rPr>
        <w:footnoteReference w:id="435"/>
      </w:r>
      <w:r w:rsidRPr="00873581">
        <w:rPr>
          <w:rFonts w:ascii="Arial" w:hAnsi="Arial" w:cs="Arial"/>
          <w:sz w:val="24"/>
          <w:szCs w:val="24"/>
          <w:lang w:val="en-GB"/>
        </w:rPr>
        <w:t xml:space="preserve"> </w:t>
      </w:r>
      <w:r w:rsidRPr="00873581">
        <w:rPr>
          <w:rFonts w:ascii="Arial" w:hAnsi="Arial" w:cs="Arial"/>
          <w:sz w:val="24"/>
          <w:szCs w:val="24"/>
          <w:shd w:val="clear" w:color="auto" w:fill="FFFFFF"/>
        </w:rPr>
        <w:t>It followed, therefore, that the respondent did not have any right to take the law into his own hands by demolishing the properties of the occupants.</w:t>
      </w:r>
    </w:p>
    <w:p w14:paraId="5D3D59EF" w14:textId="4A9C8CE9" w:rsidR="00EA0CEE" w:rsidRPr="00873581" w:rsidRDefault="00C05F4C" w:rsidP="00C454A8">
      <w:pPr>
        <w:spacing w:before="240" w:line="360" w:lineRule="auto"/>
        <w:jc w:val="both"/>
        <w:rPr>
          <w:rFonts w:ascii="Arial" w:hAnsi="Arial" w:cs="Arial"/>
          <w:sz w:val="24"/>
          <w:szCs w:val="24"/>
          <w:shd w:val="clear" w:color="auto" w:fill="FFFFFF"/>
        </w:rPr>
      </w:pPr>
      <w:r w:rsidRPr="00873581">
        <w:rPr>
          <w:rFonts w:ascii="Arial" w:hAnsi="Arial" w:cs="Arial"/>
          <w:sz w:val="24"/>
          <w:szCs w:val="24"/>
          <w:shd w:val="clear" w:color="auto" w:fill="FFFFFF"/>
        </w:rPr>
        <w:t xml:space="preserve">Harker suggests that the application of the spoliation remedy as applied in </w:t>
      </w:r>
      <w:r w:rsidRPr="00873581">
        <w:rPr>
          <w:rFonts w:ascii="Arial" w:hAnsi="Arial" w:cs="Arial"/>
          <w:i/>
          <w:sz w:val="24"/>
          <w:szCs w:val="24"/>
          <w:shd w:val="clear" w:color="auto" w:fill="FFFFFF"/>
        </w:rPr>
        <w:t xml:space="preserve">Vena </w:t>
      </w:r>
      <w:r w:rsidRPr="00873581">
        <w:rPr>
          <w:rFonts w:ascii="Arial" w:hAnsi="Arial" w:cs="Arial"/>
          <w:sz w:val="24"/>
          <w:szCs w:val="24"/>
          <w:shd w:val="clear" w:color="auto" w:fill="FFFFFF"/>
        </w:rPr>
        <w:t>represents a powerful far-reaching remedy that should be welcomed in South African law.</w:t>
      </w:r>
      <w:r w:rsidRPr="00873581">
        <w:rPr>
          <w:rStyle w:val="FootnoteReference"/>
          <w:rFonts w:ascii="Arial" w:hAnsi="Arial" w:cs="Arial"/>
          <w:sz w:val="24"/>
          <w:szCs w:val="24"/>
          <w:shd w:val="clear" w:color="auto" w:fill="FFFFFF"/>
        </w:rPr>
        <w:footnoteReference w:id="436"/>
      </w:r>
      <w:r w:rsidRPr="00873581">
        <w:rPr>
          <w:rFonts w:ascii="Arial" w:hAnsi="Arial" w:cs="Arial"/>
          <w:sz w:val="24"/>
          <w:szCs w:val="24"/>
          <w:shd w:val="clear" w:color="auto" w:fill="FFFFFF"/>
        </w:rPr>
        <w:t xml:space="preserve"> </w:t>
      </w:r>
      <w:r w:rsidRPr="00873581">
        <w:rPr>
          <w:rFonts w:ascii="Arial" w:hAnsi="Arial" w:cs="Arial"/>
          <w:sz w:val="24"/>
          <w:szCs w:val="24"/>
          <w:lang w:val="en-GB"/>
        </w:rPr>
        <w:t xml:space="preserve">Van der Walt and Sutherland </w:t>
      </w:r>
      <w:r w:rsidR="000F1243" w:rsidRPr="00873581">
        <w:rPr>
          <w:rFonts w:ascii="Arial" w:hAnsi="Arial" w:cs="Arial"/>
          <w:sz w:val="24"/>
          <w:szCs w:val="24"/>
          <w:lang w:val="en-GB"/>
        </w:rPr>
        <w:t xml:space="preserve">concretise this argument by </w:t>
      </w:r>
      <w:r w:rsidRPr="00873581">
        <w:rPr>
          <w:rFonts w:ascii="Arial" w:hAnsi="Arial" w:cs="Arial"/>
          <w:sz w:val="24"/>
          <w:szCs w:val="24"/>
          <w:lang w:val="en-GB"/>
        </w:rPr>
        <w:t>stat</w:t>
      </w:r>
      <w:r w:rsidR="000F1243" w:rsidRPr="00873581">
        <w:rPr>
          <w:rFonts w:ascii="Arial" w:hAnsi="Arial" w:cs="Arial"/>
          <w:sz w:val="24"/>
          <w:szCs w:val="24"/>
          <w:lang w:val="en-GB"/>
        </w:rPr>
        <w:t>ing</w:t>
      </w:r>
      <w:r w:rsidRPr="00873581">
        <w:rPr>
          <w:rFonts w:ascii="Arial" w:hAnsi="Arial" w:cs="Arial"/>
          <w:sz w:val="24"/>
          <w:szCs w:val="24"/>
          <w:lang w:val="en-GB"/>
        </w:rPr>
        <w:t xml:space="preserve"> that the spoliation remedy must find application in cases where water and electricity are disconnected.</w:t>
      </w:r>
      <w:r w:rsidRPr="00873581">
        <w:rPr>
          <w:rStyle w:val="FootnoteReference"/>
          <w:rFonts w:ascii="Arial" w:hAnsi="Arial" w:cs="Arial"/>
          <w:sz w:val="24"/>
          <w:szCs w:val="24"/>
          <w:lang w:val="en-GB"/>
        </w:rPr>
        <w:footnoteReference w:id="437"/>
      </w:r>
      <w:r w:rsidRPr="00873581">
        <w:rPr>
          <w:rFonts w:ascii="Arial" w:hAnsi="Arial" w:cs="Arial"/>
          <w:sz w:val="24"/>
          <w:szCs w:val="24"/>
          <w:lang w:val="en-GB"/>
        </w:rPr>
        <w:t xml:space="preserve"> They fear that such disconnection could potentially trigger public violence. According to them, this extension could be justified in the same way as the servitude cases could be justified as a way to counter self-help and anarchy.</w:t>
      </w:r>
      <w:r w:rsidRPr="00873581">
        <w:rPr>
          <w:rStyle w:val="FootnoteReference"/>
          <w:rFonts w:ascii="Arial" w:hAnsi="Arial" w:cs="Arial"/>
          <w:sz w:val="24"/>
          <w:szCs w:val="24"/>
          <w:lang w:val="en-GB"/>
        </w:rPr>
        <w:footnoteReference w:id="438"/>
      </w:r>
    </w:p>
    <w:p w14:paraId="72A3DBC5" w14:textId="2F908AC1" w:rsidR="00C05F4C" w:rsidRPr="00B17C11" w:rsidRDefault="00EA0CEE" w:rsidP="00C454A8">
      <w:pPr>
        <w:spacing w:before="240" w:line="360" w:lineRule="auto"/>
        <w:jc w:val="both"/>
        <w:rPr>
          <w:rFonts w:ascii="Arial" w:hAnsi="Arial" w:cs="Arial"/>
          <w:sz w:val="24"/>
          <w:szCs w:val="24"/>
          <w:shd w:val="clear" w:color="auto" w:fill="FFFFFF"/>
        </w:rPr>
      </w:pPr>
      <w:proofErr w:type="spellStart"/>
      <w:r w:rsidRPr="00873581">
        <w:rPr>
          <w:rFonts w:ascii="Arial" w:hAnsi="Arial" w:cs="Arial"/>
          <w:sz w:val="24"/>
          <w:szCs w:val="24"/>
          <w:shd w:val="clear" w:color="auto" w:fill="FFFFFF"/>
        </w:rPr>
        <w:t>Boggenpoel</w:t>
      </w:r>
      <w:proofErr w:type="spellEnd"/>
      <w:r w:rsidRPr="00873581">
        <w:rPr>
          <w:rFonts w:ascii="Arial" w:hAnsi="Arial" w:cs="Arial"/>
          <w:sz w:val="24"/>
          <w:szCs w:val="24"/>
          <w:shd w:val="clear" w:color="auto" w:fill="FFFFFF"/>
        </w:rPr>
        <w:t xml:space="preserve"> indicates that where the provisions of the Act were not followed and where the Act falls short of amendments rectifying or providing the appropriate remedy in such a situation, it would be correct to keep open the possibility of the spoliation remedy, at least until the </w:t>
      </w:r>
      <w:r w:rsidRPr="00873581">
        <w:rPr>
          <w:rFonts w:ascii="Arial" w:hAnsi="Arial" w:cs="Arial"/>
          <w:i/>
          <w:sz w:val="24"/>
          <w:szCs w:val="24"/>
          <w:shd w:val="clear" w:color="auto" w:fill="FFFFFF"/>
        </w:rPr>
        <w:t>lacunae</w:t>
      </w:r>
      <w:r w:rsidRPr="00873581">
        <w:rPr>
          <w:rFonts w:ascii="Arial" w:hAnsi="Arial" w:cs="Arial"/>
          <w:sz w:val="24"/>
          <w:szCs w:val="24"/>
          <w:shd w:val="clear" w:color="auto" w:fill="FFFFFF"/>
        </w:rPr>
        <w:t xml:space="preserve"> in the Act is filled.</w:t>
      </w:r>
      <w:r w:rsidRPr="00873581">
        <w:rPr>
          <w:rStyle w:val="FootnoteReference"/>
          <w:rFonts w:ascii="Arial" w:hAnsi="Arial" w:cs="Arial"/>
          <w:sz w:val="24"/>
          <w:szCs w:val="24"/>
          <w:shd w:val="clear" w:color="auto" w:fill="FFFFFF"/>
        </w:rPr>
        <w:footnoteReference w:id="439"/>
      </w:r>
      <w:r w:rsidRPr="00873581">
        <w:rPr>
          <w:rFonts w:ascii="Arial" w:hAnsi="Arial" w:cs="Arial"/>
          <w:sz w:val="24"/>
          <w:szCs w:val="24"/>
          <w:shd w:val="clear" w:color="auto" w:fill="FFFFFF"/>
        </w:rPr>
        <w:t xml:space="preserve"> </w:t>
      </w:r>
      <w:r w:rsidR="00C05F4C" w:rsidRPr="00873581">
        <w:rPr>
          <w:rFonts w:ascii="Arial" w:hAnsi="Arial" w:cs="Arial"/>
          <w:sz w:val="24"/>
          <w:szCs w:val="24"/>
          <w:lang w:val="en-GB"/>
        </w:rPr>
        <w:t xml:space="preserve">Thus, the law must require strict adherence to all the prescribed procedures and formalities </w:t>
      </w:r>
      <w:r w:rsidR="00A97E00" w:rsidRPr="00873581">
        <w:rPr>
          <w:rFonts w:ascii="Arial" w:hAnsi="Arial" w:cs="Arial"/>
          <w:sz w:val="24"/>
          <w:szCs w:val="24"/>
          <w:lang w:val="en-GB"/>
        </w:rPr>
        <w:t xml:space="preserve">in the case </w:t>
      </w:r>
      <w:r w:rsidR="00C05F4C" w:rsidRPr="00873581">
        <w:rPr>
          <w:rFonts w:ascii="Arial" w:hAnsi="Arial" w:cs="Arial"/>
          <w:sz w:val="24"/>
          <w:szCs w:val="24"/>
          <w:lang w:val="en-GB"/>
        </w:rPr>
        <w:t>o</w:t>
      </w:r>
      <w:r w:rsidR="00A97E00" w:rsidRPr="00873581">
        <w:rPr>
          <w:rFonts w:ascii="Arial" w:hAnsi="Arial" w:cs="Arial"/>
          <w:sz w:val="24"/>
          <w:szCs w:val="24"/>
          <w:lang w:val="en-GB"/>
        </w:rPr>
        <w:t>f</w:t>
      </w:r>
      <w:r w:rsidR="00C05F4C" w:rsidRPr="00873581">
        <w:rPr>
          <w:rFonts w:ascii="Arial" w:hAnsi="Arial" w:cs="Arial"/>
          <w:sz w:val="24"/>
          <w:szCs w:val="24"/>
          <w:lang w:val="en-GB"/>
        </w:rPr>
        <w:t xml:space="preserve"> statutory provisions enabling deprivation to ensure that such deprivation does not amount to unlawful spoliation.</w:t>
      </w:r>
      <w:r w:rsidR="00C05F4C" w:rsidRPr="00873581">
        <w:rPr>
          <w:rStyle w:val="FootnoteReference"/>
          <w:rFonts w:ascii="Arial" w:hAnsi="Arial" w:cs="Arial"/>
          <w:sz w:val="24"/>
          <w:szCs w:val="24"/>
          <w:lang w:val="en-GB"/>
        </w:rPr>
        <w:footnoteReference w:id="440"/>
      </w:r>
      <w:r w:rsidR="00C05F4C" w:rsidRPr="00873581">
        <w:rPr>
          <w:rFonts w:ascii="Arial" w:hAnsi="Arial" w:cs="Arial"/>
          <w:sz w:val="24"/>
          <w:szCs w:val="24"/>
          <w:lang w:val="en-GB"/>
        </w:rPr>
        <w:t xml:space="preserve"> This is in line with </w:t>
      </w:r>
      <w:r w:rsidR="00C05F4C" w:rsidRPr="00873581">
        <w:rPr>
          <w:rFonts w:ascii="Arial" w:hAnsi="Arial" w:cs="Arial"/>
          <w:sz w:val="24"/>
          <w:szCs w:val="24"/>
          <w:shd w:val="clear" w:color="auto" w:fill="FFFFFF"/>
        </w:rPr>
        <w:t>maintaining peace and discouraging persons from taking the law into their own hands.</w:t>
      </w:r>
      <w:r w:rsidR="00C05F4C" w:rsidRPr="00873581">
        <w:rPr>
          <w:rStyle w:val="FootnoteReference"/>
          <w:rFonts w:ascii="Arial" w:hAnsi="Arial" w:cs="Arial"/>
          <w:sz w:val="24"/>
          <w:szCs w:val="24"/>
          <w:shd w:val="clear" w:color="auto" w:fill="FFFFFF"/>
        </w:rPr>
        <w:footnoteReference w:id="441"/>
      </w:r>
    </w:p>
    <w:p w14:paraId="4B4167E2" w14:textId="77777777" w:rsidR="00C05F4C" w:rsidRPr="00B17C11" w:rsidRDefault="00C05F4C" w:rsidP="00761FF4">
      <w:pPr>
        <w:spacing w:line="360" w:lineRule="auto"/>
        <w:jc w:val="both"/>
        <w:rPr>
          <w:rFonts w:ascii="Arial" w:hAnsi="Arial" w:cs="Arial"/>
          <w:sz w:val="24"/>
          <w:szCs w:val="24"/>
          <w:lang w:val="en-GB"/>
        </w:rPr>
      </w:pPr>
    </w:p>
    <w:p w14:paraId="341DAE3E" w14:textId="6D969413" w:rsidR="00761FF4" w:rsidRPr="00B17C11" w:rsidRDefault="00761FF4" w:rsidP="00761FF4">
      <w:pPr>
        <w:spacing w:line="360" w:lineRule="auto"/>
        <w:jc w:val="both"/>
        <w:rPr>
          <w:rFonts w:ascii="Arial" w:hAnsi="Arial" w:cs="Arial"/>
          <w:sz w:val="24"/>
          <w:szCs w:val="24"/>
          <w:lang w:val="en-GB"/>
        </w:rPr>
      </w:pPr>
      <w:r w:rsidRPr="00B17C11">
        <w:rPr>
          <w:rFonts w:ascii="Arial" w:hAnsi="Arial" w:cs="Arial"/>
          <w:sz w:val="24"/>
          <w:szCs w:val="24"/>
          <w:lang w:val="en-GB"/>
        </w:rPr>
        <w:t>The following case is</w:t>
      </w:r>
      <w:r w:rsidR="00A97E00" w:rsidRPr="00B17C11">
        <w:rPr>
          <w:rFonts w:ascii="Arial" w:hAnsi="Arial" w:cs="Arial"/>
          <w:sz w:val="24"/>
          <w:szCs w:val="24"/>
          <w:lang w:val="en-GB"/>
        </w:rPr>
        <w:t xml:space="preserve"> an example of</w:t>
      </w:r>
      <w:r w:rsidRPr="00B17C11">
        <w:rPr>
          <w:rFonts w:ascii="Arial" w:hAnsi="Arial" w:cs="Arial"/>
          <w:sz w:val="24"/>
          <w:szCs w:val="24"/>
          <w:lang w:val="en-GB"/>
        </w:rPr>
        <w:t xml:space="preserve"> one of many instances where persons with no interest in the land commit </w:t>
      </w:r>
      <w:r w:rsidR="0075672B" w:rsidRPr="00B17C11">
        <w:rPr>
          <w:rFonts w:ascii="Arial" w:hAnsi="Arial" w:cs="Arial"/>
          <w:sz w:val="24"/>
          <w:szCs w:val="24"/>
          <w:lang w:val="en-GB"/>
        </w:rPr>
        <w:t xml:space="preserve">an </w:t>
      </w:r>
      <w:r w:rsidRPr="00B17C11">
        <w:rPr>
          <w:rFonts w:ascii="Arial" w:hAnsi="Arial" w:cs="Arial"/>
          <w:sz w:val="24"/>
          <w:szCs w:val="24"/>
          <w:lang w:val="en-GB"/>
        </w:rPr>
        <w:t>act of self-help, which only reinforces the need to extend the spoliation remedy outside of the confines of the courts</w:t>
      </w:r>
      <w:r w:rsidR="00A97E00" w:rsidRPr="00B17C11">
        <w:rPr>
          <w:rFonts w:ascii="Arial" w:hAnsi="Arial" w:cs="Arial"/>
          <w:sz w:val="24"/>
          <w:szCs w:val="24"/>
          <w:lang w:val="en-GB"/>
        </w:rPr>
        <w:t>’</w:t>
      </w:r>
      <w:r w:rsidRPr="00B17C11">
        <w:rPr>
          <w:rFonts w:ascii="Arial" w:hAnsi="Arial" w:cs="Arial"/>
          <w:sz w:val="24"/>
          <w:szCs w:val="24"/>
          <w:lang w:val="en-GB"/>
        </w:rPr>
        <w:t xml:space="preserve"> judgment</w:t>
      </w:r>
      <w:r w:rsidR="00A97E00" w:rsidRPr="00B17C11">
        <w:rPr>
          <w:rFonts w:ascii="Arial" w:hAnsi="Arial" w:cs="Arial"/>
          <w:sz w:val="24"/>
          <w:szCs w:val="24"/>
          <w:lang w:val="en-GB"/>
        </w:rPr>
        <w:t>s</w:t>
      </w:r>
      <w:r w:rsidRPr="00B17C11">
        <w:rPr>
          <w:rFonts w:ascii="Arial" w:hAnsi="Arial" w:cs="Arial"/>
          <w:sz w:val="24"/>
          <w:szCs w:val="24"/>
          <w:lang w:val="en-GB"/>
        </w:rPr>
        <w:t xml:space="preserve"> in </w:t>
      </w:r>
      <w:r w:rsidRPr="00B17C11">
        <w:rPr>
          <w:rFonts w:ascii="Arial" w:hAnsi="Arial" w:cs="Arial"/>
          <w:i/>
          <w:iCs/>
          <w:sz w:val="24"/>
          <w:szCs w:val="24"/>
          <w:lang w:val="en-GB"/>
        </w:rPr>
        <w:t>Masinda</w:t>
      </w:r>
      <w:r w:rsidRPr="00B17C11">
        <w:rPr>
          <w:rFonts w:ascii="Arial" w:hAnsi="Arial" w:cs="Arial"/>
          <w:sz w:val="24"/>
          <w:szCs w:val="24"/>
          <w:lang w:val="en-GB"/>
        </w:rPr>
        <w:t xml:space="preserve"> and </w:t>
      </w:r>
      <w:r w:rsidRPr="00B17C11">
        <w:rPr>
          <w:rFonts w:ascii="Arial" w:hAnsi="Arial" w:cs="Arial"/>
          <w:i/>
          <w:iCs/>
          <w:sz w:val="24"/>
          <w:szCs w:val="24"/>
          <w:lang w:val="en-GB"/>
        </w:rPr>
        <w:t>Makeshifts</w:t>
      </w:r>
      <w:r w:rsidRPr="00B17C11">
        <w:rPr>
          <w:rFonts w:ascii="Arial" w:hAnsi="Arial" w:cs="Arial"/>
          <w:sz w:val="24"/>
          <w:szCs w:val="24"/>
          <w:lang w:val="en-GB"/>
        </w:rPr>
        <w:t>.</w:t>
      </w:r>
    </w:p>
    <w:p w14:paraId="71B250D8" w14:textId="76830193" w:rsidR="00761FF4" w:rsidRPr="002B3522" w:rsidRDefault="00761FF4" w:rsidP="00761FF4">
      <w:pPr>
        <w:spacing w:line="360" w:lineRule="auto"/>
        <w:jc w:val="both"/>
        <w:rPr>
          <w:rFonts w:ascii="Arial" w:hAnsi="Arial" w:cs="Arial"/>
          <w:color w:val="000000" w:themeColor="text1"/>
          <w:sz w:val="24"/>
          <w:szCs w:val="24"/>
        </w:rPr>
      </w:pPr>
      <w:r w:rsidRPr="002B3522">
        <w:rPr>
          <w:rFonts w:ascii="Arial" w:hAnsi="Arial" w:cs="Arial"/>
          <w:color w:val="000000" w:themeColor="text1"/>
          <w:sz w:val="24"/>
          <w:szCs w:val="24"/>
        </w:rPr>
        <w:t xml:space="preserve">In the Free State Division of the High Court, Bloemfontein in </w:t>
      </w:r>
      <w:r w:rsidRPr="002B3522">
        <w:rPr>
          <w:rFonts w:ascii="Arial" w:hAnsi="Arial" w:cs="Arial"/>
          <w:i/>
          <w:iCs/>
          <w:color w:val="000000" w:themeColor="text1"/>
          <w:sz w:val="24"/>
          <w:szCs w:val="24"/>
          <w:lang w:val="en-GB"/>
        </w:rPr>
        <w:t xml:space="preserve">Harrismith </w:t>
      </w:r>
      <w:proofErr w:type="spellStart"/>
      <w:r w:rsidRPr="002B3522">
        <w:rPr>
          <w:rFonts w:ascii="Arial" w:hAnsi="Arial" w:cs="Arial"/>
          <w:i/>
          <w:iCs/>
          <w:color w:val="000000" w:themeColor="text1"/>
          <w:sz w:val="24"/>
          <w:szCs w:val="24"/>
          <w:lang w:val="en-GB"/>
        </w:rPr>
        <w:t>Intabazwe</w:t>
      </w:r>
      <w:proofErr w:type="spellEnd"/>
      <w:r w:rsidRPr="002B3522">
        <w:rPr>
          <w:rFonts w:ascii="Arial" w:hAnsi="Arial" w:cs="Arial"/>
          <w:i/>
          <w:iCs/>
          <w:color w:val="000000" w:themeColor="text1"/>
          <w:sz w:val="24"/>
          <w:szCs w:val="24"/>
          <w:lang w:val="en-GB"/>
        </w:rPr>
        <w:t xml:space="preserve"> </w:t>
      </w:r>
      <w:proofErr w:type="spellStart"/>
      <w:r w:rsidRPr="002B3522">
        <w:rPr>
          <w:rFonts w:ascii="Arial" w:hAnsi="Arial" w:cs="Arial"/>
          <w:i/>
          <w:iCs/>
          <w:color w:val="000000" w:themeColor="text1"/>
          <w:sz w:val="24"/>
          <w:szCs w:val="24"/>
          <w:lang w:val="en-GB"/>
        </w:rPr>
        <w:t>Tsiame</w:t>
      </w:r>
      <w:proofErr w:type="spellEnd"/>
      <w:r w:rsidRPr="002B3522">
        <w:rPr>
          <w:rFonts w:ascii="Arial" w:hAnsi="Arial" w:cs="Arial"/>
          <w:i/>
          <w:iCs/>
          <w:color w:val="000000" w:themeColor="text1"/>
          <w:sz w:val="24"/>
          <w:szCs w:val="24"/>
          <w:lang w:val="en-GB"/>
        </w:rPr>
        <w:t xml:space="preserve"> Residents Association (Pty) Ltd and Others v Maluti-A-</w:t>
      </w:r>
      <w:proofErr w:type="spellStart"/>
      <w:r w:rsidRPr="002B3522">
        <w:rPr>
          <w:rFonts w:ascii="Arial" w:hAnsi="Arial" w:cs="Arial"/>
          <w:i/>
          <w:iCs/>
          <w:color w:val="000000" w:themeColor="text1"/>
          <w:sz w:val="24"/>
          <w:szCs w:val="24"/>
          <w:lang w:val="en-GB"/>
        </w:rPr>
        <w:t>Phofung</w:t>
      </w:r>
      <w:proofErr w:type="spellEnd"/>
      <w:r w:rsidRPr="002B3522">
        <w:rPr>
          <w:rFonts w:ascii="Arial" w:hAnsi="Arial" w:cs="Arial"/>
          <w:i/>
          <w:iCs/>
          <w:color w:val="000000" w:themeColor="text1"/>
          <w:sz w:val="24"/>
          <w:szCs w:val="24"/>
          <w:lang w:val="en-GB"/>
        </w:rPr>
        <w:t xml:space="preserve"> Local Municipality and Another</w:t>
      </w:r>
      <w:r w:rsidRPr="002B3522">
        <w:rPr>
          <w:rFonts w:ascii="Arial" w:hAnsi="Arial" w:cs="Arial"/>
          <w:color w:val="000000" w:themeColor="text1"/>
          <w:sz w:val="24"/>
          <w:szCs w:val="24"/>
          <w:lang w:val="en-GB"/>
        </w:rPr>
        <w:t xml:space="preserve">, the court referred with approval to </w:t>
      </w:r>
      <w:r w:rsidRPr="002B3522">
        <w:rPr>
          <w:rFonts w:ascii="Arial" w:hAnsi="Arial" w:cs="Arial"/>
          <w:i/>
          <w:iCs/>
          <w:color w:val="000000" w:themeColor="text1"/>
          <w:sz w:val="24"/>
          <w:szCs w:val="24"/>
          <w:lang w:val="en-GB"/>
        </w:rPr>
        <w:t xml:space="preserve">Masinda </w:t>
      </w:r>
      <w:r w:rsidRPr="002B3522">
        <w:rPr>
          <w:rFonts w:ascii="Arial" w:hAnsi="Arial" w:cs="Arial"/>
          <w:color w:val="000000" w:themeColor="text1"/>
          <w:sz w:val="24"/>
          <w:szCs w:val="24"/>
          <w:lang w:val="en-GB"/>
        </w:rPr>
        <w:t xml:space="preserve">and </w:t>
      </w:r>
      <w:r w:rsidRPr="002B3522">
        <w:rPr>
          <w:rFonts w:ascii="Arial" w:hAnsi="Arial" w:cs="Arial"/>
          <w:i/>
          <w:iCs/>
          <w:color w:val="000000" w:themeColor="text1"/>
          <w:sz w:val="24"/>
          <w:szCs w:val="24"/>
          <w:lang w:val="en-GB"/>
        </w:rPr>
        <w:t>Makeshift</w:t>
      </w:r>
      <w:r w:rsidR="00C67F9A" w:rsidRPr="002B3522">
        <w:rPr>
          <w:rFonts w:ascii="Arial" w:hAnsi="Arial" w:cs="Arial"/>
          <w:color w:val="000000" w:themeColor="text1"/>
          <w:sz w:val="24"/>
          <w:szCs w:val="24"/>
          <w:lang w:val="en-GB"/>
        </w:rPr>
        <w:t xml:space="preserve"> but</w:t>
      </w:r>
      <w:r w:rsidRPr="002B3522">
        <w:rPr>
          <w:rFonts w:ascii="Arial" w:hAnsi="Arial" w:cs="Arial"/>
          <w:color w:val="000000" w:themeColor="text1"/>
          <w:sz w:val="24"/>
          <w:szCs w:val="24"/>
          <w:lang w:val="en-GB"/>
        </w:rPr>
        <w:t xml:space="preserve"> failed to mention the category under which this case fell.</w:t>
      </w:r>
      <w:r w:rsidRPr="002B3522">
        <w:rPr>
          <w:rStyle w:val="FootnoteReference"/>
          <w:rFonts w:ascii="Arial" w:hAnsi="Arial" w:cs="Arial"/>
          <w:color w:val="000000" w:themeColor="text1"/>
          <w:sz w:val="24"/>
          <w:szCs w:val="24"/>
          <w:lang w:val="en-GB"/>
        </w:rPr>
        <w:footnoteReference w:id="442"/>
      </w:r>
      <w:r w:rsidRPr="002B3522">
        <w:rPr>
          <w:rFonts w:ascii="Arial" w:hAnsi="Arial" w:cs="Arial"/>
          <w:color w:val="000000" w:themeColor="text1"/>
          <w:sz w:val="24"/>
          <w:szCs w:val="24"/>
          <w:lang w:val="en-GB"/>
        </w:rPr>
        <w:t xml:space="preserve"> In </w:t>
      </w:r>
      <w:proofErr w:type="spellStart"/>
      <w:r w:rsidRPr="002B3522">
        <w:rPr>
          <w:rFonts w:ascii="Arial" w:hAnsi="Arial" w:cs="Arial"/>
          <w:i/>
          <w:iCs/>
          <w:color w:val="000000" w:themeColor="text1"/>
          <w:sz w:val="24"/>
          <w:szCs w:val="24"/>
          <w:lang w:val="en-GB"/>
        </w:rPr>
        <w:t>casu</w:t>
      </w:r>
      <w:proofErr w:type="spellEnd"/>
      <w:r w:rsidRPr="002B3522">
        <w:rPr>
          <w:rFonts w:ascii="Arial" w:hAnsi="Arial" w:cs="Arial"/>
          <w:color w:val="000000" w:themeColor="text1"/>
          <w:sz w:val="24"/>
          <w:szCs w:val="24"/>
          <w:lang w:val="en-GB"/>
        </w:rPr>
        <w:t>, the respondent (Maluti-A-</w:t>
      </w:r>
      <w:proofErr w:type="spellStart"/>
      <w:r w:rsidRPr="002B3522">
        <w:rPr>
          <w:rFonts w:ascii="Arial" w:hAnsi="Arial" w:cs="Arial"/>
          <w:color w:val="000000" w:themeColor="text1"/>
          <w:sz w:val="24"/>
          <w:szCs w:val="24"/>
          <w:lang w:val="en-GB"/>
        </w:rPr>
        <w:t>Phofung</w:t>
      </w:r>
      <w:proofErr w:type="spellEnd"/>
      <w:r w:rsidRPr="002B3522">
        <w:rPr>
          <w:rFonts w:ascii="Arial" w:hAnsi="Arial" w:cs="Arial"/>
          <w:color w:val="000000" w:themeColor="text1"/>
          <w:sz w:val="24"/>
          <w:szCs w:val="24"/>
          <w:lang w:val="en-GB"/>
        </w:rPr>
        <w:t xml:space="preserve"> Municipality) disconnected the supply of electricity to various businesses in Harrismith. The respondent argued that in terms of its debt enforcement processes, it was entitled to terminate the supply of electricity to applicants’ premises because of their historic debt </w:t>
      </w:r>
      <w:r w:rsidR="00A97E00" w:rsidRPr="002B3522">
        <w:rPr>
          <w:rFonts w:ascii="Arial" w:hAnsi="Arial" w:cs="Arial"/>
          <w:color w:val="000000" w:themeColor="text1"/>
          <w:sz w:val="24"/>
          <w:szCs w:val="24"/>
          <w:lang w:val="en-GB"/>
        </w:rPr>
        <w:t>relating to</w:t>
      </w:r>
      <w:r w:rsidRPr="002B3522">
        <w:rPr>
          <w:rFonts w:ascii="Arial" w:hAnsi="Arial" w:cs="Arial"/>
          <w:color w:val="000000" w:themeColor="text1"/>
          <w:sz w:val="24"/>
          <w:szCs w:val="24"/>
          <w:lang w:val="en-GB"/>
        </w:rPr>
        <w:t xml:space="preserve"> electricity consumption.</w:t>
      </w:r>
      <w:r w:rsidRPr="002B3522">
        <w:rPr>
          <w:rStyle w:val="FootnoteReference"/>
          <w:rFonts w:ascii="Arial" w:hAnsi="Arial" w:cs="Arial"/>
          <w:color w:val="000000" w:themeColor="text1"/>
          <w:sz w:val="24"/>
          <w:szCs w:val="24"/>
          <w:lang w:val="en-GB"/>
        </w:rPr>
        <w:footnoteReference w:id="443"/>
      </w:r>
    </w:p>
    <w:p w14:paraId="60D463E1" w14:textId="00355614" w:rsidR="00761FF4" w:rsidRPr="002B3522" w:rsidRDefault="00761FF4" w:rsidP="00761FF4">
      <w:pPr>
        <w:spacing w:line="360" w:lineRule="auto"/>
        <w:jc w:val="both"/>
        <w:rPr>
          <w:rFonts w:ascii="Arial" w:hAnsi="Arial" w:cs="Arial"/>
          <w:color w:val="000000" w:themeColor="text1"/>
          <w:sz w:val="24"/>
          <w:szCs w:val="24"/>
          <w:lang w:val="en-GB"/>
        </w:rPr>
      </w:pPr>
      <w:r w:rsidRPr="002B3522">
        <w:rPr>
          <w:rFonts w:ascii="Arial" w:hAnsi="Arial" w:cs="Arial"/>
          <w:color w:val="000000" w:themeColor="text1"/>
          <w:sz w:val="24"/>
          <w:szCs w:val="24"/>
          <w:lang w:val="en-GB"/>
        </w:rPr>
        <w:t>In terms of the credit control measures contained in clause 7.6</w:t>
      </w:r>
      <w:r w:rsidR="00A97E00" w:rsidRPr="002B3522">
        <w:rPr>
          <w:rFonts w:ascii="Arial" w:hAnsi="Arial" w:cs="Arial"/>
          <w:color w:val="000000" w:themeColor="text1"/>
          <w:sz w:val="24"/>
          <w:szCs w:val="24"/>
          <w:lang w:val="en-GB"/>
        </w:rPr>
        <w:t xml:space="preserve"> of </w:t>
      </w:r>
      <w:r w:rsidR="00A97E00" w:rsidRPr="002B3522">
        <w:rPr>
          <w:rFonts w:ascii="Arial" w:hAnsi="Arial" w:cs="Arial"/>
          <w:color w:val="000000" w:themeColor="text1"/>
          <w:sz w:val="24"/>
          <w:szCs w:val="24"/>
        </w:rPr>
        <w:t>Credit Control and Debt Management Policy</w:t>
      </w:r>
      <w:r w:rsidRPr="002B3522">
        <w:rPr>
          <w:rFonts w:ascii="Arial" w:hAnsi="Arial" w:cs="Arial"/>
          <w:color w:val="000000" w:themeColor="text1"/>
          <w:sz w:val="24"/>
          <w:szCs w:val="24"/>
          <w:lang w:val="en-GB"/>
        </w:rPr>
        <w:t>, clause 7.6.1 provided that a notice should be delivered to defaulting consumers stating that the account has not been paid on the due date and that failure to pay within seven days will result in services being restricted or disconnected.</w:t>
      </w:r>
      <w:r w:rsidRPr="002B3522">
        <w:rPr>
          <w:rStyle w:val="FootnoteReference"/>
          <w:rFonts w:ascii="Arial" w:hAnsi="Arial" w:cs="Arial"/>
          <w:color w:val="000000" w:themeColor="text1"/>
          <w:sz w:val="24"/>
          <w:szCs w:val="24"/>
          <w:lang w:val="en-GB"/>
        </w:rPr>
        <w:footnoteReference w:id="444"/>
      </w:r>
      <w:r w:rsidRPr="002B3522">
        <w:rPr>
          <w:rFonts w:ascii="Arial" w:hAnsi="Arial" w:cs="Arial"/>
          <w:color w:val="000000" w:themeColor="text1"/>
          <w:sz w:val="24"/>
          <w:szCs w:val="24"/>
          <w:lang w:val="en-GB"/>
        </w:rPr>
        <w:t xml:space="preserve"> The applicants (business owners) argued that they were not in breach of their payment obligations and that the respondent terminated their electricity supply without following a fair administrative process.</w:t>
      </w:r>
      <w:r w:rsidRPr="002B3522">
        <w:rPr>
          <w:rStyle w:val="FootnoteReference"/>
          <w:rFonts w:ascii="Arial" w:hAnsi="Arial" w:cs="Arial"/>
          <w:color w:val="000000" w:themeColor="text1"/>
          <w:sz w:val="24"/>
          <w:szCs w:val="24"/>
          <w:lang w:val="en-GB"/>
        </w:rPr>
        <w:footnoteReference w:id="445"/>
      </w:r>
      <w:r w:rsidRPr="002B3522">
        <w:rPr>
          <w:rFonts w:ascii="Arial" w:hAnsi="Arial" w:cs="Arial"/>
          <w:color w:val="000000" w:themeColor="text1"/>
          <w:sz w:val="24"/>
          <w:szCs w:val="24"/>
          <w:lang w:val="en-GB"/>
        </w:rPr>
        <w:t xml:space="preserve"> The respondent ignored disputes raised by </w:t>
      </w:r>
      <w:r w:rsidR="0009495C" w:rsidRPr="002B3522">
        <w:rPr>
          <w:rFonts w:ascii="Arial" w:hAnsi="Arial" w:cs="Arial"/>
          <w:color w:val="000000" w:themeColor="text1"/>
          <w:sz w:val="24"/>
          <w:szCs w:val="24"/>
          <w:lang w:val="en-GB"/>
        </w:rPr>
        <w:t xml:space="preserve">the </w:t>
      </w:r>
      <w:r w:rsidRPr="002B3522">
        <w:rPr>
          <w:rFonts w:ascii="Arial" w:hAnsi="Arial" w:cs="Arial"/>
          <w:color w:val="000000" w:themeColor="text1"/>
          <w:sz w:val="24"/>
          <w:szCs w:val="24"/>
          <w:lang w:val="en-GB"/>
        </w:rPr>
        <w:t>applicants and did not notify them about its intention to terminate the electricity supply.</w:t>
      </w:r>
      <w:r w:rsidRPr="002B3522">
        <w:rPr>
          <w:rStyle w:val="FootnoteReference"/>
          <w:rFonts w:ascii="Arial" w:hAnsi="Arial" w:cs="Arial"/>
          <w:color w:val="000000" w:themeColor="text1"/>
          <w:sz w:val="24"/>
          <w:szCs w:val="24"/>
          <w:lang w:val="en-GB"/>
        </w:rPr>
        <w:footnoteReference w:id="446"/>
      </w:r>
    </w:p>
    <w:p w14:paraId="4F08A0DA" w14:textId="3A71DB39" w:rsidR="00761FF4" w:rsidRPr="000A5554" w:rsidRDefault="00761FF4" w:rsidP="00761FF4">
      <w:pPr>
        <w:spacing w:line="360" w:lineRule="auto"/>
        <w:jc w:val="both"/>
        <w:rPr>
          <w:rFonts w:ascii="Arial" w:hAnsi="Arial" w:cs="Arial"/>
          <w:color w:val="000000" w:themeColor="text1"/>
          <w:sz w:val="24"/>
          <w:szCs w:val="24"/>
          <w:lang w:val="en-GB"/>
        </w:rPr>
      </w:pPr>
      <w:r w:rsidRPr="000A5554">
        <w:rPr>
          <w:rFonts w:ascii="Arial" w:hAnsi="Arial" w:cs="Arial"/>
          <w:color w:val="000000" w:themeColor="text1"/>
          <w:sz w:val="24"/>
          <w:szCs w:val="24"/>
          <w:lang w:val="en-GB"/>
        </w:rPr>
        <w:lastRenderedPageBreak/>
        <w:t>The respondent maintained that the applicants owed hundreds of thousands of</w:t>
      </w:r>
      <w:r w:rsidR="0009495C" w:rsidRPr="000A5554">
        <w:rPr>
          <w:rFonts w:ascii="Arial" w:hAnsi="Arial" w:cs="Arial"/>
          <w:color w:val="000000" w:themeColor="text1"/>
          <w:sz w:val="24"/>
          <w:szCs w:val="24"/>
          <w:lang w:val="en-GB"/>
        </w:rPr>
        <w:t xml:space="preserve"> rands in</w:t>
      </w:r>
      <w:r w:rsidRPr="000A5554">
        <w:rPr>
          <w:rFonts w:ascii="Arial" w:hAnsi="Arial" w:cs="Arial"/>
          <w:color w:val="000000" w:themeColor="text1"/>
          <w:sz w:val="24"/>
          <w:szCs w:val="24"/>
          <w:lang w:val="en-GB"/>
        </w:rPr>
        <w:t xml:space="preserve"> historic debts </w:t>
      </w:r>
      <w:r w:rsidR="0009495C" w:rsidRPr="000A5554">
        <w:rPr>
          <w:rFonts w:ascii="Arial" w:hAnsi="Arial" w:cs="Arial"/>
          <w:color w:val="000000" w:themeColor="text1"/>
          <w:sz w:val="24"/>
          <w:szCs w:val="24"/>
          <w:lang w:val="en-GB"/>
        </w:rPr>
        <w:t>relating to</w:t>
      </w:r>
      <w:r w:rsidRPr="000A5554">
        <w:rPr>
          <w:rFonts w:ascii="Arial" w:hAnsi="Arial" w:cs="Arial"/>
          <w:color w:val="000000" w:themeColor="text1"/>
          <w:sz w:val="24"/>
          <w:szCs w:val="24"/>
          <w:lang w:val="en-GB"/>
        </w:rPr>
        <w:t xml:space="preserve"> electricity consumption.</w:t>
      </w:r>
      <w:r w:rsidRPr="000A5554">
        <w:rPr>
          <w:rStyle w:val="FootnoteReference"/>
          <w:rFonts w:ascii="Arial" w:hAnsi="Arial" w:cs="Arial"/>
          <w:color w:val="000000" w:themeColor="text1"/>
          <w:sz w:val="24"/>
          <w:szCs w:val="24"/>
          <w:lang w:val="en-GB"/>
        </w:rPr>
        <w:footnoteReference w:id="447"/>
      </w:r>
      <w:r w:rsidRPr="000A5554">
        <w:rPr>
          <w:rFonts w:ascii="Arial" w:hAnsi="Arial" w:cs="Arial"/>
          <w:color w:val="000000" w:themeColor="text1"/>
          <w:sz w:val="24"/>
          <w:szCs w:val="24"/>
          <w:lang w:val="en-GB"/>
        </w:rPr>
        <w:t xml:space="preserve"> This claim was put forward without any formal amounts or invoices as proof of the historic debts accumulated by </w:t>
      </w:r>
      <w:r w:rsidR="0009495C" w:rsidRPr="000A5554">
        <w:rPr>
          <w:rFonts w:ascii="Arial" w:hAnsi="Arial" w:cs="Arial"/>
          <w:color w:val="000000" w:themeColor="text1"/>
          <w:sz w:val="24"/>
          <w:szCs w:val="24"/>
          <w:lang w:val="en-GB"/>
        </w:rPr>
        <w:t xml:space="preserve">the </w:t>
      </w:r>
      <w:r w:rsidRPr="000A5554">
        <w:rPr>
          <w:rFonts w:ascii="Arial" w:hAnsi="Arial" w:cs="Arial"/>
          <w:color w:val="000000" w:themeColor="text1"/>
          <w:sz w:val="24"/>
          <w:szCs w:val="24"/>
          <w:lang w:val="en-GB"/>
        </w:rPr>
        <w:t>applicants. Moreover, the account details for amounts allegedly due were generated by an unknown entity whose author and the correctness of the account details could not be verified.</w:t>
      </w:r>
      <w:r w:rsidRPr="000A5554">
        <w:rPr>
          <w:rStyle w:val="FootnoteReference"/>
          <w:rFonts w:ascii="Arial" w:hAnsi="Arial" w:cs="Arial"/>
          <w:color w:val="000000" w:themeColor="text1"/>
          <w:sz w:val="24"/>
          <w:szCs w:val="24"/>
          <w:lang w:val="en-GB"/>
        </w:rPr>
        <w:footnoteReference w:id="448"/>
      </w:r>
      <w:r w:rsidRPr="000A5554">
        <w:rPr>
          <w:rFonts w:ascii="Arial" w:hAnsi="Arial" w:cs="Arial"/>
          <w:color w:val="000000" w:themeColor="text1"/>
          <w:sz w:val="24"/>
          <w:szCs w:val="24"/>
          <w:lang w:val="en-GB"/>
        </w:rPr>
        <w:t xml:space="preserve"> In addition, the computer printer outs relied upon by the respondent did not set out how the outstanding amounts were calculated because no invoices or breakdowns of the alleged outstanding amounts were provided.</w:t>
      </w:r>
      <w:r w:rsidRPr="000A5554">
        <w:rPr>
          <w:rStyle w:val="FootnoteReference"/>
          <w:rFonts w:ascii="Arial" w:hAnsi="Arial" w:cs="Arial"/>
          <w:color w:val="000000" w:themeColor="text1"/>
          <w:sz w:val="24"/>
          <w:szCs w:val="24"/>
          <w:lang w:val="en-GB"/>
        </w:rPr>
        <w:footnoteReference w:id="449"/>
      </w:r>
      <w:r w:rsidRPr="000A5554">
        <w:rPr>
          <w:rFonts w:ascii="Arial" w:hAnsi="Arial" w:cs="Arial"/>
          <w:color w:val="000000" w:themeColor="text1"/>
          <w:sz w:val="24"/>
          <w:szCs w:val="24"/>
          <w:lang w:val="en-GB"/>
        </w:rPr>
        <w:t xml:space="preserve"> As a result, these amounts could not be trusted as the information from which they were generated was uncertain.</w:t>
      </w:r>
      <w:r w:rsidRPr="000A5554">
        <w:rPr>
          <w:rStyle w:val="FootnoteReference"/>
          <w:rFonts w:ascii="Arial" w:hAnsi="Arial" w:cs="Arial"/>
          <w:color w:val="000000" w:themeColor="text1"/>
          <w:sz w:val="24"/>
          <w:szCs w:val="24"/>
          <w:lang w:val="en-GB"/>
        </w:rPr>
        <w:footnoteReference w:id="450"/>
      </w:r>
      <w:r w:rsidRPr="000A5554">
        <w:rPr>
          <w:rFonts w:ascii="Arial" w:hAnsi="Arial" w:cs="Arial"/>
          <w:color w:val="000000" w:themeColor="text1"/>
          <w:sz w:val="24"/>
          <w:szCs w:val="24"/>
          <w:lang w:val="en-GB"/>
        </w:rPr>
        <w:t xml:space="preserve"> The court held that the respondent failed to prove that its actions were lawful when it disconnected the electricity supply to </w:t>
      </w:r>
      <w:r w:rsidR="0075672B" w:rsidRPr="000A5554">
        <w:rPr>
          <w:rFonts w:ascii="Arial" w:hAnsi="Arial" w:cs="Arial"/>
          <w:color w:val="000000" w:themeColor="text1"/>
          <w:sz w:val="24"/>
          <w:szCs w:val="24"/>
          <w:lang w:val="en-GB"/>
        </w:rPr>
        <w:t xml:space="preserve">the </w:t>
      </w:r>
      <w:r w:rsidRPr="000A5554">
        <w:rPr>
          <w:rFonts w:ascii="Arial" w:hAnsi="Arial" w:cs="Arial"/>
          <w:color w:val="000000" w:themeColor="text1"/>
          <w:sz w:val="24"/>
          <w:szCs w:val="24"/>
          <w:lang w:val="en-GB"/>
        </w:rPr>
        <w:t>applicants</w:t>
      </w:r>
      <w:r w:rsidR="0009495C" w:rsidRPr="000A5554">
        <w:rPr>
          <w:rFonts w:ascii="Arial" w:hAnsi="Arial" w:cs="Arial"/>
          <w:color w:val="000000" w:themeColor="text1"/>
          <w:sz w:val="24"/>
          <w:szCs w:val="24"/>
          <w:lang w:val="en-GB"/>
        </w:rPr>
        <w:t>’</w:t>
      </w:r>
      <w:r w:rsidRPr="000A5554">
        <w:rPr>
          <w:rFonts w:ascii="Arial" w:hAnsi="Arial" w:cs="Arial"/>
          <w:color w:val="000000" w:themeColor="text1"/>
          <w:sz w:val="24"/>
          <w:szCs w:val="24"/>
          <w:lang w:val="en-GB"/>
        </w:rPr>
        <w:t xml:space="preserve"> business operations.</w:t>
      </w:r>
      <w:r w:rsidRPr="000A5554">
        <w:rPr>
          <w:rStyle w:val="FootnoteReference"/>
          <w:rFonts w:ascii="Arial" w:hAnsi="Arial" w:cs="Arial"/>
          <w:color w:val="000000" w:themeColor="text1"/>
          <w:sz w:val="24"/>
          <w:szCs w:val="24"/>
          <w:lang w:val="en-GB"/>
        </w:rPr>
        <w:footnoteReference w:id="451"/>
      </w:r>
    </w:p>
    <w:p w14:paraId="190FBD8A" w14:textId="2CE5D71B" w:rsidR="00761FF4" w:rsidRPr="000A5554" w:rsidRDefault="00761FF4" w:rsidP="00761FF4">
      <w:pPr>
        <w:spacing w:line="360" w:lineRule="auto"/>
        <w:jc w:val="both"/>
        <w:rPr>
          <w:rFonts w:ascii="Arial" w:hAnsi="Arial" w:cs="Arial"/>
          <w:color w:val="000000" w:themeColor="text1"/>
          <w:sz w:val="24"/>
          <w:szCs w:val="24"/>
          <w:lang w:val="en-GB"/>
        </w:rPr>
      </w:pPr>
      <w:r w:rsidRPr="000A5554">
        <w:rPr>
          <w:rFonts w:ascii="Arial" w:hAnsi="Arial" w:cs="Arial"/>
          <w:color w:val="000000" w:themeColor="text1"/>
          <w:sz w:val="24"/>
          <w:szCs w:val="24"/>
          <w:lang w:val="en-GB"/>
        </w:rPr>
        <w:t xml:space="preserve">The court cited </w:t>
      </w:r>
      <w:r w:rsidRPr="000A5554">
        <w:rPr>
          <w:rFonts w:ascii="Arial" w:hAnsi="Arial" w:cs="Arial"/>
          <w:i/>
          <w:iCs/>
          <w:color w:val="000000" w:themeColor="text1"/>
          <w:sz w:val="24"/>
          <w:szCs w:val="24"/>
          <w:lang w:val="en-GB"/>
        </w:rPr>
        <w:t>Makeshift</w:t>
      </w:r>
      <w:r w:rsidRPr="000A5554">
        <w:rPr>
          <w:rFonts w:ascii="Arial" w:hAnsi="Arial" w:cs="Arial"/>
          <w:color w:val="000000" w:themeColor="text1"/>
          <w:sz w:val="24"/>
          <w:szCs w:val="24"/>
          <w:lang w:val="en-GB"/>
        </w:rPr>
        <w:t xml:space="preserve"> and held that the applicants</w:t>
      </w:r>
      <w:r w:rsidR="0009495C" w:rsidRPr="000A5554">
        <w:rPr>
          <w:rFonts w:ascii="Arial" w:hAnsi="Arial" w:cs="Arial"/>
          <w:color w:val="000000" w:themeColor="text1"/>
          <w:sz w:val="24"/>
          <w:szCs w:val="24"/>
          <w:lang w:val="en-GB"/>
        </w:rPr>
        <w:t>’</w:t>
      </w:r>
      <w:r w:rsidRPr="000A5554">
        <w:rPr>
          <w:rFonts w:ascii="Arial" w:hAnsi="Arial" w:cs="Arial"/>
          <w:i/>
          <w:iCs/>
          <w:color w:val="000000" w:themeColor="text1"/>
          <w:sz w:val="24"/>
          <w:szCs w:val="24"/>
          <w:lang w:val="en-GB"/>
        </w:rPr>
        <w:t xml:space="preserve"> quasi</w:t>
      </w:r>
      <w:r w:rsidRPr="000A5554">
        <w:rPr>
          <w:rFonts w:ascii="Arial" w:hAnsi="Arial" w:cs="Arial"/>
          <w:color w:val="000000" w:themeColor="text1"/>
          <w:sz w:val="24"/>
          <w:szCs w:val="24"/>
          <w:lang w:val="en-GB"/>
        </w:rPr>
        <w:t>-possession right to electricity supply was an incident of their possession, which enjoyed protection under the spoliation remedy.</w:t>
      </w:r>
      <w:r w:rsidRPr="000A5554">
        <w:rPr>
          <w:rStyle w:val="FootnoteReference"/>
          <w:rFonts w:ascii="Arial" w:hAnsi="Arial" w:cs="Arial"/>
          <w:color w:val="000000" w:themeColor="text1"/>
          <w:sz w:val="24"/>
          <w:szCs w:val="24"/>
          <w:lang w:val="en-GB"/>
        </w:rPr>
        <w:footnoteReference w:id="452"/>
      </w:r>
      <w:r w:rsidRPr="000A5554">
        <w:rPr>
          <w:rFonts w:ascii="Arial" w:hAnsi="Arial" w:cs="Arial"/>
          <w:color w:val="000000" w:themeColor="text1"/>
          <w:sz w:val="24"/>
          <w:szCs w:val="24"/>
          <w:lang w:val="en-GB"/>
        </w:rPr>
        <w:t xml:space="preserve"> The court submitted that applicants:</w:t>
      </w:r>
    </w:p>
    <w:p w14:paraId="0BE711A8" w14:textId="5AAB7B58" w:rsidR="00761FF4" w:rsidRPr="000A5554" w:rsidRDefault="00E071B6" w:rsidP="00761FF4">
      <w:pPr>
        <w:spacing w:line="240" w:lineRule="auto"/>
        <w:ind w:left="284" w:right="284"/>
        <w:jc w:val="both"/>
        <w:rPr>
          <w:rFonts w:ascii="Arial" w:hAnsi="Arial" w:cs="Arial"/>
          <w:color w:val="000000" w:themeColor="text1"/>
          <w:sz w:val="24"/>
          <w:szCs w:val="24"/>
          <w:lang w:val="en-GB"/>
        </w:rPr>
      </w:pPr>
      <w:r w:rsidRPr="000A5554">
        <w:rPr>
          <w:rFonts w:ascii="Arial" w:hAnsi="Arial" w:cs="Arial"/>
          <w:color w:val="000000" w:themeColor="text1"/>
          <w:lang w:val="en-GB"/>
        </w:rPr>
        <w:t>‘</w:t>
      </w:r>
      <w:r w:rsidR="00761FF4" w:rsidRPr="000A5554">
        <w:rPr>
          <w:rFonts w:ascii="Arial" w:hAnsi="Arial" w:cs="Arial"/>
          <w:color w:val="000000" w:themeColor="text1"/>
          <w:lang w:val="en-GB"/>
        </w:rPr>
        <w:t xml:space="preserve">.. have been in peaceful and undisturbed possession of the properties of which the right to electricity was an incident of possession and they have been unlawfully despoiled of their rights when the electricity supply was terminated. I therefore agree with the </w:t>
      </w:r>
      <w:r w:rsidR="00761FF4" w:rsidRPr="000A5554">
        <w:rPr>
          <w:rFonts w:ascii="Arial" w:hAnsi="Arial" w:cs="Arial"/>
          <w:i/>
          <w:iCs/>
          <w:color w:val="000000" w:themeColor="text1"/>
          <w:lang w:val="en-GB"/>
        </w:rPr>
        <w:t>dicta</w:t>
      </w:r>
      <w:r w:rsidR="00761FF4" w:rsidRPr="000A5554">
        <w:rPr>
          <w:rFonts w:ascii="Arial" w:hAnsi="Arial" w:cs="Arial"/>
          <w:color w:val="000000" w:themeColor="text1"/>
          <w:lang w:val="en-GB"/>
        </w:rPr>
        <w:t xml:space="preserve"> in </w:t>
      </w:r>
      <w:r w:rsidR="00761FF4" w:rsidRPr="000A5554">
        <w:rPr>
          <w:rFonts w:ascii="Arial" w:hAnsi="Arial" w:cs="Arial"/>
          <w:i/>
          <w:iCs/>
          <w:color w:val="000000" w:themeColor="text1"/>
          <w:lang w:val="en-GB"/>
        </w:rPr>
        <w:t>Makeshift</w:t>
      </w:r>
      <w:r w:rsidR="00761FF4" w:rsidRPr="000A5554">
        <w:rPr>
          <w:rFonts w:ascii="Arial" w:hAnsi="Arial" w:cs="Arial"/>
          <w:color w:val="000000" w:themeColor="text1"/>
          <w:lang w:val="en-GB"/>
        </w:rPr>
        <w:t xml:space="preserve"> </w:t>
      </w:r>
      <w:r w:rsidR="00761FF4" w:rsidRPr="000A5554">
        <w:rPr>
          <w:rFonts w:ascii="Arial" w:hAnsi="Arial" w:cs="Arial"/>
          <w:i/>
          <w:iCs/>
          <w:color w:val="000000" w:themeColor="text1"/>
          <w:lang w:val="en-GB"/>
        </w:rPr>
        <w:t>supra</w:t>
      </w:r>
      <w:r w:rsidR="00761FF4" w:rsidRPr="000A5554">
        <w:rPr>
          <w:rFonts w:ascii="Arial" w:hAnsi="Arial" w:cs="Arial"/>
          <w:color w:val="000000" w:themeColor="text1"/>
          <w:lang w:val="en-GB"/>
        </w:rPr>
        <w:t xml:space="preserve">. I repeat that the consumers’ right to electricity is an incident of their right to occupation of the particular business premises and is therefore considered as the subject of </w:t>
      </w:r>
      <w:r w:rsidR="00761FF4" w:rsidRPr="000A5554">
        <w:rPr>
          <w:rFonts w:ascii="Arial" w:hAnsi="Arial" w:cs="Arial"/>
          <w:i/>
          <w:iCs/>
          <w:color w:val="000000" w:themeColor="text1"/>
          <w:lang w:val="en-GB"/>
        </w:rPr>
        <w:t>quasi</w:t>
      </w:r>
      <w:r w:rsidR="00761FF4" w:rsidRPr="000A5554">
        <w:rPr>
          <w:rFonts w:ascii="Arial" w:hAnsi="Arial" w:cs="Arial"/>
          <w:color w:val="000000" w:themeColor="text1"/>
          <w:lang w:val="en-GB"/>
        </w:rPr>
        <w:t xml:space="preserve">-possession. Spoliation of such </w:t>
      </w:r>
      <w:r w:rsidR="00761FF4" w:rsidRPr="000A5554">
        <w:rPr>
          <w:rFonts w:ascii="Arial" w:hAnsi="Arial" w:cs="Arial"/>
          <w:i/>
          <w:iCs/>
          <w:color w:val="000000" w:themeColor="text1"/>
          <w:lang w:val="en-GB"/>
        </w:rPr>
        <w:t>quasi</w:t>
      </w:r>
      <w:r w:rsidR="00761FF4" w:rsidRPr="000A5554">
        <w:rPr>
          <w:rFonts w:ascii="Arial" w:hAnsi="Arial" w:cs="Arial"/>
          <w:color w:val="000000" w:themeColor="text1"/>
          <w:lang w:val="en-GB"/>
        </w:rPr>
        <w:t>-possession is an act of spoliation in relation to the respective premises</w:t>
      </w:r>
      <w:r w:rsidR="00761FF4" w:rsidRPr="000A5554">
        <w:rPr>
          <w:rFonts w:ascii="Arial" w:hAnsi="Arial" w:cs="Arial"/>
          <w:color w:val="000000" w:themeColor="text1"/>
          <w:sz w:val="24"/>
          <w:szCs w:val="24"/>
          <w:lang w:val="en-GB"/>
        </w:rPr>
        <w:t>.</w:t>
      </w:r>
      <w:r w:rsidR="00575BF2" w:rsidRPr="000A5554">
        <w:rPr>
          <w:rFonts w:ascii="Arial" w:hAnsi="Arial" w:cs="Arial"/>
          <w:color w:val="000000" w:themeColor="text1"/>
          <w:sz w:val="24"/>
          <w:szCs w:val="24"/>
          <w:lang w:val="en-GB"/>
        </w:rPr>
        <w:t>’</w:t>
      </w:r>
      <w:r w:rsidR="00761FF4" w:rsidRPr="000A5554">
        <w:rPr>
          <w:rStyle w:val="FootnoteReference"/>
          <w:rFonts w:ascii="Arial" w:hAnsi="Arial" w:cs="Arial"/>
          <w:color w:val="000000" w:themeColor="text1"/>
          <w:sz w:val="24"/>
          <w:szCs w:val="24"/>
          <w:lang w:val="en-GB"/>
        </w:rPr>
        <w:footnoteReference w:id="453"/>
      </w:r>
    </w:p>
    <w:p w14:paraId="3A9D0830" w14:textId="0E7DA0AA" w:rsidR="00761FF4" w:rsidRPr="00564A72" w:rsidRDefault="00761FF4" w:rsidP="00761FF4">
      <w:pPr>
        <w:spacing w:line="360" w:lineRule="auto"/>
        <w:jc w:val="both"/>
        <w:rPr>
          <w:rFonts w:ascii="Arial" w:hAnsi="Arial" w:cs="Arial"/>
          <w:color w:val="000000" w:themeColor="text1"/>
          <w:sz w:val="24"/>
          <w:szCs w:val="24"/>
          <w:lang w:val="en-GB"/>
        </w:rPr>
      </w:pPr>
      <w:r w:rsidRPr="000A5554">
        <w:rPr>
          <w:rFonts w:ascii="Arial" w:hAnsi="Arial" w:cs="Arial"/>
          <w:color w:val="000000" w:themeColor="text1"/>
          <w:sz w:val="24"/>
          <w:szCs w:val="24"/>
          <w:lang w:val="en-GB"/>
        </w:rPr>
        <w:t xml:space="preserve">It was furthermore held that these findings are in accordance with the </w:t>
      </w:r>
      <w:r w:rsidRPr="000A5554">
        <w:rPr>
          <w:rFonts w:ascii="Arial" w:hAnsi="Arial" w:cs="Arial"/>
          <w:i/>
          <w:iCs/>
          <w:color w:val="000000" w:themeColor="text1"/>
          <w:sz w:val="24"/>
          <w:szCs w:val="24"/>
          <w:lang w:val="en-GB"/>
        </w:rPr>
        <w:t>dictum</w:t>
      </w:r>
      <w:r w:rsidRPr="000A5554">
        <w:rPr>
          <w:rFonts w:ascii="Arial" w:hAnsi="Arial" w:cs="Arial"/>
          <w:color w:val="000000" w:themeColor="text1"/>
          <w:sz w:val="24"/>
          <w:szCs w:val="24"/>
          <w:lang w:val="en-GB"/>
        </w:rPr>
        <w:t xml:space="preserve"> in </w:t>
      </w:r>
      <w:r w:rsidRPr="000A5554">
        <w:rPr>
          <w:rFonts w:ascii="Arial" w:hAnsi="Arial" w:cs="Arial"/>
          <w:i/>
          <w:iCs/>
          <w:color w:val="000000" w:themeColor="text1"/>
          <w:sz w:val="24"/>
          <w:szCs w:val="24"/>
          <w:lang w:val="en-GB"/>
        </w:rPr>
        <w:t>Masinda</w:t>
      </w:r>
      <w:r w:rsidRPr="000A5554">
        <w:rPr>
          <w:rFonts w:ascii="Arial" w:hAnsi="Arial" w:cs="Arial"/>
          <w:color w:val="000000" w:themeColor="text1"/>
          <w:sz w:val="24"/>
          <w:szCs w:val="24"/>
          <w:lang w:val="en-GB"/>
        </w:rPr>
        <w:t xml:space="preserve"> that in order to justify a spoliation order, the right must be of such a nature that it vests in the person in possession of the property as an incident of their </w:t>
      </w:r>
      <w:r w:rsidRPr="00564A72">
        <w:rPr>
          <w:rFonts w:ascii="Arial" w:hAnsi="Arial" w:cs="Arial"/>
          <w:color w:val="000000" w:themeColor="text1"/>
          <w:sz w:val="24"/>
          <w:szCs w:val="24"/>
          <w:lang w:val="en-GB"/>
        </w:rPr>
        <w:lastRenderedPageBreak/>
        <w:t>possession.</w:t>
      </w:r>
      <w:r w:rsidRPr="00564A72">
        <w:rPr>
          <w:rStyle w:val="FootnoteReference"/>
          <w:rFonts w:ascii="Arial" w:hAnsi="Arial" w:cs="Arial"/>
          <w:color w:val="000000" w:themeColor="text1"/>
          <w:sz w:val="24"/>
          <w:szCs w:val="24"/>
          <w:lang w:val="en-GB"/>
        </w:rPr>
        <w:footnoteReference w:id="454"/>
      </w:r>
      <w:r w:rsidRPr="00564A72">
        <w:rPr>
          <w:rFonts w:ascii="Arial" w:hAnsi="Arial" w:cs="Arial"/>
          <w:color w:val="000000" w:themeColor="text1"/>
          <w:sz w:val="24"/>
          <w:szCs w:val="24"/>
          <w:lang w:val="en-GB"/>
        </w:rPr>
        <w:t xml:space="preserve"> It should be recalled that in </w:t>
      </w:r>
      <w:r w:rsidRPr="00564A72">
        <w:rPr>
          <w:rFonts w:ascii="Arial" w:hAnsi="Arial" w:cs="Arial"/>
          <w:i/>
          <w:iCs/>
          <w:color w:val="000000" w:themeColor="text1"/>
          <w:sz w:val="24"/>
          <w:szCs w:val="24"/>
          <w:lang w:val="en-GB"/>
        </w:rPr>
        <w:t>Masinda</w:t>
      </w:r>
      <w:r w:rsidRPr="00564A72">
        <w:rPr>
          <w:rFonts w:ascii="Arial" w:hAnsi="Arial" w:cs="Arial"/>
          <w:color w:val="000000" w:themeColor="text1"/>
          <w:sz w:val="24"/>
          <w:szCs w:val="24"/>
          <w:lang w:val="en-GB"/>
        </w:rPr>
        <w:t xml:space="preserve">, the court did not pay much attention, if at all, to whether the respondent’s </w:t>
      </w:r>
      <w:r w:rsidRPr="00564A72">
        <w:rPr>
          <w:rFonts w:ascii="Arial" w:hAnsi="Arial" w:cs="Arial"/>
          <w:i/>
          <w:iCs/>
          <w:color w:val="000000" w:themeColor="text1"/>
          <w:sz w:val="24"/>
          <w:szCs w:val="24"/>
          <w:lang w:val="en-GB"/>
        </w:rPr>
        <w:t>quasi</w:t>
      </w:r>
      <w:r w:rsidRPr="00564A72">
        <w:rPr>
          <w:rFonts w:ascii="Arial" w:hAnsi="Arial" w:cs="Arial"/>
          <w:color w:val="000000" w:themeColor="text1"/>
          <w:sz w:val="24"/>
          <w:szCs w:val="24"/>
          <w:lang w:val="en-GB"/>
        </w:rPr>
        <w:t xml:space="preserve">-possession of the electricity supply was an incident of possession. The court refused to grant the spoliation order because </w:t>
      </w:r>
      <w:r w:rsidR="0075672B" w:rsidRPr="00564A72">
        <w:rPr>
          <w:rFonts w:ascii="Arial" w:hAnsi="Arial" w:cs="Arial"/>
          <w:color w:val="000000" w:themeColor="text1"/>
          <w:sz w:val="24"/>
          <w:szCs w:val="24"/>
          <w:lang w:val="en-GB"/>
        </w:rPr>
        <w:t>Eskom did not install the electrical installations</w:t>
      </w:r>
      <w:r w:rsidRPr="00564A72">
        <w:rPr>
          <w:rFonts w:ascii="Arial" w:hAnsi="Arial" w:cs="Arial"/>
          <w:color w:val="000000" w:themeColor="text1"/>
          <w:sz w:val="24"/>
          <w:szCs w:val="24"/>
          <w:lang w:val="en-GB"/>
        </w:rPr>
        <w:t xml:space="preserve"> and w</w:t>
      </w:r>
      <w:r w:rsidR="004E7179" w:rsidRPr="00564A72">
        <w:rPr>
          <w:rFonts w:ascii="Arial" w:hAnsi="Arial" w:cs="Arial"/>
          <w:color w:val="000000" w:themeColor="text1"/>
          <w:sz w:val="24"/>
          <w:szCs w:val="24"/>
          <w:lang w:val="en-GB"/>
        </w:rPr>
        <w:t>as</w:t>
      </w:r>
      <w:r w:rsidRPr="00564A72">
        <w:rPr>
          <w:rFonts w:ascii="Arial" w:hAnsi="Arial" w:cs="Arial"/>
          <w:color w:val="000000" w:themeColor="text1"/>
          <w:sz w:val="24"/>
          <w:szCs w:val="24"/>
          <w:lang w:val="en-GB"/>
        </w:rPr>
        <w:t xml:space="preserve"> not in compliance with the requirements of safety, which meant that the restoration of the electricity supply would be unlawful and pose a danger to the public.</w:t>
      </w:r>
      <w:r w:rsidRPr="00564A72">
        <w:rPr>
          <w:rStyle w:val="FootnoteReference"/>
          <w:rFonts w:ascii="Arial" w:hAnsi="Arial" w:cs="Arial"/>
          <w:color w:val="000000" w:themeColor="text1"/>
          <w:sz w:val="24"/>
          <w:szCs w:val="24"/>
          <w:lang w:val="en-GB"/>
        </w:rPr>
        <w:footnoteReference w:id="455"/>
      </w:r>
      <w:r w:rsidRPr="00564A72">
        <w:rPr>
          <w:rFonts w:ascii="Arial" w:hAnsi="Arial" w:cs="Arial"/>
          <w:color w:val="000000" w:themeColor="text1"/>
          <w:sz w:val="24"/>
          <w:szCs w:val="24"/>
          <w:lang w:val="en-GB"/>
        </w:rPr>
        <w:t xml:space="preserve"> In the present case, the restoration could not have been unlawful.</w:t>
      </w:r>
      <w:r w:rsidRPr="00564A72">
        <w:rPr>
          <w:rStyle w:val="FootnoteReference"/>
          <w:rFonts w:ascii="Arial" w:hAnsi="Arial" w:cs="Arial"/>
          <w:color w:val="000000" w:themeColor="text1"/>
          <w:sz w:val="24"/>
          <w:szCs w:val="24"/>
          <w:lang w:val="en-GB"/>
        </w:rPr>
        <w:footnoteReference w:id="456"/>
      </w:r>
    </w:p>
    <w:p w14:paraId="354FEF15" w14:textId="7494048E" w:rsidR="00761FF4" w:rsidRPr="00564A72" w:rsidRDefault="00761FF4" w:rsidP="00761FF4">
      <w:pPr>
        <w:spacing w:line="360" w:lineRule="auto"/>
        <w:jc w:val="both"/>
        <w:rPr>
          <w:rFonts w:ascii="Arial" w:hAnsi="Arial" w:cs="Arial"/>
          <w:color w:val="000000" w:themeColor="text1"/>
          <w:sz w:val="24"/>
          <w:szCs w:val="24"/>
          <w:lang w:val="en-GB"/>
        </w:rPr>
      </w:pPr>
      <w:r w:rsidRPr="00564A72">
        <w:rPr>
          <w:rFonts w:ascii="Arial" w:hAnsi="Arial" w:cs="Arial"/>
          <w:color w:val="000000" w:themeColor="text1"/>
          <w:sz w:val="24"/>
          <w:szCs w:val="24"/>
          <w:lang w:val="en-GB"/>
        </w:rPr>
        <w:t xml:space="preserve">Nonetheless, this case does not seem to have been decided strictly in accordance with the judgment of the Supreme Court of Appeal in </w:t>
      </w:r>
      <w:r w:rsidRPr="00564A72">
        <w:rPr>
          <w:rFonts w:ascii="Arial" w:hAnsi="Arial" w:cs="Arial"/>
          <w:i/>
          <w:iCs/>
          <w:color w:val="000000" w:themeColor="text1"/>
          <w:sz w:val="24"/>
          <w:szCs w:val="24"/>
          <w:lang w:val="en-GB"/>
        </w:rPr>
        <w:t>Masinda</w:t>
      </w:r>
      <w:r w:rsidRPr="00564A72">
        <w:rPr>
          <w:rFonts w:ascii="Arial" w:hAnsi="Arial" w:cs="Arial"/>
          <w:color w:val="000000" w:themeColor="text1"/>
          <w:sz w:val="24"/>
          <w:szCs w:val="24"/>
          <w:lang w:val="en-GB"/>
        </w:rPr>
        <w:t xml:space="preserve"> or in terms of the judgement of the High Court in </w:t>
      </w:r>
      <w:r w:rsidRPr="00564A72">
        <w:rPr>
          <w:rFonts w:ascii="Arial" w:hAnsi="Arial" w:cs="Arial"/>
          <w:i/>
          <w:iCs/>
          <w:color w:val="000000" w:themeColor="text1"/>
          <w:sz w:val="24"/>
          <w:szCs w:val="24"/>
          <w:lang w:val="en-GB"/>
        </w:rPr>
        <w:t>Makeshift</w:t>
      </w:r>
      <w:r w:rsidRPr="00564A72">
        <w:rPr>
          <w:rFonts w:ascii="Arial" w:hAnsi="Arial" w:cs="Arial"/>
          <w:color w:val="000000" w:themeColor="text1"/>
          <w:sz w:val="24"/>
          <w:szCs w:val="24"/>
          <w:lang w:val="en-GB"/>
        </w:rPr>
        <w:t>. According to both these cases, if the right is contractual, it does not enjoy protection under the spoliation remedy, except where the right is ‘incidental to the occupation of the premises and the spoliator has an interest in the land’.</w:t>
      </w:r>
      <w:r w:rsidRPr="00564A72">
        <w:rPr>
          <w:rStyle w:val="FootnoteReference"/>
          <w:rFonts w:ascii="Arial" w:hAnsi="Arial" w:cs="Arial"/>
          <w:color w:val="000000" w:themeColor="text1"/>
          <w:sz w:val="24"/>
          <w:szCs w:val="24"/>
          <w:lang w:val="en-GB"/>
        </w:rPr>
        <w:footnoteReference w:id="457"/>
      </w:r>
    </w:p>
    <w:p w14:paraId="5693C3B5" w14:textId="6D7FB9FD" w:rsidR="00761FF4" w:rsidRPr="00AF082D"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 xml:space="preserve">On the one hand, had this case been decided according to </w:t>
      </w:r>
      <w:r w:rsidRPr="00AF082D">
        <w:rPr>
          <w:rFonts w:ascii="Arial" w:hAnsi="Arial" w:cs="Arial"/>
          <w:i/>
          <w:iCs/>
          <w:color w:val="000000" w:themeColor="text1"/>
          <w:sz w:val="24"/>
          <w:szCs w:val="24"/>
          <w:lang w:val="en-GB"/>
        </w:rPr>
        <w:t>Masinda</w:t>
      </w:r>
      <w:r w:rsidRPr="00AF082D">
        <w:rPr>
          <w:rFonts w:ascii="Arial" w:hAnsi="Arial" w:cs="Arial"/>
          <w:color w:val="000000" w:themeColor="text1"/>
          <w:sz w:val="24"/>
          <w:szCs w:val="24"/>
          <w:lang w:val="en-GB"/>
        </w:rPr>
        <w:t xml:space="preserve">, the spoliation remedy would have been denied because the applicants’ claim to the </w:t>
      </w:r>
      <w:r w:rsidRPr="00AF082D">
        <w:rPr>
          <w:rFonts w:ascii="Arial" w:hAnsi="Arial" w:cs="Arial"/>
          <w:i/>
          <w:iCs/>
          <w:color w:val="000000" w:themeColor="text1"/>
          <w:sz w:val="24"/>
          <w:szCs w:val="24"/>
          <w:lang w:val="en-GB"/>
        </w:rPr>
        <w:t>quasi</w:t>
      </w:r>
      <w:r w:rsidRPr="00AF082D">
        <w:rPr>
          <w:rFonts w:ascii="Arial" w:hAnsi="Arial" w:cs="Arial"/>
          <w:color w:val="000000" w:themeColor="text1"/>
          <w:sz w:val="24"/>
          <w:szCs w:val="24"/>
          <w:lang w:val="en-GB"/>
        </w:rPr>
        <w:t>-possession of the electricity supply is personal and derived from contractual obligations with the municipality.</w:t>
      </w:r>
      <w:r w:rsidRPr="00AF082D">
        <w:rPr>
          <w:rStyle w:val="FootnoteReference"/>
          <w:rFonts w:ascii="Arial" w:hAnsi="Arial" w:cs="Arial"/>
          <w:color w:val="000000" w:themeColor="text1"/>
          <w:sz w:val="24"/>
          <w:szCs w:val="24"/>
          <w:lang w:val="en-GB"/>
        </w:rPr>
        <w:footnoteReference w:id="458"/>
      </w:r>
    </w:p>
    <w:p w14:paraId="7DC7D0BD" w14:textId="33CEE451" w:rsidR="00761FF4" w:rsidRPr="00AF082D"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 xml:space="preserve">On the other hand, had this case been decided according to </w:t>
      </w:r>
      <w:r w:rsidRPr="00AF082D">
        <w:rPr>
          <w:rFonts w:ascii="Arial" w:hAnsi="Arial" w:cs="Arial"/>
          <w:i/>
          <w:iCs/>
          <w:color w:val="000000" w:themeColor="text1"/>
          <w:sz w:val="24"/>
          <w:szCs w:val="24"/>
          <w:lang w:val="en-GB"/>
        </w:rPr>
        <w:t>Makeshift</w:t>
      </w:r>
      <w:r w:rsidRPr="00AF082D">
        <w:rPr>
          <w:rFonts w:ascii="Arial" w:hAnsi="Arial" w:cs="Arial"/>
          <w:color w:val="000000" w:themeColor="text1"/>
          <w:sz w:val="24"/>
          <w:szCs w:val="24"/>
          <w:lang w:val="en-GB"/>
        </w:rPr>
        <w:t xml:space="preserve">, it would have been classified or fell under category (b) cases because the municipality has no interest in the property or the business premises occupied by </w:t>
      </w:r>
      <w:r w:rsidR="0009495C" w:rsidRPr="00AF082D">
        <w:rPr>
          <w:rFonts w:ascii="Arial" w:hAnsi="Arial" w:cs="Arial"/>
          <w:color w:val="000000" w:themeColor="text1"/>
          <w:sz w:val="24"/>
          <w:szCs w:val="24"/>
          <w:lang w:val="en-GB"/>
        </w:rPr>
        <w:t xml:space="preserve">the </w:t>
      </w:r>
      <w:r w:rsidRPr="00AF082D">
        <w:rPr>
          <w:rFonts w:ascii="Arial" w:hAnsi="Arial" w:cs="Arial"/>
          <w:color w:val="000000" w:themeColor="text1"/>
          <w:sz w:val="24"/>
          <w:szCs w:val="24"/>
          <w:lang w:val="en-GB"/>
        </w:rPr>
        <w:t>applicants.</w:t>
      </w:r>
      <w:r w:rsidRPr="00AF082D">
        <w:rPr>
          <w:rStyle w:val="FootnoteReference"/>
          <w:rFonts w:ascii="Arial" w:hAnsi="Arial" w:cs="Arial"/>
          <w:color w:val="000000" w:themeColor="text1"/>
          <w:sz w:val="24"/>
          <w:szCs w:val="24"/>
          <w:lang w:val="en-GB"/>
        </w:rPr>
        <w:footnoteReference w:id="459"/>
      </w:r>
    </w:p>
    <w:p w14:paraId="759FE8A1" w14:textId="3320EC72" w:rsidR="00761FF4" w:rsidRPr="00AF082D"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 xml:space="preserve">Furthermore, seeing that with reference to </w:t>
      </w:r>
      <w:r w:rsidR="0009495C" w:rsidRPr="00AF082D">
        <w:rPr>
          <w:rFonts w:ascii="Arial" w:hAnsi="Arial" w:cs="Arial"/>
          <w:color w:val="000000" w:themeColor="text1"/>
          <w:sz w:val="24"/>
          <w:szCs w:val="24"/>
          <w:lang w:val="en-GB"/>
        </w:rPr>
        <w:t>the</w:t>
      </w:r>
      <w:r w:rsidRPr="00AF082D">
        <w:rPr>
          <w:rFonts w:ascii="Arial" w:hAnsi="Arial" w:cs="Arial"/>
          <w:color w:val="000000" w:themeColor="text1"/>
          <w:sz w:val="24"/>
          <w:szCs w:val="24"/>
          <w:lang w:val="en-GB"/>
        </w:rPr>
        <w:t xml:space="preserve"> incident of possession requirement,  </w:t>
      </w:r>
      <w:proofErr w:type="spellStart"/>
      <w:r w:rsidRPr="00AF082D">
        <w:rPr>
          <w:rFonts w:ascii="Arial" w:hAnsi="Arial" w:cs="Arial"/>
          <w:color w:val="000000" w:themeColor="text1"/>
          <w:sz w:val="24"/>
          <w:szCs w:val="24"/>
          <w:lang w:val="en-GB"/>
        </w:rPr>
        <w:t>Daffue</w:t>
      </w:r>
      <w:proofErr w:type="spellEnd"/>
      <w:r w:rsidRPr="00AF082D">
        <w:rPr>
          <w:rFonts w:ascii="Arial" w:hAnsi="Arial" w:cs="Arial"/>
          <w:color w:val="000000" w:themeColor="text1"/>
          <w:sz w:val="24"/>
          <w:szCs w:val="24"/>
          <w:lang w:val="en-GB"/>
        </w:rPr>
        <w:t xml:space="preserve"> J reiterated the views of Rogers J in </w:t>
      </w:r>
      <w:r w:rsidRPr="00AF082D">
        <w:rPr>
          <w:rFonts w:ascii="Arial" w:hAnsi="Arial" w:cs="Arial"/>
          <w:i/>
          <w:iCs/>
          <w:color w:val="000000" w:themeColor="text1"/>
          <w:sz w:val="24"/>
          <w:szCs w:val="24"/>
          <w:lang w:val="en-GB"/>
        </w:rPr>
        <w:t>Makeshift</w:t>
      </w:r>
      <w:r w:rsidRPr="00AF082D">
        <w:rPr>
          <w:rFonts w:ascii="Arial" w:hAnsi="Arial" w:cs="Arial"/>
          <w:color w:val="000000" w:themeColor="text1"/>
          <w:sz w:val="24"/>
          <w:szCs w:val="24"/>
          <w:lang w:val="en-GB"/>
        </w:rPr>
        <w:t xml:space="preserve"> that for the </w:t>
      </w:r>
      <w:r w:rsidRPr="00AF082D">
        <w:rPr>
          <w:rFonts w:ascii="Arial" w:hAnsi="Arial" w:cs="Arial"/>
          <w:i/>
          <w:iCs/>
          <w:color w:val="000000" w:themeColor="text1"/>
          <w:sz w:val="24"/>
          <w:szCs w:val="24"/>
          <w:lang w:val="en-GB"/>
        </w:rPr>
        <w:t>quasi</w:t>
      </w:r>
      <w:r w:rsidRPr="00AF082D">
        <w:rPr>
          <w:rFonts w:ascii="Arial" w:hAnsi="Arial" w:cs="Arial"/>
          <w:color w:val="000000" w:themeColor="text1"/>
          <w:sz w:val="24"/>
          <w:szCs w:val="24"/>
          <w:lang w:val="en-GB"/>
        </w:rPr>
        <w:t xml:space="preserve">-possession of electricity to find protection under spoliation, the </w:t>
      </w:r>
      <w:proofErr w:type="spellStart"/>
      <w:r w:rsidRPr="00AF082D">
        <w:rPr>
          <w:rFonts w:ascii="Arial" w:hAnsi="Arial" w:cs="Arial"/>
          <w:i/>
          <w:iCs/>
          <w:color w:val="000000" w:themeColor="text1"/>
          <w:sz w:val="24"/>
          <w:szCs w:val="24"/>
          <w:lang w:val="en-GB"/>
        </w:rPr>
        <w:t>spoliatus</w:t>
      </w:r>
      <w:proofErr w:type="spellEnd"/>
      <w:r w:rsidRPr="00AF082D">
        <w:rPr>
          <w:rFonts w:ascii="Arial" w:hAnsi="Arial" w:cs="Arial"/>
          <w:color w:val="000000" w:themeColor="text1"/>
          <w:sz w:val="24"/>
          <w:szCs w:val="24"/>
          <w:lang w:val="en-GB"/>
        </w:rPr>
        <w:t xml:space="preserve"> must also have an alleged right against the spoliator to be in occupation of the premises, it becomes questionable how  the court</w:t>
      </w:r>
      <w:r w:rsidR="0009495C" w:rsidRPr="00AF082D">
        <w:rPr>
          <w:rFonts w:ascii="Arial" w:hAnsi="Arial" w:cs="Arial"/>
          <w:color w:val="000000" w:themeColor="text1"/>
          <w:sz w:val="24"/>
          <w:szCs w:val="24"/>
          <w:lang w:val="en-GB"/>
        </w:rPr>
        <w:t xml:space="preserve"> then</w:t>
      </w:r>
      <w:r w:rsidRPr="00AF082D">
        <w:rPr>
          <w:rFonts w:ascii="Arial" w:hAnsi="Arial" w:cs="Arial"/>
          <w:color w:val="000000" w:themeColor="text1"/>
          <w:sz w:val="24"/>
          <w:szCs w:val="24"/>
          <w:lang w:val="en-GB"/>
        </w:rPr>
        <w:t xml:space="preserve"> c</w:t>
      </w:r>
      <w:r w:rsidR="0075672B" w:rsidRPr="00AF082D">
        <w:rPr>
          <w:rFonts w:ascii="Arial" w:hAnsi="Arial" w:cs="Arial"/>
          <w:color w:val="000000" w:themeColor="text1"/>
          <w:sz w:val="24"/>
          <w:szCs w:val="24"/>
          <w:lang w:val="en-GB"/>
        </w:rPr>
        <w:t>oncluded</w:t>
      </w:r>
      <w:r w:rsidRPr="00AF082D">
        <w:rPr>
          <w:rFonts w:ascii="Arial" w:hAnsi="Arial" w:cs="Arial"/>
          <w:color w:val="000000" w:themeColor="text1"/>
          <w:sz w:val="24"/>
          <w:szCs w:val="24"/>
          <w:lang w:val="en-GB"/>
        </w:rPr>
        <w:t xml:space="preserve"> that the applicants in </w:t>
      </w:r>
      <w:r w:rsidRPr="00AF082D">
        <w:rPr>
          <w:rFonts w:ascii="Arial" w:hAnsi="Arial" w:cs="Arial"/>
          <w:i/>
          <w:iCs/>
          <w:color w:val="000000" w:themeColor="text1"/>
          <w:sz w:val="24"/>
          <w:szCs w:val="24"/>
          <w:lang w:val="en-GB"/>
        </w:rPr>
        <w:t>Harrismith</w:t>
      </w:r>
      <w:r w:rsidRPr="00AF082D">
        <w:rPr>
          <w:rFonts w:ascii="Arial" w:hAnsi="Arial" w:cs="Arial"/>
          <w:color w:val="000000" w:themeColor="text1"/>
          <w:sz w:val="24"/>
          <w:szCs w:val="24"/>
          <w:lang w:val="en-GB"/>
        </w:rPr>
        <w:t xml:space="preserve"> were entitled to the </w:t>
      </w:r>
      <w:r w:rsidRPr="00AF082D">
        <w:rPr>
          <w:rFonts w:ascii="Arial" w:hAnsi="Arial" w:cs="Arial"/>
          <w:color w:val="000000" w:themeColor="text1"/>
          <w:sz w:val="24"/>
          <w:szCs w:val="24"/>
          <w:lang w:val="en-GB"/>
        </w:rPr>
        <w:lastRenderedPageBreak/>
        <w:t>spoliation remedy - when the municipality had no interest in the land. The court opined that:</w:t>
      </w:r>
    </w:p>
    <w:p w14:paraId="12AC6001" w14:textId="1922F638" w:rsidR="00761FF4" w:rsidRPr="00AF082D" w:rsidRDefault="005438F6" w:rsidP="00761FF4">
      <w:pPr>
        <w:spacing w:line="240" w:lineRule="auto"/>
        <w:ind w:left="284" w:right="284"/>
        <w:jc w:val="both"/>
        <w:rPr>
          <w:rFonts w:ascii="Arial" w:hAnsi="Arial" w:cs="Arial"/>
          <w:color w:val="000000" w:themeColor="text1"/>
          <w:sz w:val="24"/>
          <w:szCs w:val="24"/>
          <w:lang w:val="en-GB"/>
        </w:rPr>
      </w:pPr>
      <w:r w:rsidRPr="00AF082D">
        <w:rPr>
          <w:rFonts w:ascii="Arial" w:hAnsi="Arial" w:cs="Arial"/>
          <w:color w:val="000000" w:themeColor="text1"/>
        </w:rPr>
        <w:t>‘</w:t>
      </w:r>
      <w:r w:rsidR="00761FF4" w:rsidRPr="00AF082D">
        <w:rPr>
          <w:rFonts w:ascii="Arial" w:hAnsi="Arial" w:cs="Arial"/>
          <w:color w:val="000000" w:themeColor="text1"/>
        </w:rPr>
        <w:t xml:space="preserve">In order to discern why the one case is actionable under the </w:t>
      </w:r>
      <w:proofErr w:type="spellStart"/>
      <w:r w:rsidR="00761FF4" w:rsidRPr="00AF082D">
        <w:rPr>
          <w:rFonts w:ascii="Arial" w:hAnsi="Arial" w:cs="Arial"/>
          <w:color w:val="000000" w:themeColor="text1"/>
        </w:rPr>
        <w:t>mandament</w:t>
      </w:r>
      <w:proofErr w:type="spellEnd"/>
      <w:r w:rsidR="00761FF4" w:rsidRPr="00AF082D">
        <w:rPr>
          <w:rFonts w:ascii="Arial" w:hAnsi="Arial" w:cs="Arial"/>
          <w:color w:val="000000" w:themeColor="text1"/>
        </w:rPr>
        <w:t xml:space="preserve"> while the other is not, it is necessary to identify the distinguishing feature. As I have said, the distinguishing feature appears to me to be whether or not the alleged right to electricity is an incident of, or an adjunct to, the alleged right which the claimant has against the spoliator to be in occupation of the premises. If the alleged right to electricity is an incident of the claimant's occupation of the premises in this sense, one can then justly conclude (a) that the alleged right to electricity is the subject of quasi-possession for purposes of the </w:t>
      </w:r>
      <w:proofErr w:type="spellStart"/>
      <w:r w:rsidR="00761FF4" w:rsidRPr="00AF082D">
        <w:rPr>
          <w:rFonts w:ascii="Arial" w:hAnsi="Arial" w:cs="Arial"/>
          <w:color w:val="000000" w:themeColor="text1"/>
        </w:rPr>
        <w:t>mandament</w:t>
      </w:r>
      <w:proofErr w:type="spellEnd"/>
      <w:r w:rsidR="00761FF4" w:rsidRPr="00AF082D">
        <w:rPr>
          <w:rFonts w:ascii="Arial" w:hAnsi="Arial" w:cs="Arial"/>
          <w:color w:val="000000" w:themeColor="text1"/>
        </w:rPr>
        <w:t>; and (b) that a spoliation of the said quasi-possession is simultaneously an act of spoliation in relation to the premises themselves</w:t>
      </w:r>
      <w:r w:rsidR="00761FF4" w:rsidRPr="00AF082D">
        <w:rPr>
          <w:rFonts w:ascii="Arial" w:hAnsi="Arial" w:cs="Arial"/>
          <w:color w:val="000000" w:themeColor="text1"/>
          <w:sz w:val="24"/>
          <w:szCs w:val="24"/>
        </w:rPr>
        <w:t>.</w:t>
      </w:r>
      <w:r w:rsidRPr="00AF082D">
        <w:rPr>
          <w:rFonts w:ascii="Arial" w:hAnsi="Arial" w:cs="Arial"/>
          <w:color w:val="000000" w:themeColor="text1"/>
          <w:sz w:val="24"/>
          <w:szCs w:val="24"/>
        </w:rPr>
        <w:t>’</w:t>
      </w:r>
      <w:r w:rsidR="00761FF4" w:rsidRPr="00AF082D">
        <w:rPr>
          <w:rStyle w:val="FootnoteReference"/>
          <w:rFonts w:ascii="Arial" w:hAnsi="Arial" w:cs="Arial"/>
          <w:color w:val="000000" w:themeColor="text1"/>
          <w:sz w:val="24"/>
          <w:szCs w:val="24"/>
        </w:rPr>
        <w:footnoteReference w:id="460"/>
      </w:r>
    </w:p>
    <w:p w14:paraId="79EBAF0C" w14:textId="111B9740" w:rsidR="00761FF4" w:rsidRPr="00AF082D"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 xml:space="preserve">It cannot be said that the spoliation remedy was granted to protect the applicants’ possession of the premises as in category (c) cases because the court made no attempt to profile or liken the applicants’ electricity supply to an incident of possession which the applicants’ have against the </w:t>
      </w:r>
      <w:proofErr w:type="spellStart"/>
      <w:r w:rsidRPr="00AF082D">
        <w:rPr>
          <w:rFonts w:ascii="Arial" w:hAnsi="Arial" w:cs="Arial"/>
          <w:i/>
          <w:iCs/>
          <w:color w:val="000000" w:themeColor="text1"/>
          <w:sz w:val="24"/>
          <w:szCs w:val="24"/>
          <w:lang w:val="en-GB"/>
        </w:rPr>
        <w:t>spoliatus</w:t>
      </w:r>
      <w:proofErr w:type="spellEnd"/>
      <w:r w:rsidRPr="00AF082D">
        <w:rPr>
          <w:rFonts w:ascii="Arial" w:hAnsi="Arial" w:cs="Arial"/>
          <w:color w:val="000000" w:themeColor="text1"/>
          <w:sz w:val="24"/>
          <w:szCs w:val="24"/>
          <w:lang w:val="en-GB"/>
        </w:rPr>
        <w:t xml:space="preserve"> (here being the municipality) to be in occupation of the premises. Therefore, in both scenarios, applicants should not have been granted the spoliation remedy.</w:t>
      </w:r>
    </w:p>
    <w:p w14:paraId="61A75166" w14:textId="0B7DB5BC" w:rsidR="00761FF4" w:rsidRPr="00AF082D"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However, the court took an interesting approach</w:t>
      </w:r>
      <w:r w:rsidR="0009495C" w:rsidRPr="00AF082D">
        <w:rPr>
          <w:rFonts w:ascii="Arial" w:hAnsi="Arial" w:cs="Arial"/>
          <w:color w:val="000000" w:themeColor="text1"/>
          <w:sz w:val="24"/>
          <w:szCs w:val="24"/>
          <w:lang w:val="en-GB"/>
        </w:rPr>
        <w:t>,</w:t>
      </w:r>
      <w:r w:rsidRPr="00AF082D">
        <w:rPr>
          <w:rFonts w:ascii="Arial" w:hAnsi="Arial" w:cs="Arial"/>
          <w:color w:val="000000" w:themeColor="text1"/>
          <w:sz w:val="24"/>
          <w:szCs w:val="24"/>
          <w:lang w:val="en-GB"/>
        </w:rPr>
        <w:t xml:space="preserve"> </w:t>
      </w:r>
      <w:r w:rsidR="0009495C" w:rsidRPr="00AF082D">
        <w:rPr>
          <w:rFonts w:ascii="Arial" w:hAnsi="Arial" w:cs="Arial"/>
          <w:color w:val="000000" w:themeColor="text1"/>
          <w:sz w:val="24"/>
          <w:szCs w:val="24"/>
          <w:lang w:val="en-GB"/>
        </w:rPr>
        <w:t>o</w:t>
      </w:r>
      <w:r w:rsidRPr="00AF082D">
        <w:rPr>
          <w:rFonts w:ascii="Arial" w:hAnsi="Arial" w:cs="Arial"/>
          <w:color w:val="000000" w:themeColor="text1"/>
          <w:sz w:val="24"/>
          <w:szCs w:val="24"/>
          <w:lang w:val="en-GB"/>
        </w:rPr>
        <w:t xml:space="preserve">ne that is more agreeable and accurately reflects the arguments proposed in this research. That is, the dispossession of the </w:t>
      </w:r>
      <w:r w:rsidRPr="00AF082D">
        <w:rPr>
          <w:rFonts w:ascii="Arial" w:hAnsi="Arial" w:cs="Arial"/>
          <w:i/>
          <w:iCs/>
          <w:color w:val="000000" w:themeColor="text1"/>
          <w:sz w:val="24"/>
          <w:szCs w:val="24"/>
          <w:lang w:val="en-GB"/>
        </w:rPr>
        <w:t>quasi</w:t>
      </w:r>
      <w:r w:rsidRPr="00AF082D">
        <w:rPr>
          <w:rFonts w:ascii="Arial" w:hAnsi="Arial" w:cs="Arial"/>
          <w:color w:val="000000" w:themeColor="text1"/>
          <w:sz w:val="24"/>
          <w:szCs w:val="24"/>
          <w:lang w:val="en-GB"/>
        </w:rPr>
        <w:t>-possession of the electricity and water supply should not be disqualified where the disconnection is effected by someone other than the person with an interest in the land, and for the law to prerequisite strict adherence to all prescribed procedures and formalities</w:t>
      </w:r>
      <w:r w:rsidR="0009495C" w:rsidRPr="00AF082D">
        <w:rPr>
          <w:rFonts w:ascii="Arial" w:hAnsi="Arial" w:cs="Arial"/>
          <w:color w:val="000000" w:themeColor="text1"/>
          <w:sz w:val="24"/>
          <w:szCs w:val="24"/>
          <w:lang w:val="en-GB"/>
        </w:rPr>
        <w:t xml:space="preserve"> contained</w:t>
      </w:r>
      <w:r w:rsidRPr="00AF082D">
        <w:rPr>
          <w:rFonts w:ascii="Arial" w:hAnsi="Arial" w:cs="Arial"/>
          <w:color w:val="000000" w:themeColor="text1"/>
          <w:sz w:val="24"/>
          <w:szCs w:val="24"/>
          <w:lang w:val="en-GB"/>
        </w:rPr>
        <w:t xml:space="preserve"> </w:t>
      </w:r>
      <w:r w:rsidR="0009495C" w:rsidRPr="00AF082D">
        <w:rPr>
          <w:rFonts w:ascii="Arial" w:hAnsi="Arial" w:cs="Arial"/>
          <w:color w:val="000000" w:themeColor="text1"/>
          <w:sz w:val="24"/>
          <w:szCs w:val="24"/>
          <w:lang w:val="en-GB"/>
        </w:rPr>
        <w:t>i</w:t>
      </w:r>
      <w:r w:rsidRPr="00AF082D">
        <w:rPr>
          <w:rFonts w:ascii="Arial" w:hAnsi="Arial" w:cs="Arial"/>
          <w:color w:val="000000" w:themeColor="text1"/>
          <w:sz w:val="24"/>
          <w:szCs w:val="24"/>
          <w:lang w:val="en-GB"/>
        </w:rPr>
        <w:t xml:space="preserve">n statutory provisions enabling deprivations. This is guaranteed to check the powers of industries that have historically maintained </w:t>
      </w:r>
      <w:r w:rsidR="0075672B" w:rsidRPr="00AF082D">
        <w:rPr>
          <w:rFonts w:ascii="Arial" w:hAnsi="Arial" w:cs="Arial"/>
          <w:color w:val="000000" w:themeColor="text1"/>
          <w:sz w:val="24"/>
          <w:szCs w:val="24"/>
          <w:lang w:val="en-GB"/>
        </w:rPr>
        <w:t xml:space="preserve">a </w:t>
      </w:r>
      <w:r w:rsidRPr="00AF082D">
        <w:rPr>
          <w:rFonts w:ascii="Arial" w:hAnsi="Arial" w:cs="Arial"/>
          <w:color w:val="000000" w:themeColor="text1"/>
          <w:sz w:val="24"/>
          <w:szCs w:val="24"/>
          <w:lang w:val="en-GB"/>
        </w:rPr>
        <w:t>monopoly over the provision of essential services from taking the law into their own hands, which is exactly what the court determined in finding that</w:t>
      </w:r>
      <w:r w:rsidR="00FE1804" w:rsidRPr="00AF082D">
        <w:rPr>
          <w:rFonts w:ascii="Arial" w:hAnsi="Arial" w:cs="Arial"/>
          <w:color w:val="000000" w:themeColor="text1"/>
          <w:sz w:val="24"/>
          <w:szCs w:val="24"/>
          <w:lang w:val="en-GB"/>
        </w:rPr>
        <w:t xml:space="preserve"> the</w:t>
      </w:r>
      <w:r w:rsidRPr="00AF082D">
        <w:rPr>
          <w:rFonts w:ascii="Arial" w:hAnsi="Arial" w:cs="Arial"/>
          <w:color w:val="000000" w:themeColor="text1"/>
          <w:sz w:val="24"/>
          <w:szCs w:val="24"/>
          <w:lang w:val="en-GB"/>
        </w:rPr>
        <w:t xml:space="preserve"> applicants were indeed entitled to the spoliation remedy.</w:t>
      </w:r>
    </w:p>
    <w:p w14:paraId="6AEAA193" w14:textId="4E7B308B" w:rsidR="00761FF4" w:rsidRPr="005F0ADE" w:rsidRDefault="00761FF4" w:rsidP="00761FF4">
      <w:pPr>
        <w:spacing w:line="360" w:lineRule="auto"/>
        <w:jc w:val="both"/>
        <w:rPr>
          <w:rFonts w:ascii="Arial" w:hAnsi="Arial" w:cs="Arial"/>
          <w:color w:val="000000" w:themeColor="text1"/>
          <w:sz w:val="24"/>
          <w:szCs w:val="24"/>
          <w:lang w:val="en-GB"/>
        </w:rPr>
      </w:pPr>
      <w:r w:rsidRPr="00AF082D">
        <w:rPr>
          <w:rFonts w:ascii="Arial" w:hAnsi="Arial" w:cs="Arial"/>
          <w:color w:val="000000" w:themeColor="text1"/>
          <w:sz w:val="24"/>
          <w:szCs w:val="24"/>
          <w:lang w:val="en-GB"/>
        </w:rPr>
        <w:t xml:space="preserve">Nevertheless, the problem with this case is that the court relied on </w:t>
      </w:r>
      <w:r w:rsidRPr="00AF082D">
        <w:rPr>
          <w:rFonts w:ascii="Arial" w:hAnsi="Arial" w:cs="Arial"/>
          <w:i/>
          <w:iCs/>
          <w:color w:val="000000" w:themeColor="text1"/>
          <w:sz w:val="24"/>
          <w:szCs w:val="24"/>
          <w:lang w:val="en-GB"/>
        </w:rPr>
        <w:t>Masinda</w:t>
      </w:r>
      <w:r w:rsidRPr="00AF082D">
        <w:rPr>
          <w:rFonts w:ascii="Arial" w:hAnsi="Arial" w:cs="Arial"/>
          <w:color w:val="000000" w:themeColor="text1"/>
          <w:sz w:val="24"/>
          <w:szCs w:val="24"/>
          <w:lang w:val="en-GB"/>
        </w:rPr>
        <w:t xml:space="preserve"> and </w:t>
      </w:r>
      <w:r w:rsidRPr="00AF082D">
        <w:rPr>
          <w:rFonts w:ascii="Arial" w:hAnsi="Arial" w:cs="Arial"/>
          <w:i/>
          <w:iCs/>
          <w:color w:val="000000" w:themeColor="text1"/>
          <w:sz w:val="24"/>
          <w:szCs w:val="24"/>
          <w:lang w:val="en-GB"/>
        </w:rPr>
        <w:t>Makeshifts</w:t>
      </w:r>
      <w:r w:rsidRPr="00AF082D">
        <w:rPr>
          <w:rFonts w:ascii="Arial" w:hAnsi="Arial" w:cs="Arial"/>
          <w:color w:val="000000" w:themeColor="text1"/>
          <w:sz w:val="24"/>
          <w:szCs w:val="24"/>
          <w:lang w:val="en-GB"/>
        </w:rPr>
        <w:t xml:space="preserve"> but derived outcomes that </w:t>
      </w:r>
      <w:r w:rsidR="0075672B" w:rsidRPr="00AF082D">
        <w:rPr>
          <w:rFonts w:ascii="Arial" w:hAnsi="Arial" w:cs="Arial"/>
          <w:color w:val="000000" w:themeColor="text1"/>
          <w:sz w:val="24"/>
          <w:szCs w:val="24"/>
          <w:lang w:val="en-GB"/>
        </w:rPr>
        <w:t>we</w:t>
      </w:r>
      <w:r w:rsidRPr="00AF082D">
        <w:rPr>
          <w:rFonts w:ascii="Arial" w:hAnsi="Arial" w:cs="Arial"/>
          <w:color w:val="000000" w:themeColor="text1"/>
          <w:sz w:val="24"/>
          <w:szCs w:val="24"/>
          <w:lang w:val="en-GB"/>
        </w:rPr>
        <w:t xml:space="preserve">re inconsistent with said authority. The justification of these outcomes remains unclear. For example, in </w:t>
      </w:r>
      <w:r w:rsidRPr="00AF082D">
        <w:rPr>
          <w:rFonts w:ascii="Arial" w:hAnsi="Arial" w:cs="Arial"/>
          <w:i/>
          <w:iCs/>
          <w:color w:val="000000" w:themeColor="text1"/>
          <w:sz w:val="24"/>
          <w:szCs w:val="24"/>
          <w:lang w:val="en-GB"/>
        </w:rPr>
        <w:t xml:space="preserve">Van </w:t>
      </w:r>
      <w:proofErr w:type="spellStart"/>
      <w:r w:rsidRPr="00AF082D">
        <w:rPr>
          <w:rFonts w:ascii="Arial" w:hAnsi="Arial" w:cs="Arial"/>
          <w:i/>
          <w:iCs/>
          <w:color w:val="000000" w:themeColor="text1"/>
          <w:sz w:val="24"/>
          <w:szCs w:val="24"/>
          <w:lang w:val="en-GB"/>
        </w:rPr>
        <w:t>Kerken</w:t>
      </w:r>
      <w:proofErr w:type="spellEnd"/>
      <w:r w:rsidRPr="00AF082D">
        <w:rPr>
          <w:rFonts w:ascii="Arial" w:hAnsi="Arial" w:cs="Arial"/>
          <w:i/>
          <w:iCs/>
          <w:color w:val="000000" w:themeColor="text1"/>
          <w:sz w:val="24"/>
          <w:szCs w:val="24"/>
          <w:lang w:val="en-GB"/>
        </w:rPr>
        <w:t xml:space="preserve"> v Eskom Holdings SOC Limited and Another,</w:t>
      </w:r>
      <w:r w:rsidRPr="00AF082D">
        <w:rPr>
          <w:rFonts w:ascii="Arial" w:hAnsi="Arial" w:cs="Arial"/>
          <w:color w:val="000000" w:themeColor="text1"/>
          <w:sz w:val="24"/>
          <w:szCs w:val="24"/>
          <w:lang w:val="en-GB"/>
        </w:rPr>
        <w:t xml:space="preserve"> the court relied on the authority of this court and  </w:t>
      </w:r>
      <w:r w:rsidRPr="00AF082D">
        <w:rPr>
          <w:rFonts w:ascii="Arial" w:hAnsi="Arial" w:cs="Arial"/>
          <w:i/>
          <w:iCs/>
          <w:color w:val="000000" w:themeColor="text1"/>
          <w:sz w:val="24"/>
          <w:szCs w:val="24"/>
          <w:lang w:val="en-GB"/>
        </w:rPr>
        <w:t>Masinda</w:t>
      </w:r>
      <w:r w:rsidRPr="00AF082D">
        <w:rPr>
          <w:rFonts w:ascii="Arial" w:hAnsi="Arial" w:cs="Arial"/>
          <w:color w:val="000000" w:themeColor="text1"/>
          <w:sz w:val="24"/>
          <w:szCs w:val="24"/>
          <w:lang w:val="en-GB"/>
        </w:rPr>
        <w:t xml:space="preserve"> to deny the applicant a spoliation remedy.</w:t>
      </w:r>
      <w:r w:rsidRPr="00AF082D">
        <w:rPr>
          <w:rStyle w:val="FootnoteReference"/>
          <w:rFonts w:ascii="Arial" w:hAnsi="Arial" w:cs="Arial"/>
          <w:color w:val="000000" w:themeColor="text1"/>
          <w:sz w:val="24"/>
          <w:szCs w:val="24"/>
          <w:lang w:val="en-GB"/>
        </w:rPr>
        <w:footnoteReference w:id="461"/>
      </w:r>
      <w:r w:rsidRPr="00AF082D">
        <w:rPr>
          <w:rFonts w:ascii="Arial" w:hAnsi="Arial" w:cs="Arial"/>
          <w:color w:val="000000" w:themeColor="text1"/>
          <w:sz w:val="24"/>
          <w:szCs w:val="24"/>
          <w:lang w:val="en-GB"/>
        </w:rPr>
        <w:t xml:space="preserve"> In </w:t>
      </w:r>
      <w:r w:rsidRPr="00AF082D">
        <w:rPr>
          <w:rFonts w:ascii="Arial" w:hAnsi="Arial" w:cs="Arial"/>
          <w:i/>
          <w:iCs/>
          <w:color w:val="000000" w:themeColor="text1"/>
          <w:sz w:val="24"/>
          <w:szCs w:val="24"/>
          <w:lang w:val="en-GB"/>
        </w:rPr>
        <w:t xml:space="preserve">Van </w:t>
      </w:r>
      <w:proofErr w:type="spellStart"/>
      <w:r w:rsidRPr="00AF082D">
        <w:rPr>
          <w:rFonts w:ascii="Arial" w:hAnsi="Arial" w:cs="Arial"/>
          <w:i/>
          <w:iCs/>
          <w:color w:val="000000" w:themeColor="text1"/>
          <w:sz w:val="24"/>
          <w:szCs w:val="24"/>
          <w:lang w:val="en-GB"/>
        </w:rPr>
        <w:t>Kerken</w:t>
      </w:r>
      <w:proofErr w:type="spellEnd"/>
      <w:r w:rsidRPr="00AF082D">
        <w:rPr>
          <w:rFonts w:ascii="Arial" w:hAnsi="Arial" w:cs="Arial"/>
          <w:color w:val="000000" w:themeColor="text1"/>
          <w:sz w:val="24"/>
          <w:szCs w:val="24"/>
          <w:lang w:val="en-GB"/>
        </w:rPr>
        <w:t xml:space="preserve">, the applicant intended to misuse the spoliation remedy by relying on the decision of this court </w:t>
      </w:r>
      <w:r w:rsidRPr="005F0ADE">
        <w:rPr>
          <w:rFonts w:ascii="Arial" w:hAnsi="Arial" w:cs="Arial"/>
          <w:color w:val="000000" w:themeColor="text1"/>
          <w:sz w:val="24"/>
          <w:szCs w:val="24"/>
          <w:lang w:val="en-GB"/>
        </w:rPr>
        <w:lastRenderedPageBreak/>
        <w:t>despite having received the notice of intention to disconnect the electricity supply due to non-payment.</w:t>
      </w:r>
      <w:r w:rsidRPr="005F0ADE">
        <w:rPr>
          <w:rStyle w:val="FootnoteReference"/>
          <w:rFonts w:ascii="Arial" w:hAnsi="Arial" w:cs="Arial"/>
          <w:color w:val="000000" w:themeColor="text1"/>
          <w:sz w:val="24"/>
          <w:szCs w:val="24"/>
          <w:lang w:val="en-GB"/>
        </w:rPr>
        <w:footnoteReference w:id="462"/>
      </w:r>
      <w:r w:rsidRPr="005F0ADE">
        <w:rPr>
          <w:rFonts w:ascii="Arial" w:hAnsi="Arial" w:cs="Arial"/>
          <w:color w:val="000000" w:themeColor="text1"/>
          <w:sz w:val="24"/>
          <w:szCs w:val="24"/>
          <w:lang w:val="en-GB"/>
        </w:rPr>
        <w:t xml:space="preserve"> Knowing full well that his electricity account was in arrears, he declined to act</w:t>
      </w:r>
      <w:r w:rsidR="0075672B" w:rsidRPr="005F0ADE">
        <w:rPr>
          <w:rFonts w:ascii="Arial" w:hAnsi="Arial" w:cs="Arial"/>
          <w:color w:val="000000" w:themeColor="text1"/>
          <w:sz w:val="24"/>
          <w:szCs w:val="24"/>
          <w:lang w:val="en-GB"/>
        </w:rPr>
        <w:t>. He</w:t>
      </w:r>
      <w:r w:rsidRPr="005F0ADE">
        <w:rPr>
          <w:rFonts w:ascii="Arial" w:hAnsi="Arial" w:cs="Arial"/>
          <w:color w:val="000000" w:themeColor="text1"/>
          <w:sz w:val="24"/>
          <w:szCs w:val="24"/>
          <w:lang w:val="en-GB"/>
        </w:rPr>
        <w:t xml:space="preserve"> waited for Eskom to disconnect his electricity supply so that he could approach the court and claim that ‘in spoliation proceedings, the merits of the case are irrelevant’.</w:t>
      </w:r>
      <w:r w:rsidRPr="005F0ADE">
        <w:rPr>
          <w:rStyle w:val="FootnoteReference"/>
          <w:rFonts w:ascii="Arial" w:hAnsi="Arial" w:cs="Arial"/>
          <w:color w:val="000000" w:themeColor="text1"/>
          <w:sz w:val="24"/>
          <w:szCs w:val="24"/>
          <w:lang w:val="en-GB"/>
        </w:rPr>
        <w:footnoteReference w:id="463"/>
      </w:r>
    </w:p>
    <w:p w14:paraId="46457758" w14:textId="26C628C3" w:rsidR="00761FF4" w:rsidRPr="005F0ADE" w:rsidRDefault="00761FF4" w:rsidP="00761FF4">
      <w:pPr>
        <w:spacing w:line="360" w:lineRule="auto"/>
        <w:jc w:val="both"/>
        <w:rPr>
          <w:rFonts w:ascii="Arial" w:hAnsi="Arial" w:cs="Arial"/>
          <w:color w:val="000000" w:themeColor="text1"/>
          <w:sz w:val="24"/>
          <w:szCs w:val="24"/>
          <w:lang w:val="en-GB"/>
        </w:rPr>
      </w:pPr>
      <w:r w:rsidRPr="005F0ADE">
        <w:rPr>
          <w:rFonts w:ascii="Arial" w:hAnsi="Arial" w:cs="Arial"/>
          <w:color w:val="000000" w:themeColor="text1"/>
          <w:sz w:val="24"/>
          <w:szCs w:val="24"/>
          <w:lang w:val="en-GB"/>
        </w:rPr>
        <w:t>While the court rightfully denied the applicant the spoliation remedy, the problem persisted in the following</w:t>
      </w:r>
      <w:r w:rsidR="0075672B" w:rsidRPr="005F0ADE">
        <w:rPr>
          <w:rFonts w:ascii="Arial" w:hAnsi="Arial" w:cs="Arial"/>
          <w:color w:val="000000" w:themeColor="text1"/>
          <w:sz w:val="24"/>
          <w:szCs w:val="24"/>
          <w:lang w:val="en-GB"/>
        </w:rPr>
        <w:t>:</w:t>
      </w:r>
      <w:r w:rsidRPr="005F0ADE">
        <w:rPr>
          <w:rFonts w:ascii="Arial" w:hAnsi="Arial" w:cs="Arial"/>
          <w:color w:val="000000" w:themeColor="text1"/>
          <w:sz w:val="24"/>
          <w:szCs w:val="24"/>
          <w:lang w:val="en-GB"/>
        </w:rPr>
        <w:t xml:space="preserve"> The applicant was in a commercial contract for the supply of electricity with Eskom in a similar fashion </w:t>
      </w:r>
      <w:r w:rsidR="0075672B" w:rsidRPr="005F0ADE">
        <w:rPr>
          <w:rFonts w:ascii="Arial" w:hAnsi="Arial" w:cs="Arial"/>
          <w:color w:val="000000" w:themeColor="text1"/>
          <w:sz w:val="24"/>
          <w:szCs w:val="24"/>
          <w:lang w:val="en-GB"/>
        </w:rPr>
        <w:t>to</w:t>
      </w:r>
      <w:r w:rsidRPr="005F0ADE">
        <w:rPr>
          <w:rFonts w:ascii="Arial" w:hAnsi="Arial" w:cs="Arial"/>
          <w:color w:val="000000" w:themeColor="text1"/>
          <w:sz w:val="24"/>
          <w:szCs w:val="24"/>
          <w:lang w:val="en-GB"/>
        </w:rPr>
        <w:t xml:space="preserve"> </w:t>
      </w:r>
      <w:r w:rsidR="00FE1804" w:rsidRPr="005F0ADE">
        <w:rPr>
          <w:rFonts w:ascii="Arial" w:hAnsi="Arial" w:cs="Arial"/>
          <w:color w:val="000000" w:themeColor="text1"/>
          <w:sz w:val="24"/>
          <w:szCs w:val="24"/>
          <w:lang w:val="en-GB"/>
        </w:rPr>
        <w:t xml:space="preserve">the </w:t>
      </w:r>
      <w:r w:rsidRPr="005F0ADE">
        <w:rPr>
          <w:rFonts w:ascii="Arial" w:hAnsi="Arial" w:cs="Arial"/>
          <w:color w:val="000000" w:themeColor="text1"/>
          <w:sz w:val="24"/>
          <w:szCs w:val="24"/>
          <w:lang w:val="en-GB"/>
        </w:rPr>
        <w:t xml:space="preserve">applicants in </w:t>
      </w:r>
      <w:r w:rsidRPr="005F0ADE">
        <w:rPr>
          <w:rFonts w:ascii="Arial" w:hAnsi="Arial" w:cs="Arial"/>
          <w:i/>
          <w:iCs/>
          <w:color w:val="000000" w:themeColor="text1"/>
          <w:sz w:val="24"/>
          <w:szCs w:val="24"/>
          <w:lang w:val="en-GB"/>
        </w:rPr>
        <w:t>Harrismith</w:t>
      </w:r>
      <w:r w:rsidRPr="005F0ADE">
        <w:rPr>
          <w:rFonts w:ascii="Arial" w:hAnsi="Arial" w:cs="Arial"/>
          <w:color w:val="000000" w:themeColor="text1"/>
          <w:sz w:val="24"/>
          <w:szCs w:val="24"/>
          <w:lang w:val="en-GB"/>
        </w:rPr>
        <w:t xml:space="preserve">, except that in </w:t>
      </w:r>
      <w:r w:rsidRPr="005F0ADE">
        <w:rPr>
          <w:rFonts w:ascii="Arial" w:hAnsi="Arial" w:cs="Arial"/>
          <w:i/>
          <w:iCs/>
          <w:color w:val="000000" w:themeColor="text1"/>
          <w:sz w:val="24"/>
          <w:szCs w:val="24"/>
          <w:lang w:val="en-GB"/>
        </w:rPr>
        <w:t>Harrismith</w:t>
      </w:r>
      <w:r w:rsidRPr="005F0ADE">
        <w:rPr>
          <w:rFonts w:ascii="Arial" w:hAnsi="Arial" w:cs="Arial"/>
          <w:color w:val="000000" w:themeColor="text1"/>
          <w:sz w:val="24"/>
          <w:szCs w:val="24"/>
          <w:lang w:val="en-GB"/>
        </w:rPr>
        <w:t xml:space="preserve">, the applicants had declared disputes pertaining </w:t>
      </w:r>
      <w:r w:rsidR="00FE1804" w:rsidRPr="005F0ADE">
        <w:rPr>
          <w:rFonts w:ascii="Arial" w:hAnsi="Arial" w:cs="Arial"/>
          <w:color w:val="000000" w:themeColor="text1"/>
          <w:sz w:val="24"/>
          <w:szCs w:val="24"/>
          <w:lang w:val="en-GB"/>
        </w:rPr>
        <w:t xml:space="preserve">to </w:t>
      </w:r>
      <w:r w:rsidRPr="005F0ADE">
        <w:rPr>
          <w:rFonts w:ascii="Arial" w:hAnsi="Arial" w:cs="Arial"/>
          <w:color w:val="000000" w:themeColor="text1"/>
          <w:sz w:val="24"/>
          <w:szCs w:val="24"/>
          <w:lang w:val="en-GB"/>
        </w:rPr>
        <w:t>their accounts and were not in breach of their payment obligations.</w:t>
      </w:r>
      <w:r w:rsidRPr="005F0ADE">
        <w:rPr>
          <w:rStyle w:val="FootnoteReference"/>
          <w:rFonts w:ascii="Arial" w:hAnsi="Arial" w:cs="Arial"/>
          <w:color w:val="000000" w:themeColor="text1"/>
          <w:sz w:val="24"/>
          <w:szCs w:val="24"/>
          <w:lang w:val="en-GB"/>
        </w:rPr>
        <w:footnoteReference w:id="464"/>
      </w:r>
      <w:r w:rsidRPr="005F0ADE">
        <w:rPr>
          <w:rFonts w:ascii="Arial" w:hAnsi="Arial" w:cs="Arial"/>
          <w:color w:val="000000" w:themeColor="text1"/>
          <w:sz w:val="24"/>
          <w:szCs w:val="24"/>
          <w:lang w:val="en-GB"/>
        </w:rPr>
        <w:t xml:space="preserve"> In both cases, the alleged spoliator had no interest in the land, and the applicants had no rights of occupation against the spoliator. In view of this, it is uncertain on what basis the applicants in </w:t>
      </w:r>
      <w:r w:rsidRPr="005F0ADE">
        <w:rPr>
          <w:rFonts w:ascii="Arial" w:hAnsi="Arial" w:cs="Arial"/>
          <w:i/>
          <w:iCs/>
          <w:color w:val="000000" w:themeColor="text1"/>
          <w:sz w:val="24"/>
          <w:szCs w:val="24"/>
          <w:lang w:val="en-GB"/>
        </w:rPr>
        <w:t>Harrismith</w:t>
      </w:r>
      <w:r w:rsidRPr="005F0ADE">
        <w:rPr>
          <w:rFonts w:ascii="Arial" w:hAnsi="Arial" w:cs="Arial"/>
          <w:color w:val="000000" w:themeColor="text1"/>
          <w:sz w:val="24"/>
          <w:szCs w:val="24"/>
          <w:lang w:val="en-GB"/>
        </w:rPr>
        <w:t xml:space="preserve"> were awarded the spoliation remedy and on what basis the applicant in </w:t>
      </w:r>
      <w:r w:rsidRPr="005F0ADE">
        <w:rPr>
          <w:rFonts w:ascii="Arial" w:hAnsi="Arial" w:cs="Arial"/>
          <w:i/>
          <w:iCs/>
          <w:color w:val="000000" w:themeColor="text1"/>
          <w:sz w:val="24"/>
          <w:szCs w:val="24"/>
          <w:lang w:val="en-GB"/>
        </w:rPr>
        <w:t xml:space="preserve">Van </w:t>
      </w:r>
      <w:proofErr w:type="spellStart"/>
      <w:r w:rsidRPr="005F0ADE">
        <w:rPr>
          <w:rFonts w:ascii="Arial" w:hAnsi="Arial" w:cs="Arial"/>
          <w:i/>
          <w:iCs/>
          <w:color w:val="000000" w:themeColor="text1"/>
          <w:sz w:val="24"/>
          <w:szCs w:val="24"/>
          <w:lang w:val="en-GB"/>
        </w:rPr>
        <w:t>Kerken</w:t>
      </w:r>
      <w:proofErr w:type="spellEnd"/>
      <w:r w:rsidRPr="005F0ADE">
        <w:rPr>
          <w:rFonts w:ascii="Arial" w:hAnsi="Arial" w:cs="Arial"/>
          <w:color w:val="000000" w:themeColor="text1"/>
          <w:sz w:val="24"/>
          <w:szCs w:val="24"/>
          <w:lang w:val="en-GB"/>
        </w:rPr>
        <w:t xml:space="preserve"> was denied the spoliation remedy. Put differently, it is not clear how the </w:t>
      </w:r>
      <w:r w:rsidRPr="005F0ADE">
        <w:rPr>
          <w:rFonts w:ascii="Arial" w:hAnsi="Arial" w:cs="Arial"/>
          <w:i/>
          <w:iCs/>
          <w:color w:val="000000" w:themeColor="text1"/>
          <w:sz w:val="24"/>
          <w:szCs w:val="24"/>
          <w:lang w:val="en-GB"/>
        </w:rPr>
        <w:t>quasi</w:t>
      </w:r>
      <w:r w:rsidRPr="005F0ADE">
        <w:rPr>
          <w:rFonts w:ascii="Arial" w:hAnsi="Arial" w:cs="Arial"/>
          <w:color w:val="000000" w:themeColor="text1"/>
          <w:sz w:val="24"/>
          <w:szCs w:val="24"/>
          <w:lang w:val="en-GB"/>
        </w:rPr>
        <w:t xml:space="preserve">-possession of the right to electricity supply is an incident of the possession of the premises in </w:t>
      </w:r>
      <w:r w:rsidRPr="005F0ADE">
        <w:rPr>
          <w:rFonts w:ascii="Arial" w:hAnsi="Arial" w:cs="Arial"/>
          <w:i/>
          <w:iCs/>
          <w:color w:val="000000" w:themeColor="text1"/>
          <w:sz w:val="24"/>
          <w:szCs w:val="24"/>
          <w:lang w:val="en-GB"/>
        </w:rPr>
        <w:t>Harrismith</w:t>
      </w:r>
      <w:r w:rsidRPr="005F0ADE">
        <w:rPr>
          <w:rFonts w:ascii="Arial" w:hAnsi="Arial" w:cs="Arial"/>
          <w:color w:val="000000" w:themeColor="text1"/>
          <w:sz w:val="24"/>
          <w:szCs w:val="24"/>
          <w:lang w:val="en-GB"/>
        </w:rPr>
        <w:t xml:space="preserve"> but not so in </w:t>
      </w:r>
      <w:r w:rsidRPr="005F0ADE">
        <w:rPr>
          <w:rFonts w:ascii="Arial" w:hAnsi="Arial" w:cs="Arial"/>
          <w:i/>
          <w:iCs/>
          <w:color w:val="000000" w:themeColor="text1"/>
          <w:sz w:val="24"/>
          <w:szCs w:val="24"/>
          <w:lang w:val="en-GB"/>
        </w:rPr>
        <w:t xml:space="preserve">Van </w:t>
      </w:r>
      <w:proofErr w:type="spellStart"/>
      <w:r w:rsidRPr="005F0ADE">
        <w:rPr>
          <w:rFonts w:ascii="Arial" w:hAnsi="Arial" w:cs="Arial"/>
          <w:i/>
          <w:iCs/>
          <w:color w:val="000000" w:themeColor="text1"/>
          <w:sz w:val="24"/>
          <w:szCs w:val="24"/>
          <w:lang w:val="en-GB"/>
        </w:rPr>
        <w:t>Kerken</w:t>
      </w:r>
      <w:proofErr w:type="spellEnd"/>
      <w:r w:rsidRPr="005F0ADE">
        <w:rPr>
          <w:rFonts w:ascii="Arial" w:hAnsi="Arial" w:cs="Arial"/>
          <w:color w:val="000000" w:themeColor="text1"/>
          <w:sz w:val="24"/>
          <w:szCs w:val="24"/>
          <w:lang w:val="en-GB"/>
        </w:rPr>
        <w:t xml:space="preserve">. It appears that our courts are still struggling to </w:t>
      </w:r>
      <w:r w:rsidRPr="005F0ADE">
        <w:rPr>
          <w:rFonts w:ascii="Arial" w:hAnsi="Arial" w:cs="Arial"/>
          <w:color w:val="000000" w:themeColor="text1"/>
          <w:sz w:val="24"/>
          <w:szCs w:val="24"/>
        </w:rPr>
        <w:t xml:space="preserve">identify the conditions under which a </w:t>
      </w:r>
      <w:r w:rsidRPr="005F0ADE">
        <w:rPr>
          <w:rFonts w:ascii="Arial" w:hAnsi="Arial" w:cs="Arial"/>
          <w:i/>
          <w:iCs/>
          <w:color w:val="000000" w:themeColor="text1"/>
          <w:sz w:val="24"/>
          <w:szCs w:val="24"/>
        </w:rPr>
        <w:t>quasi</w:t>
      </w:r>
      <w:r w:rsidRPr="005F0ADE">
        <w:rPr>
          <w:rFonts w:ascii="Arial" w:hAnsi="Arial" w:cs="Arial"/>
          <w:color w:val="000000" w:themeColor="text1"/>
          <w:sz w:val="24"/>
          <w:szCs w:val="24"/>
        </w:rPr>
        <w:t xml:space="preserve">-possession right </w:t>
      </w:r>
      <w:r w:rsidR="003007D5" w:rsidRPr="005F0ADE">
        <w:rPr>
          <w:rFonts w:ascii="Arial" w:hAnsi="Arial" w:cs="Arial"/>
          <w:color w:val="000000" w:themeColor="text1"/>
          <w:sz w:val="24"/>
          <w:szCs w:val="24"/>
        </w:rPr>
        <w:t>t</w:t>
      </w:r>
      <w:r w:rsidRPr="005F0ADE">
        <w:rPr>
          <w:rFonts w:ascii="Arial" w:hAnsi="Arial" w:cs="Arial"/>
          <w:color w:val="000000" w:themeColor="text1"/>
          <w:sz w:val="24"/>
          <w:szCs w:val="24"/>
        </w:rPr>
        <w:t>o the electricity supply can be considered an incident of the possession of the premises.</w:t>
      </w:r>
    </w:p>
    <w:p w14:paraId="72003705" w14:textId="19D69930" w:rsidR="00761FF4" w:rsidRPr="005F0ADE" w:rsidRDefault="00761FF4" w:rsidP="00761FF4">
      <w:pPr>
        <w:spacing w:line="360" w:lineRule="auto"/>
        <w:jc w:val="both"/>
        <w:rPr>
          <w:rFonts w:ascii="Arial" w:hAnsi="Arial" w:cs="Arial"/>
          <w:color w:val="000000" w:themeColor="text1"/>
          <w:sz w:val="24"/>
          <w:szCs w:val="24"/>
          <w:lang w:val="en-GB"/>
        </w:rPr>
      </w:pPr>
      <w:r w:rsidRPr="005F0ADE">
        <w:rPr>
          <w:rFonts w:ascii="Arial" w:hAnsi="Arial" w:cs="Arial"/>
          <w:color w:val="000000" w:themeColor="text1"/>
          <w:sz w:val="24"/>
          <w:szCs w:val="24"/>
          <w:lang w:val="en-GB"/>
        </w:rPr>
        <w:t xml:space="preserve">The analysis of these recent judgments indicates that there are still inconsistencies in the application of the spoliation remedy to the </w:t>
      </w:r>
      <w:r w:rsidRPr="005F0ADE">
        <w:rPr>
          <w:rFonts w:ascii="Arial" w:hAnsi="Arial" w:cs="Arial"/>
          <w:i/>
          <w:iCs/>
          <w:color w:val="000000" w:themeColor="text1"/>
          <w:sz w:val="24"/>
          <w:szCs w:val="24"/>
          <w:lang w:val="en-GB"/>
        </w:rPr>
        <w:t>quasi</w:t>
      </w:r>
      <w:r w:rsidRPr="005F0ADE">
        <w:rPr>
          <w:rFonts w:ascii="Arial" w:hAnsi="Arial" w:cs="Arial"/>
          <w:color w:val="000000" w:themeColor="text1"/>
          <w:sz w:val="24"/>
          <w:szCs w:val="24"/>
          <w:lang w:val="en-GB"/>
        </w:rPr>
        <w:t xml:space="preserve">-possession of water and electricity supply. The problem began with the interpretation of the incident of possession requirement as defined in </w:t>
      </w:r>
      <w:r w:rsidRPr="005F0ADE">
        <w:rPr>
          <w:rFonts w:ascii="Arial" w:hAnsi="Arial" w:cs="Arial"/>
          <w:i/>
          <w:iCs/>
          <w:color w:val="000000" w:themeColor="text1"/>
          <w:sz w:val="24"/>
          <w:szCs w:val="24"/>
          <w:lang w:val="en-GB"/>
        </w:rPr>
        <w:t>Makeshift</w:t>
      </w:r>
      <w:r w:rsidRPr="005F0ADE">
        <w:rPr>
          <w:rFonts w:ascii="Arial" w:hAnsi="Arial" w:cs="Arial"/>
          <w:color w:val="000000" w:themeColor="text1"/>
          <w:sz w:val="24"/>
          <w:szCs w:val="24"/>
          <w:lang w:val="en-GB"/>
        </w:rPr>
        <w:t xml:space="preserve"> that the despoiled person must also have a right against the spoliator to be in </w:t>
      </w:r>
      <w:r w:rsidR="0075672B" w:rsidRPr="005F0ADE">
        <w:rPr>
          <w:rFonts w:ascii="Arial" w:hAnsi="Arial" w:cs="Arial"/>
          <w:color w:val="000000" w:themeColor="text1"/>
          <w:sz w:val="24"/>
          <w:szCs w:val="24"/>
          <w:lang w:val="en-GB"/>
        </w:rPr>
        <w:t xml:space="preserve">the </w:t>
      </w:r>
      <w:r w:rsidRPr="005F0ADE">
        <w:rPr>
          <w:rFonts w:ascii="Arial" w:hAnsi="Arial" w:cs="Arial"/>
          <w:color w:val="000000" w:themeColor="text1"/>
          <w:sz w:val="24"/>
          <w:szCs w:val="24"/>
          <w:lang w:val="en-GB"/>
        </w:rPr>
        <w:t xml:space="preserve">occupation of the property. </w:t>
      </w:r>
      <w:r w:rsidR="0075672B" w:rsidRPr="005F0ADE">
        <w:rPr>
          <w:rFonts w:ascii="Arial" w:hAnsi="Arial" w:cs="Arial"/>
          <w:color w:val="000000" w:themeColor="text1"/>
          <w:sz w:val="24"/>
          <w:szCs w:val="24"/>
          <w:lang w:val="en-GB"/>
        </w:rPr>
        <w:t>Later cases confirmed this interpretation</w:t>
      </w:r>
      <w:r w:rsidRPr="005F0ADE">
        <w:rPr>
          <w:rFonts w:ascii="Arial" w:hAnsi="Arial" w:cs="Arial"/>
          <w:color w:val="000000" w:themeColor="text1"/>
          <w:sz w:val="24"/>
          <w:szCs w:val="24"/>
          <w:lang w:val="en-GB"/>
        </w:rPr>
        <w:t xml:space="preserve"> without actual adherence to it – </w:t>
      </w:r>
      <w:r w:rsidRPr="005F0ADE">
        <w:rPr>
          <w:rFonts w:ascii="Arial" w:hAnsi="Arial" w:cs="Arial"/>
          <w:i/>
          <w:iCs/>
          <w:color w:val="000000" w:themeColor="text1"/>
          <w:sz w:val="24"/>
          <w:szCs w:val="24"/>
          <w:lang w:val="en-GB"/>
        </w:rPr>
        <w:t>Harrismith</w:t>
      </w:r>
      <w:r w:rsidRPr="005F0ADE">
        <w:rPr>
          <w:rFonts w:ascii="Arial" w:hAnsi="Arial" w:cs="Arial"/>
          <w:color w:val="000000" w:themeColor="text1"/>
          <w:sz w:val="24"/>
          <w:szCs w:val="24"/>
          <w:lang w:val="en-GB"/>
        </w:rPr>
        <w:t xml:space="preserve"> and </w:t>
      </w:r>
      <w:r w:rsidRPr="005F0ADE">
        <w:rPr>
          <w:rFonts w:ascii="Arial" w:hAnsi="Arial" w:cs="Arial"/>
          <w:i/>
          <w:iCs/>
          <w:color w:val="000000" w:themeColor="text1"/>
          <w:sz w:val="24"/>
          <w:szCs w:val="24"/>
          <w:lang w:val="en-GB"/>
        </w:rPr>
        <w:t xml:space="preserve">Van </w:t>
      </w:r>
      <w:proofErr w:type="spellStart"/>
      <w:r w:rsidR="0075672B" w:rsidRPr="005F0ADE">
        <w:rPr>
          <w:rFonts w:ascii="Arial" w:hAnsi="Arial" w:cs="Arial"/>
          <w:i/>
          <w:iCs/>
          <w:color w:val="000000" w:themeColor="text1"/>
          <w:sz w:val="24"/>
          <w:szCs w:val="24"/>
          <w:lang w:val="en-GB"/>
        </w:rPr>
        <w:t>Kerken</w:t>
      </w:r>
      <w:proofErr w:type="spellEnd"/>
      <w:r w:rsidR="0075672B" w:rsidRPr="005F0ADE">
        <w:rPr>
          <w:rFonts w:ascii="Arial" w:hAnsi="Arial" w:cs="Arial"/>
          <w:color w:val="000000" w:themeColor="text1"/>
          <w:sz w:val="24"/>
          <w:szCs w:val="24"/>
          <w:lang w:val="en-GB"/>
        </w:rPr>
        <w:t xml:space="preserve"> </w:t>
      </w:r>
      <w:r w:rsidRPr="005F0ADE">
        <w:rPr>
          <w:rFonts w:ascii="Arial" w:hAnsi="Arial" w:cs="Arial"/>
          <w:color w:val="000000" w:themeColor="text1"/>
          <w:sz w:val="24"/>
          <w:szCs w:val="24"/>
          <w:lang w:val="en-GB"/>
        </w:rPr>
        <w:t xml:space="preserve">serve as prime examples. Even though the outcomes of both courts cannot be faulted, there is a need to properly define the perimeters for the protection of </w:t>
      </w:r>
      <w:r w:rsidRPr="005F0ADE">
        <w:rPr>
          <w:rFonts w:ascii="Arial" w:hAnsi="Arial" w:cs="Arial"/>
          <w:i/>
          <w:iCs/>
          <w:color w:val="000000" w:themeColor="text1"/>
          <w:sz w:val="24"/>
          <w:szCs w:val="24"/>
          <w:lang w:val="en-GB"/>
        </w:rPr>
        <w:t>quasi</w:t>
      </w:r>
      <w:r w:rsidRPr="005F0ADE">
        <w:rPr>
          <w:rFonts w:ascii="Arial" w:hAnsi="Arial" w:cs="Arial"/>
          <w:color w:val="000000" w:themeColor="text1"/>
          <w:sz w:val="24"/>
          <w:szCs w:val="24"/>
          <w:lang w:val="en-GB"/>
        </w:rPr>
        <w:t>-possession in respect of water and electricity supply under the spoliation remedy.</w:t>
      </w:r>
    </w:p>
    <w:p w14:paraId="09685A44" w14:textId="77777777" w:rsidR="00255733" w:rsidRPr="00B17C11" w:rsidRDefault="00255733" w:rsidP="00761FF4">
      <w:pPr>
        <w:spacing w:line="360" w:lineRule="auto"/>
        <w:jc w:val="both"/>
        <w:rPr>
          <w:rFonts w:ascii="Arial" w:hAnsi="Arial" w:cs="Arial"/>
          <w:sz w:val="24"/>
          <w:szCs w:val="24"/>
          <w:lang w:val="en-GB"/>
        </w:rPr>
      </w:pPr>
    </w:p>
    <w:p w14:paraId="0D4BA2AC" w14:textId="6C258004" w:rsidR="00761FF4" w:rsidRPr="00B17C11" w:rsidRDefault="00255733" w:rsidP="00255733">
      <w:pPr>
        <w:pStyle w:val="Heading2"/>
      </w:pPr>
      <w:bookmarkStart w:id="31" w:name="_Toc181339558"/>
      <w:r w:rsidRPr="00B17C11">
        <w:lastRenderedPageBreak/>
        <w:t>4.4</w:t>
      </w:r>
      <w:r w:rsidRPr="00B17C11">
        <w:tab/>
      </w:r>
      <w:r w:rsidR="00761FF4" w:rsidRPr="00B17C11">
        <w:t>Conclusion</w:t>
      </w:r>
      <w:bookmarkEnd w:id="31"/>
    </w:p>
    <w:p w14:paraId="720E7073" w14:textId="68F554E1" w:rsidR="00BD48AC" w:rsidRPr="00B17C11" w:rsidRDefault="00761FF4" w:rsidP="00BD48AC">
      <w:pPr>
        <w:spacing w:line="360" w:lineRule="auto"/>
        <w:jc w:val="both"/>
        <w:rPr>
          <w:rFonts w:ascii="Arial" w:hAnsi="Arial" w:cs="Arial"/>
          <w:sz w:val="24"/>
          <w:szCs w:val="24"/>
        </w:rPr>
      </w:pPr>
      <w:r w:rsidRPr="00B17C11">
        <w:rPr>
          <w:rFonts w:ascii="Arial" w:hAnsi="Arial" w:cs="Arial"/>
          <w:sz w:val="24"/>
          <w:szCs w:val="24"/>
        </w:rPr>
        <w:t xml:space="preserve">Chapter </w:t>
      </w:r>
      <w:r w:rsidR="00FE1804" w:rsidRPr="00B17C11">
        <w:rPr>
          <w:rFonts w:ascii="Arial" w:hAnsi="Arial" w:cs="Arial"/>
          <w:sz w:val="24"/>
          <w:szCs w:val="24"/>
        </w:rPr>
        <w:t>f</w:t>
      </w:r>
      <w:r w:rsidR="008D3168" w:rsidRPr="00B17C11">
        <w:rPr>
          <w:rFonts w:ascii="Arial" w:hAnsi="Arial" w:cs="Arial"/>
          <w:sz w:val="24"/>
          <w:szCs w:val="24"/>
        </w:rPr>
        <w:t>our</w:t>
      </w:r>
      <w:r w:rsidRPr="00B17C11">
        <w:rPr>
          <w:rFonts w:ascii="Arial" w:hAnsi="Arial" w:cs="Arial"/>
          <w:sz w:val="24"/>
          <w:szCs w:val="24"/>
        </w:rPr>
        <w:t xml:space="preserve"> investigated the application of the spoliation remedy </w:t>
      </w:r>
      <w:r w:rsidR="00FE1804" w:rsidRPr="00B17C11">
        <w:rPr>
          <w:rFonts w:ascii="Arial" w:hAnsi="Arial" w:cs="Arial"/>
          <w:sz w:val="24"/>
          <w:szCs w:val="24"/>
        </w:rPr>
        <w:t>t</w:t>
      </w:r>
      <w:r w:rsidRPr="00B17C11">
        <w:rPr>
          <w:rFonts w:ascii="Arial" w:hAnsi="Arial" w:cs="Arial"/>
          <w:sz w:val="24"/>
          <w:szCs w:val="24"/>
        </w:rPr>
        <w:t xml:space="preserve">o the </w:t>
      </w:r>
      <w:r w:rsidRPr="00B17C11">
        <w:rPr>
          <w:rFonts w:ascii="Arial" w:hAnsi="Arial" w:cs="Arial"/>
          <w:i/>
          <w:iCs/>
          <w:sz w:val="24"/>
          <w:szCs w:val="24"/>
        </w:rPr>
        <w:t>quasi</w:t>
      </w:r>
      <w:r w:rsidRPr="00B17C11">
        <w:rPr>
          <w:rFonts w:ascii="Arial" w:hAnsi="Arial" w:cs="Arial"/>
          <w:sz w:val="24"/>
          <w:szCs w:val="24"/>
        </w:rPr>
        <w:t xml:space="preserve">-possession of water and electricity supply after the </w:t>
      </w:r>
      <w:r w:rsidRPr="00B17C11">
        <w:rPr>
          <w:rFonts w:ascii="Arial" w:hAnsi="Arial" w:cs="Arial"/>
          <w:i/>
          <w:iCs/>
          <w:sz w:val="24"/>
          <w:szCs w:val="24"/>
        </w:rPr>
        <w:t>Constitution of the Republic of South Africa</w:t>
      </w:r>
      <w:r w:rsidRPr="00B17C11">
        <w:rPr>
          <w:rFonts w:ascii="Arial" w:hAnsi="Arial" w:cs="Arial"/>
          <w:sz w:val="24"/>
          <w:szCs w:val="24"/>
        </w:rPr>
        <w:t>, 1996</w:t>
      </w:r>
      <w:r w:rsidR="00FE1804" w:rsidRPr="00B17C11">
        <w:rPr>
          <w:rFonts w:ascii="Arial" w:hAnsi="Arial" w:cs="Arial"/>
          <w:sz w:val="24"/>
          <w:szCs w:val="24"/>
        </w:rPr>
        <w:t xml:space="preserve"> came into operation</w:t>
      </w:r>
      <w:r w:rsidRPr="00B17C11">
        <w:rPr>
          <w:rFonts w:ascii="Arial" w:hAnsi="Arial" w:cs="Arial"/>
          <w:sz w:val="24"/>
          <w:szCs w:val="24"/>
        </w:rPr>
        <w:t xml:space="preserve">. It is found that the characterisation of rights in spoliation proceedings became the impetus behind the extension of </w:t>
      </w:r>
      <w:r w:rsidRPr="00B17C11">
        <w:rPr>
          <w:rFonts w:ascii="Arial" w:hAnsi="Arial" w:cs="Arial"/>
          <w:i/>
          <w:iCs/>
          <w:sz w:val="24"/>
          <w:szCs w:val="24"/>
        </w:rPr>
        <w:t>quasi</w:t>
      </w:r>
      <w:r w:rsidRPr="00B17C11">
        <w:rPr>
          <w:rFonts w:ascii="Arial" w:hAnsi="Arial" w:cs="Arial"/>
          <w:sz w:val="24"/>
          <w:szCs w:val="24"/>
        </w:rPr>
        <w:t xml:space="preserve">-possession rights protectable under the spoliation remedy, which led to the inclusion of registered statutory rights and constitutional rights and the recurrence of existing inconsistencies in the application of the ‘incident of possession’ requirement. </w:t>
      </w:r>
      <w:r w:rsidR="00BD48AC" w:rsidRPr="00B17C11">
        <w:rPr>
          <w:rFonts w:ascii="Arial" w:hAnsi="Arial" w:cs="Arial"/>
          <w:sz w:val="24"/>
          <w:szCs w:val="24"/>
        </w:rPr>
        <w:t xml:space="preserve">In addition, the extension of this remedy to constitutional rights caused uncertainties concerning </w:t>
      </w:r>
      <w:r w:rsidR="00FE1804" w:rsidRPr="00B17C11">
        <w:rPr>
          <w:rFonts w:ascii="Arial" w:hAnsi="Arial" w:cs="Arial"/>
          <w:sz w:val="24"/>
          <w:szCs w:val="24"/>
        </w:rPr>
        <w:t>the</w:t>
      </w:r>
      <w:r w:rsidR="00BD48AC" w:rsidRPr="00B17C11">
        <w:rPr>
          <w:rFonts w:ascii="Arial" w:hAnsi="Arial" w:cs="Arial"/>
          <w:sz w:val="24"/>
          <w:szCs w:val="24"/>
        </w:rPr>
        <w:t xml:space="preserve"> constitutional rights worthy of protection under the spoliation remedy and further ignited conversations about whether the</w:t>
      </w:r>
      <w:r w:rsidR="00FE1804" w:rsidRPr="00B17C11">
        <w:rPr>
          <w:rFonts w:ascii="Arial" w:hAnsi="Arial" w:cs="Arial"/>
          <w:sz w:val="24"/>
          <w:szCs w:val="24"/>
        </w:rPr>
        <w:t xml:space="preserve"> right to</w:t>
      </w:r>
      <w:r w:rsidR="00BD48AC" w:rsidRPr="00B17C11">
        <w:rPr>
          <w:rFonts w:ascii="Arial" w:hAnsi="Arial" w:cs="Arial"/>
          <w:sz w:val="24"/>
          <w:szCs w:val="24"/>
        </w:rPr>
        <w:t xml:space="preserve"> electricity supply could also be considered a public law right for purposes of receiving protection under the spoliation remedy.</w:t>
      </w:r>
      <w:r w:rsidR="00F71895" w:rsidRPr="00B17C11">
        <w:rPr>
          <w:rFonts w:ascii="Arial" w:hAnsi="Arial" w:cs="Arial"/>
          <w:sz w:val="24"/>
          <w:szCs w:val="24"/>
        </w:rPr>
        <w:t xml:space="preserve"> </w:t>
      </w:r>
      <w:r w:rsidR="002445E1" w:rsidRPr="00B17C11">
        <w:rPr>
          <w:rFonts w:ascii="Arial" w:hAnsi="Arial" w:cs="Arial"/>
          <w:sz w:val="24"/>
          <w:szCs w:val="24"/>
        </w:rPr>
        <w:t xml:space="preserve">On the authority of the court in </w:t>
      </w:r>
      <w:r w:rsidR="002445E1" w:rsidRPr="00B17C11">
        <w:rPr>
          <w:rFonts w:ascii="Arial" w:hAnsi="Arial" w:cs="Arial"/>
          <w:i/>
          <w:iCs/>
          <w:sz w:val="24"/>
          <w:szCs w:val="24"/>
        </w:rPr>
        <w:t>Harrismith</w:t>
      </w:r>
      <w:r w:rsidR="002445E1" w:rsidRPr="00B17C11">
        <w:rPr>
          <w:rFonts w:ascii="Arial" w:hAnsi="Arial" w:cs="Arial"/>
          <w:sz w:val="24"/>
          <w:szCs w:val="24"/>
        </w:rPr>
        <w:t>, it would seem that it is possible to extend the application of the spoliation remedy to instances where the spoliator is not the landlord or building owner. However, for this extension to go without question, there needs to be a new formulation o</w:t>
      </w:r>
      <w:r w:rsidR="008E02E5" w:rsidRPr="00B17C11">
        <w:rPr>
          <w:rFonts w:ascii="Arial" w:hAnsi="Arial" w:cs="Arial"/>
          <w:sz w:val="24"/>
          <w:szCs w:val="24"/>
        </w:rPr>
        <w:t>f</w:t>
      </w:r>
      <w:r w:rsidR="002445E1" w:rsidRPr="00B17C11">
        <w:rPr>
          <w:rFonts w:ascii="Arial" w:hAnsi="Arial" w:cs="Arial"/>
          <w:sz w:val="24"/>
          <w:szCs w:val="24"/>
        </w:rPr>
        <w:t xml:space="preserve"> </w:t>
      </w:r>
      <w:r w:rsidR="00FE1804" w:rsidRPr="00B17C11">
        <w:rPr>
          <w:rFonts w:ascii="Arial" w:hAnsi="Arial" w:cs="Arial"/>
          <w:sz w:val="24"/>
          <w:szCs w:val="24"/>
        </w:rPr>
        <w:t>the</w:t>
      </w:r>
      <w:r w:rsidR="002445E1" w:rsidRPr="00B17C11">
        <w:rPr>
          <w:rFonts w:ascii="Arial" w:hAnsi="Arial" w:cs="Arial"/>
          <w:sz w:val="24"/>
          <w:szCs w:val="24"/>
        </w:rPr>
        <w:t xml:space="preserve"> interpretation of an incident of possession requirement.</w:t>
      </w:r>
      <w:r w:rsidR="00F0178D" w:rsidRPr="00B17C11">
        <w:rPr>
          <w:rFonts w:ascii="Arial" w:hAnsi="Arial" w:cs="Arial"/>
          <w:sz w:val="24"/>
          <w:szCs w:val="24"/>
        </w:rPr>
        <w:t xml:space="preserve"> </w:t>
      </w:r>
      <w:r w:rsidR="00BD48AC" w:rsidRPr="00B17C11">
        <w:rPr>
          <w:rFonts w:ascii="Arial" w:hAnsi="Arial" w:cs="Arial"/>
          <w:sz w:val="24"/>
          <w:szCs w:val="24"/>
        </w:rPr>
        <w:t xml:space="preserve">Chapter </w:t>
      </w:r>
      <w:r w:rsidR="00FE1804" w:rsidRPr="00B17C11">
        <w:rPr>
          <w:rFonts w:ascii="Arial" w:hAnsi="Arial" w:cs="Arial"/>
          <w:sz w:val="24"/>
          <w:szCs w:val="24"/>
        </w:rPr>
        <w:t>f</w:t>
      </w:r>
      <w:r w:rsidR="00BD48AC" w:rsidRPr="00B17C11">
        <w:rPr>
          <w:rFonts w:ascii="Arial" w:hAnsi="Arial" w:cs="Arial"/>
          <w:sz w:val="24"/>
          <w:szCs w:val="24"/>
        </w:rPr>
        <w:t xml:space="preserve">ive </w:t>
      </w:r>
      <w:r w:rsidR="00956628" w:rsidRPr="00B17C11">
        <w:rPr>
          <w:rFonts w:ascii="Arial" w:hAnsi="Arial" w:cs="Arial"/>
          <w:sz w:val="24"/>
          <w:szCs w:val="24"/>
        </w:rPr>
        <w:t xml:space="preserve">will </w:t>
      </w:r>
      <w:r w:rsidR="00BD48AC" w:rsidRPr="00B17C11">
        <w:rPr>
          <w:rFonts w:ascii="Arial" w:hAnsi="Arial" w:cs="Arial"/>
          <w:sz w:val="24"/>
          <w:szCs w:val="24"/>
        </w:rPr>
        <w:t xml:space="preserve">conclude by </w:t>
      </w:r>
      <w:r w:rsidR="00140880" w:rsidRPr="00B17C11">
        <w:rPr>
          <w:rFonts w:ascii="Arial" w:hAnsi="Arial" w:cs="Arial"/>
          <w:sz w:val="24"/>
          <w:szCs w:val="24"/>
        </w:rPr>
        <w:t xml:space="preserve">providing recommendations on how to address the inconsistencies resulting from ‘an incident of possession requirement’ and by addressing concerns regarding the influence of the </w:t>
      </w:r>
      <w:r w:rsidR="00B71C11" w:rsidRPr="00B17C11">
        <w:rPr>
          <w:rFonts w:ascii="Arial" w:hAnsi="Arial" w:cs="Arial"/>
          <w:i/>
          <w:iCs/>
          <w:sz w:val="24"/>
          <w:szCs w:val="24"/>
        </w:rPr>
        <w:t>C</w:t>
      </w:r>
      <w:r w:rsidR="00140880" w:rsidRPr="00B17C11">
        <w:rPr>
          <w:rFonts w:ascii="Arial" w:hAnsi="Arial" w:cs="Arial"/>
          <w:i/>
          <w:iCs/>
          <w:sz w:val="24"/>
          <w:szCs w:val="24"/>
        </w:rPr>
        <w:t>onstitution</w:t>
      </w:r>
      <w:r w:rsidR="00140880" w:rsidRPr="00B17C11">
        <w:rPr>
          <w:rFonts w:ascii="Arial" w:hAnsi="Arial" w:cs="Arial"/>
          <w:sz w:val="24"/>
          <w:szCs w:val="24"/>
        </w:rPr>
        <w:t xml:space="preserve"> on the application of the spoliation remedy </w:t>
      </w:r>
      <w:r w:rsidR="00B71C11" w:rsidRPr="00B17C11">
        <w:rPr>
          <w:rFonts w:ascii="Arial" w:hAnsi="Arial" w:cs="Arial"/>
          <w:sz w:val="24"/>
          <w:szCs w:val="24"/>
        </w:rPr>
        <w:t>to</w:t>
      </w:r>
      <w:r w:rsidR="00140880" w:rsidRPr="00B17C11">
        <w:rPr>
          <w:rFonts w:ascii="Arial" w:hAnsi="Arial" w:cs="Arial"/>
          <w:sz w:val="24"/>
          <w:szCs w:val="24"/>
        </w:rPr>
        <w:t xml:space="preserve"> </w:t>
      </w:r>
      <w:r w:rsidR="00956628" w:rsidRPr="00B17C11">
        <w:rPr>
          <w:rFonts w:ascii="Arial" w:hAnsi="Arial" w:cs="Arial"/>
          <w:sz w:val="24"/>
          <w:szCs w:val="24"/>
        </w:rPr>
        <w:t xml:space="preserve">the </w:t>
      </w:r>
      <w:r w:rsidR="00140880" w:rsidRPr="00B17C11">
        <w:rPr>
          <w:rFonts w:ascii="Arial" w:hAnsi="Arial" w:cs="Arial"/>
          <w:i/>
          <w:iCs/>
          <w:sz w:val="24"/>
          <w:szCs w:val="24"/>
        </w:rPr>
        <w:t>quasi</w:t>
      </w:r>
      <w:r w:rsidR="00140880" w:rsidRPr="00B17C11">
        <w:rPr>
          <w:rFonts w:ascii="Arial" w:hAnsi="Arial" w:cs="Arial"/>
          <w:sz w:val="24"/>
          <w:szCs w:val="24"/>
        </w:rPr>
        <w:t xml:space="preserve">-possession </w:t>
      </w:r>
      <w:r w:rsidR="00956628" w:rsidRPr="00B17C11">
        <w:rPr>
          <w:rFonts w:ascii="Arial" w:hAnsi="Arial" w:cs="Arial"/>
          <w:sz w:val="24"/>
          <w:szCs w:val="24"/>
        </w:rPr>
        <w:t xml:space="preserve">of </w:t>
      </w:r>
      <w:r w:rsidR="00140880" w:rsidRPr="00B17C11">
        <w:rPr>
          <w:rFonts w:ascii="Arial" w:hAnsi="Arial" w:cs="Arial"/>
          <w:sz w:val="24"/>
          <w:szCs w:val="24"/>
        </w:rPr>
        <w:t>rights to water and electricity supply.</w:t>
      </w:r>
    </w:p>
    <w:p w14:paraId="1954B8B3" w14:textId="2EFCD62D" w:rsidR="00AF171F" w:rsidRPr="00B17C11" w:rsidRDefault="00AF171F" w:rsidP="00AF171F">
      <w:pPr>
        <w:spacing w:line="360" w:lineRule="auto"/>
        <w:jc w:val="both"/>
        <w:rPr>
          <w:rFonts w:ascii="Arial" w:hAnsi="Arial" w:cs="Arial"/>
          <w:sz w:val="24"/>
          <w:szCs w:val="24"/>
        </w:rPr>
      </w:pPr>
    </w:p>
    <w:p w14:paraId="3F1BEA5C" w14:textId="77777777" w:rsidR="00A14E4D" w:rsidRPr="00B17C11" w:rsidRDefault="00A14E4D" w:rsidP="00761FF4">
      <w:pPr>
        <w:spacing w:line="360" w:lineRule="auto"/>
        <w:jc w:val="both"/>
        <w:rPr>
          <w:rFonts w:ascii="Arial" w:hAnsi="Arial" w:cs="Arial"/>
          <w:sz w:val="24"/>
          <w:szCs w:val="24"/>
        </w:rPr>
      </w:pPr>
    </w:p>
    <w:p w14:paraId="28017D3C" w14:textId="22E47749" w:rsidR="00E336C2" w:rsidRPr="00B17C11" w:rsidRDefault="00E336C2">
      <w:pPr>
        <w:rPr>
          <w:rFonts w:ascii="Arial" w:hAnsi="Arial" w:cs="Arial"/>
          <w:sz w:val="24"/>
          <w:szCs w:val="24"/>
        </w:rPr>
      </w:pPr>
      <w:r w:rsidRPr="00B17C11">
        <w:rPr>
          <w:rFonts w:ascii="Arial" w:hAnsi="Arial" w:cs="Arial"/>
          <w:sz w:val="24"/>
          <w:szCs w:val="24"/>
        </w:rPr>
        <w:br w:type="page"/>
      </w:r>
    </w:p>
    <w:p w14:paraId="73788BB0" w14:textId="441420BA" w:rsidR="00A14E4D" w:rsidRPr="00B17C11" w:rsidRDefault="0093309B" w:rsidP="0093309B">
      <w:pPr>
        <w:pStyle w:val="Heading1"/>
        <w:rPr>
          <w:shd w:val="clear" w:color="auto" w:fill="FFFFFF"/>
        </w:rPr>
      </w:pPr>
      <w:bookmarkStart w:id="32" w:name="_Toc181339559"/>
      <w:r w:rsidRPr="00B17C11">
        <w:rPr>
          <w:shd w:val="clear" w:color="auto" w:fill="FFFFFF"/>
        </w:rPr>
        <w:lastRenderedPageBreak/>
        <w:t>: conclusion</w:t>
      </w:r>
      <w:bookmarkEnd w:id="32"/>
    </w:p>
    <w:p w14:paraId="1BCD088B" w14:textId="77777777" w:rsidR="00E336C2" w:rsidRPr="00B17C11" w:rsidRDefault="00E336C2" w:rsidP="00E336C2">
      <w:pPr>
        <w:rPr>
          <w:lang w:val="en-GB"/>
        </w:rPr>
      </w:pPr>
    </w:p>
    <w:p w14:paraId="7293C91C" w14:textId="7FF8056E" w:rsidR="00A14E4D" w:rsidRPr="00B17C11" w:rsidRDefault="00A14E4D" w:rsidP="00A14E4D">
      <w:pPr>
        <w:spacing w:line="360" w:lineRule="auto"/>
        <w:jc w:val="both"/>
        <w:rPr>
          <w:rFonts w:ascii="Arial" w:hAnsi="Arial" w:cs="Arial"/>
          <w:sz w:val="24"/>
          <w:szCs w:val="24"/>
          <w:lang w:val="en-GB"/>
        </w:rPr>
      </w:pPr>
      <w:r w:rsidRPr="00B17C11">
        <w:rPr>
          <w:rFonts w:ascii="Arial" w:hAnsi="Arial" w:cs="Arial"/>
          <w:sz w:val="24"/>
          <w:szCs w:val="24"/>
          <w:lang w:val="en-GB"/>
        </w:rPr>
        <w:t xml:space="preserve">The application of the spoliation remedy </w:t>
      </w:r>
      <w:r w:rsidR="0038184B" w:rsidRPr="00B17C11">
        <w:rPr>
          <w:rFonts w:ascii="Arial" w:hAnsi="Arial" w:cs="Arial"/>
          <w:sz w:val="24"/>
          <w:szCs w:val="24"/>
          <w:lang w:val="en-GB"/>
        </w:rPr>
        <w:t>t</w:t>
      </w:r>
      <w:r w:rsidRPr="00B17C11">
        <w:rPr>
          <w:rFonts w:ascii="Arial" w:hAnsi="Arial" w:cs="Arial"/>
          <w:sz w:val="24"/>
          <w:szCs w:val="24"/>
          <w:lang w:val="en-GB"/>
        </w:rPr>
        <w:t xml:space="preserve">o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electricity and water supply has attracted much attention within the area of property law. This is largely due to recurring inconsistencies in how it is applied in the case of </w:t>
      </w:r>
      <w:proofErr w:type="spellStart"/>
      <w:r w:rsidRPr="00B17C11">
        <w:rPr>
          <w:rFonts w:ascii="Arial" w:hAnsi="Arial" w:cs="Arial"/>
          <w:sz w:val="24"/>
          <w:szCs w:val="24"/>
          <w:lang w:val="en-GB"/>
        </w:rPr>
        <w:t>incorporeals</w:t>
      </w:r>
      <w:proofErr w:type="spellEnd"/>
      <w:r w:rsidRPr="00B17C11">
        <w:rPr>
          <w:rFonts w:ascii="Arial" w:hAnsi="Arial" w:cs="Arial"/>
          <w:sz w:val="24"/>
          <w:szCs w:val="24"/>
          <w:lang w:val="en-GB"/>
        </w:rPr>
        <w:t xml:space="preserve">. Determining the nature of the </w:t>
      </w:r>
      <w:r w:rsidRPr="00B17C11">
        <w:rPr>
          <w:rFonts w:ascii="Arial" w:hAnsi="Arial" w:cs="Arial"/>
          <w:i/>
          <w:iCs/>
          <w:sz w:val="24"/>
          <w:szCs w:val="24"/>
          <w:lang w:val="en-GB"/>
        </w:rPr>
        <w:t>quasi</w:t>
      </w:r>
      <w:r w:rsidRPr="00B17C11">
        <w:rPr>
          <w:rFonts w:ascii="Arial" w:hAnsi="Arial" w:cs="Arial"/>
          <w:sz w:val="24"/>
          <w:szCs w:val="24"/>
          <w:lang w:val="en-GB"/>
        </w:rPr>
        <w:t xml:space="preserve">-possession of the right to ascertain whether it is protectable under </w:t>
      </w:r>
      <w:r w:rsidR="0038184B" w:rsidRPr="00B17C11">
        <w:rPr>
          <w:rFonts w:ascii="Arial" w:hAnsi="Arial" w:cs="Arial"/>
          <w:sz w:val="24"/>
          <w:szCs w:val="24"/>
          <w:lang w:val="en-GB"/>
        </w:rPr>
        <w:t xml:space="preserve">the </w:t>
      </w:r>
      <w:r w:rsidRPr="00B17C11">
        <w:rPr>
          <w:rFonts w:ascii="Arial" w:hAnsi="Arial" w:cs="Arial"/>
          <w:sz w:val="24"/>
          <w:szCs w:val="24"/>
          <w:lang w:val="en-GB"/>
        </w:rPr>
        <w:t xml:space="preserve">spoliation remedy inadvertently resulted in courts focusing on the merits of the case. As a consequence, the application of the spoliation remedy was limited to registered statutory rights, </w:t>
      </w:r>
      <w:proofErr w:type="spellStart"/>
      <w:r w:rsidRPr="00B17C11">
        <w:rPr>
          <w:rFonts w:ascii="Arial" w:hAnsi="Arial" w:cs="Arial"/>
          <w:sz w:val="24"/>
          <w:szCs w:val="24"/>
          <w:lang w:val="en-GB"/>
        </w:rPr>
        <w:t>survitutal</w:t>
      </w:r>
      <w:proofErr w:type="spellEnd"/>
      <w:r w:rsidRPr="00B17C11">
        <w:rPr>
          <w:rFonts w:ascii="Arial" w:hAnsi="Arial" w:cs="Arial"/>
          <w:sz w:val="24"/>
          <w:szCs w:val="24"/>
          <w:lang w:val="en-GB"/>
        </w:rPr>
        <w:t xml:space="preserve"> rights, and </w:t>
      </w:r>
      <w:r w:rsidR="0038184B" w:rsidRPr="00B17C11">
        <w:rPr>
          <w:rFonts w:ascii="Arial" w:hAnsi="Arial" w:cs="Arial"/>
          <w:sz w:val="24"/>
          <w:szCs w:val="24"/>
          <w:lang w:val="en-GB"/>
        </w:rPr>
        <w:t>the</w:t>
      </w:r>
      <w:r w:rsidRPr="00B17C11">
        <w:rPr>
          <w:rFonts w:ascii="Arial" w:hAnsi="Arial" w:cs="Arial"/>
          <w:sz w:val="24"/>
          <w:szCs w:val="24"/>
          <w:lang w:val="en-GB"/>
        </w:rPr>
        <w:t xml:space="preserve"> exceptional circumstances where a personal or contractual right as an incident of possession is interfered with by the landowner. This limitation failed to address cases where interference with the possession of a thing is done by a person other than the landlord, namely a third party such as Eskom. This research investigated the development of the spoliation</w:t>
      </w:r>
      <w:r w:rsidR="0038184B" w:rsidRPr="00B17C11">
        <w:rPr>
          <w:rFonts w:ascii="Arial" w:hAnsi="Arial" w:cs="Arial"/>
          <w:sz w:val="24"/>
          <w:szCs w:val="24"/>
          <w:lang w:val="en-GB"/>
        </w:rPr>
        <w:t xml:space="preserve"> remedy</w:t>
      </w:r>
      <w:r w:rsidR="00242739" w:rsidRPr="00B17C11">
        <w:rPr>
          <w:rFonts w:ascii="Arial" w:hAnsi="Arial" w:cs="Arial"/>
          <w:sz w:val="24"/>
          <w:szCs w:val="24"/>
          <w:lang w:val="en-GB"/>
        </w:rPr>
        <w:t>,</w:t>
      </w:r>
      <w:r w:rsidRPr="00B17C11">
        <w:rPr>
          <w:rFonts w:ascii="Arial" w:hAnsi="Arial" w:cs="Arial"/>
          <w:sz w:val="24"/>
          <w:szCs w:val="24"/>
          <w:lang w:val="en-GB"/>
        </w:rPr>
        <w:t xml:space="preserve"> specifically in this area of the law</w:t>
      </w:r>
      <w:r w:rsidR="00242739" w:rsidRPr="00B17C11">
        <w:rPr>
          <w:rFonts w:ascii="Arial" w:hAnsi="Arial" w:cs="Arial"/>
          <w:sz w:val="24"/>
          <w:szCs w:val="24"/>
          <w:lang w:val="en-GB"/>
        </w:rPr>
        <w:t>,</w:t>
      </w:r>
      <w:r w:rsidRPr="00B17C11">
        <w:rPr>
          <w:rFonts w:ascii="Arial" w:hAnsi="Arial" w:cs="Arial"/>
          <w:sz w:val="24"/>
          <w:szCs w:val="24"/>
          <w:lang w:val="en-GB"/>
        </w:rPr>
        <w:t xml:space="preserve"> in an attempt to provide more clarity on the </w:t>
      </w:r>
      <w:r w:rsidRPr="00B17C11">
        <w:rPr>
          <w:rFonts w:ascii="Arial" w:hAnsi="Arial" w:cs="Arial"/>
          <w:i/>
          <w:iCs/>
          <w:sz w:val="24"/>
          <w:szCs w:val="24"/>
          <w:lang w:val="en-GB"/>
        </w:rPr>
        <w:t>quasi</w:t>
      </w:r>
      <w:r w:rsidRPr="00B17C11">
        <w:rPr>
          <w:rFonts w:ascii="Arial" w:hAnsi="Arial" w:cs="Arial"/>
          <w:sz w:val="24"/>
          <w:szCs w:val="24"/>
          <w:lang w:val="en-GB"/>
        </w:rPr>
        <w:t>-possession of water and electricity supply.</w:t>
      </w:r>
    </w:p>
    <w:p w14:paraId="2A971FD9" w14:textId="633069FC"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Chapter </w:t>
      </w:r>
      <w:r w:rsidR="0038184B" w:rsidRPr="00B17C11">
        <w:rPr>
          <w:rFonts w:ascii="Arial" w:hAnsi="Arial" w:cs="Arial"/>
          <w:sz w:val="24"/>
          <w:szCs w:val="24"/>
        </w:rPr>
        <w:t>o</w:t>
      </w:r>
      <w:r w:rsidRPr="00B17C11">
        <w:rPr>
          <w:rFonts w:ascii="Arial" w:hAnsi="Arial" w:cs="Arial"/>
          <w:sz w:val="24"/>
          <w:szCs w:val="24"/>
        </w:rPr>
        <w:t xml:space="preserve">ne highlighted the crux of the problem, which is the difference between the traditional application of the spoliation remedy to corporeal things and the extended application to the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incoporeals</w:t>
      </w:r>
      <w:proofErr w:type="spellEnd"/>
      <w:r w:rsidRPr="00B17C11">
        <w:rPr>
          <w:rFonts w:ascii="Arial" w:hAnsi="Arial" w:cs="Arial"/>
          <w:sz w:val="24"/>
          <w:szCs w:val="24"/>
        </w:rPr>
        <w:t xml:space="preserve"> – where the nature of the alleged right is determined to ascertain whether its </w:t>
      </w:r>
      <w:r w:rsidRPr="00B17C11">
        <w:rPr>
          <w:rFonts w:ascii="Arial" w:hAnsi="Arial" w:cs="Arial"/>
          <w:i/>
          <w:iCs/>
          <w:sz w:val="24"/>
          <w:szCs w:val="24"/>
        </w:rPr>
        <w:t>quasi</w:t>
      </w:r>
      <w:r w:rsidRPr="00B17C11">
        <w:rPr>
          <w:rFonts w:ascii="Arial" w:hAnsi="Arial" w:cs="Arial"/>
          <w:sz w:val="24"/>
          <w:szCs w:val="24"/>
        </w:rPr>
        <w:t>-possession is protectable under the spoliation remedy. This determination prompted the investigation into the merits of the case</w:t>
      </w:r>
      <w:r w:rsidR="00242739" w:rsidRPr="00B17C11">
        <w:rPr>
          <w:rFonts w:ascii="Arial" w:hAnsi="Arial" w:cs="Arial"/>
          <w:sz w:val="24"/>
          <w:szCs w:val="24"/>
        </w:rPr>
        <w:t>,</w:t>
      </w:r>
      <w:r w:rsidRPr="00B17C11">
        <w:rPr>
          <w:rFonts w:ascii="Arial" w:hAnsi="Arial" w:cs="Arial"/>
          <w:sz w:val="24"/>
          <w:szCs w:val="24"/>
        </w:rPr>
        <w:t xml:space="preserve"> thereby contradicting the common law principles of the spoliation remedy and giving rise to legal uncertainties regarding the development and scope of its application. In light of the above, Chapter </w:t>
      </w:r>
      <w:r w:rsidR="0038184B" w:rsidRPr="00B17C11">
        <w:rPr>
          <w:rFonts w:ascii="Arial" w:hAnsi="Arial" w:cs="Arial"/>
          <w:sz w:val="24"/>
          <w:szCs w:val="24"/>
        </w:rPr>
        <w:t>o</w:t>
      </w:r>
      <w:r w:rsidRPr="00B17C11">
        <w:rPr>
          <w:rFonts w:ascii="Arial" w:hAnsi="Arial" w:cs="Arial"/>
          <w:sz w:val="24"/>
          <w:szCs w:val="24"/>
        </w:rPr>
        <w:t xml:space="preserve">ne indicated that this research </w:t>
      </w:r>
      <w:r w:rsidR="000A045A" w:rsidRPr="00B17C11">
        <w:rPr>
          <w:rFonts w:ascii="Arial" w:hAnsi="Arial" w:cs="Arial"/>
          <w:sz w:val="24"/>
          <w:szCs w:val="24"/>
        </w:rPr>
        <w:t>aim</w:t>
      </w:r>
      <w:r w:rsidRPr="00B17C11">
        <w:rPr>
          <w:rFonts w:ascii="Arial" w:hAnsi="Arial" w:cs="Arial"/>
          <w:sz w:val="24"/>
          <w:szCs w:val="24"/>
        </w:rPr>
        <w:t xml:space="preserve">s to provide legal certainty by investigating the protection of the </w:t>
      </w:r>
      <w:r w:rsidRPr="00B17C11">
        <w:rPr>
          <w:rFonts w:ascii="Arial" w:hAnsi="Arial" w:cs="Arial"/>
          <w:i/>
          <w:iCs/>
          <w:sz w:val="24"/>
          <w:szCs w:val="24"/>
        </w:rPr>
        <w:t>quasi</w:t>
      </w:r>
      <w:r w:rsidRPr="00B17C11">
        <w:rPr>
          <w:rFonts w:ascii="Arial" w:hAnsi="Arial" w:cs="Arial"/>
          <w:sz w:val="24"/>
          <w:szCs w:val="24"/>
        </w:rPr>
        <w:t>-possession of water and electricity supply. More specifically, whether the extension of the spoliation remedy to instances where the spoliator is not the landlord or building owner is possible in terms of common law principles, case law, and constitutional values.</w:t>
      </w:r>
    </w:p>
    <w:p w14:paraId="02AD983C" w14:textId="7F686B7B" w:rsidR="00A14E4D" w:rsidRPr="00B17C11" w:rsidRDefault="00A14E4D" w:rsidP="00A14E4D">
      <w:pPr>
        <w:spacing w:line="360" w:lineRule="auto"/>
        <w:jc w:val="both"/>
        <w:rPr>
          <w:rFonts w:ascii="Arial" w:hAnsi="Arial" w:cs="Arial"/>
          <w:sz w:val="24"/>
          <w:szCs w:val="24"/>
          <w:lang w:val="en-GB"/>
        </w:rPr>
      </w:pPr>
      <w:r w:rsidRPr="00B17C11">
        <w:rPr>
          <w:rFonts w:ascii="Arial" w:hAnsi="Arial" w:cs="Arial"/>
          <w:sz w:val="24"/>
          <w:szCs w:val="24"/>
        </w:rPr>
        <w:t xml:space="preserve">Chapter </w:t>
      </w:r>
      <w:r w:rsidR="0038184B" w:rsidRPr="00B17C11">
        <w:rPr>
          <w:rFonts w:ascii="Arial" w:hAnsi="Arial" w:cs="Arial"/>
          <w:sz w:val="24"/>
          <w:szCs w:val="24"/>
        </w:rPr>
        <w:t>t</w:t>
      </w:r>
      <w:r w:rsidRPr="00B17C11">
        <w:rPr>
          <w:rFonts w:ascii="Arial" w:hAnsi="Arial" w:cs="Arial"/>
          <w:sz w:val="24"/>
          <w:szCs w:val="24"/>
        </w:rPr>
        <w:t xml:space="preserve">wo investigated the historical background of the spoliation remedy to determine its fundamental basis and true essence. It first explained what is meant by possession and how possession began to receive protection through a variety of other remedies similar to the spoliation remedy. It is found that there is a difference of opinion regarding the true nature of the spoliation remedy. The majority view is that </w:t>
      </w:r>
      <w:r w:rsidRPr="00B17C11">
        <w:rPr>
          <w:rFonts w:ascii="Arial" w:hAnsi="Arial" w:cs="Arial"/>
          <w:sz w:val="24"/>
          <w:szCs w:val="24"/>
        </w:rPr>
        <w:lastRenderedPageBreak/>
        <w:t>the spoliation remedy serves to restore possession that was unlawfully deprived</w:t>
      </w:r>
      <w:r w:rsidR="00242739" w:rsidRPr="00B17C11">
        <w:rPr>
          <w:rFonts w:ascii="Arial" w:hAnsi="Arial" w:cs="Arial"/>
          <w:sz w:val="24"/>
          <w:szCs w:val="24"/>
        </w:rPr>
        <w:t xml:space="preserve">. </w:t>
      </w:r>
      <w:r w:rsidR="00C47F96" w:rsidRPr="00B17C11">
        <w:rPr>
          <w:rFonts w:ascii="Arial" w:hAnsi="Arial" w:cs="Arial"/>
          <w:sz w:val="24"/>
          <w:szCs w:val="24"/>
        </w:rPr>
        <w:t>On the</w:t>
      </w:r>
      <w:r w:rsidR="00242739" w:rsidRPr="00B17C11">
        <w:rPr>
          <w:rFonts w:ascii="Arial" w:hAnsi="Arial" w:cs="Arial"/>
          <w:sz w:val="24"/>
          <w:szCs w:val="24"/>
        </w:rPr>
        <w:t xml:space="preserve"> contra</w:t>
      </w:r>
      <w:r w:rsidR="00C47F96" w:rsidRPr="00B17C11">
        <w:rPr>
          <w:rFonts w:ascii="Arial" w:hAnsi="Arial" w:cs="Arial"/>
          <w:sz w:val="24"/>
          <w:szCs w:val="24"/>
        </w:rPr>
        <w:t>ry</w:t>
      </w:r>
      <w:r w:rsidR="00242739" w:rsidRPr="00B17C11">
        <w:rPr>
          <w:rFonts w:ascii="Arial" w:hAnsi="Arial" w:cs="Arial"/>
          <w:sz w:val="24"/>
          <w:szCs w:val="24"/>
        </w:rPr>
        <w:t>,</w:t>
      </w:r>
      <w:r w:rsidRPr="00B17C11">
        <w:rPr>
          <w:rFonts w:ascii="Arial" w:hAnsi="Arial" w:cs="Arial"/>
          <w:sz w:val="24"/>
          <w:szCs w:val="24"/>
        </w:rPr>
        <w:t xml:space="preserve"> the minority view observes that the purpose of the spoliation remedy is the maintenance of peace and order in terms of which the law discourages acts of self-help. The implication in practice takes the following form</w:t>
      </w:r>
      <w:r w:rsidR="0038184B" w:rsidRPr="00B17C11">
        <w:rPr>
          <w:rFonts w:ascii="Arial" w:hAnsi="Arial" w:cs="Arial"/>
          <w:sz w:val="24"/>
          <w:szCs w:val="24"/>
        </w:rPr>
        <w:t>:</w:t>
      </w:r>
      <w:r w:rsidRPr="00B17C11">
        <w:rPr>
          <w:rFonts w:ascii="Arial" w:hAnsi="Arial" w:cs="Arial"/>
          <w:sz w:val="24"/>
          <w:szCs w:val="24"/>
        </w:rPr>
        <w:t xml:space="preserve"> On the one hand, the proponents of the majority view believe that the spoliation remedy should not be relied upon where the despoiled thing is destroyed.</w:t>
      </w:r>
      <w:r w:rsidRPr="00B17C11">
        <w:rPr>
          <w:rStyle w:val="FootnoteReference"/>
          <w:rFonts w:ascii="Arial" w:hAnsi="Arial" w:cs="Arial"/>
          <w:sz w:val="24"/>
          <w:szCs w:val="24"/>
        </w:rPr>
        <w:footnoteReference w:id="465"/>
      </w:r>
      <w:r w:rsidRPr="00B17C11">
        <w:rPr>
          <w:rFonts w:ascii="Arial" w:hAnsi="Arial" w:cs="Arial"/>
          <w:sz w:val="24"/>
          <w:szCs w:val="24"/>
        </w:rPr>
        <w:t xml:space="preserve"> On the other hand, the proponents of the minority view - those who believe that the purpose of the spoliation remedy is to protect public order and peace </w:t>
      </w:r>
      <w:r w:rsidR="0038184B" w:rsidRPr="00B17C11">
        <w:rPr>
          <w:rFonts w:ascii="Arial" w:hAnsi="Arial" w:cs="Arial"/>
          <w:sz w:val="24"/>
          <w:szCs w:val="24"/>
        </w:rPr>
        <w:t>–</w:t>
      </w:r>
      <w:r w:rsidRPr="00B17C11">
        <w:rPr>
          <w:rFonts w:ascii="Arial" w:hAnsi="Arial" w:cs="Arial"/>
          <w:sz w:val="24"/>
          <w:szCs w:val="24"/>
        </w:rPr>
        <w:t xml:space="preserve"> </w:t>
      </w:r>
      <w:r w:rsidR="0038184B" w:rsidRPr="00B17C11">
        <w:rPr>
          <w:rFonts w:ascii="Arial" w:hAnsi="Arial" w:cs="Arial"/>
          <w:sz w:val="24"/>
          <w:szCs w:val="24"/>
        </w:rPr>
        <w:t>advocate that</w:t>
      </w:r>
      <w:r w:rsidR="00C47F96" w:rsidRPr="00B17C11">
        <w:rPr>
          <w:rFonts w:ascii="Arial" w:hAnsi="Arial" w:cs="Arial"/>
          <w:sz w:val="24"/>
          <w:szCs w:val="24"/>
        </w:rPr>
        <w:t xml:space="preserve"> </w:t>
      </w:r>
      <w:r w:rsidRPr="00B17C11">
        <w:rPr>
          <w:rFonts w:ascii="Arial" w:hAnsi="Arial" w:cs="Arial"/>
          <w:sz w:val="24"/>
          <w:szCs w:val="24"/>
        </w:rPr>
        <w:t xml:space="preserve">an alternative order can be made by </w:t>
      </w:r>
      <w:r w:rsidR="0038184B" w:rsidRPr="00B17C11">
        <w:rPr>
          <w:rFonts w:ascii="Arial" w:hAnsi="Arial" w:cs="Arial"/>
          <w:sz w:val="24"/>
          <w:szCs w:val="24"/>
        </w:rPr>
        <w:t>a</w:t>
      </w:r>
      <w:r w:rsidRPr="00B17C11">
        <w:rPr>
          <w:rFonts w:ascii="Arial" w:hAnsi="Arial" w:cs="Arial"/>
          <w:sz w:val="24"/>
          <w:szCs w:val="24"/>
        </w:rPr>
        <w:t xml:space="preserve"> court where the despoiled thing is destroyed.</w:t>
      </w:r>
      <w:r w:rsidRPr="00B17C11">
        <w:rPr>
          <w:rStyle w:val="FootnoteReference"/>
          <w:rFonts w:ascii="Arial" w:hAnsi="Arial" w:cs="Arial"/>
          <w:sz w:val="24"/>
          <w:szCs w:val="24"/>
        </w:rPr>
        <w:footnoteReference w:id="466"/>
      </w:r>
    </w:p>
    <w:p w14:paraId="58B5E573" w14:textId="1336C2AB"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The premise of this research is more agreeable with the minority view. </w:t>
      </w:r>
      <w:r w:rsidR="008B6269" w:rsidRPr="00B17C11">
        <w:rPr>
          <w:rFonts w:ascii="Arial" w:hAnsi="Arial" w:cs="Arial"/>
          <w:sz w:val="24"/>
          <w:szCs w:val="24"/>
        </w:rPr>
        <w:t>F</w:t>
      </w:r>
      <w:r w:rsidRPr="00B17C11">
        <w:rPr>
          <w:rFonts w:ascii="Arial" w:hAnsi="Arial" w:cs="Arial"/>
          <w:sz w:val="24"/>
          <w:szCs w:val="24"/>
        </w:rPr>
        <w:t xml:space="preserve">or the spoliation remedy to be extended to instances where acts of self-help are committed by persons other than those with an interest in the land, it must be accepted that the spoliation remedy functions to preserve public peace and order by discouraging acts of self-help and not only as a remedy for the restoration of possession. This understanding will furthermore resolve the oppression arising from cases where property owners deprive occupants of their peaceful and undisturbed possession by utterly destroying their buildings, then relying on the defence of </w:t>
      </w:r>
      <w:r w:rsidR="000A5C36" w:rsidRPr="00B17C11">
        <w:rPr>
          <w:rFonts w:ascii="Arial" w:hAnsi="Arial" w:cs="Arial"/>
          <w:sz w:val="24"/>
          <w:szCs w:val="24"/>
        </w:rPr>
        <w:t xml:space="preserve">the </w:t>
      </w:r>
      <w:r w:rsidRPr="00B17C11">
        <w:rPr>
          <w:rFonts w:ascii="Arial" w:hAnsi="Arial" w:cs="Arial"/>
          <w:sz w:val="24"/>
          <w:szCs w:val="24"/>
        </w:rPr>
        <w:t>impossibility of restoration. If</w:t>
      </w:r>
      <w:r w:rsidR="000A5C36" w:rsidRPr="00B17C11">
        <w:rPr>
          <w:rFonts w:ascii="Arial" w:hAnsi="Arial" w:cs="Arial"/>
          <w:sz w:val="24"/>
          <w:szCs w:val="24"/>
        </w:rPr>
        <w:t>,</w:t>
      </w:r>
      <w:r w:rsidRPr="00B17C11">
        <w:rPr>
          <w:rFonts w:ascii="Arial" w:hAnsi="Arial" w:cs="Arial"/>
          <w:sz w:val="24"/>
          <w:szCs w:val="24"/>
        </w:rPr>
        <w:t xml:space="preserve"> in these cases, court</w:t>
      </w:r>
      <w:r w:rsidR="00CB1244" w:rsidRPr="00B17C11">
        <w:rPr>
          <w:rFonts w:ascii="Arial" w:hAnsi="Arial" w:cs="Arial"/>
          <w:sz w:val="24"/>
          <w:szCs w:val="24"/>
        </w:rPr>
        <w:t>s</w:t>
      </w:r>
      <w:r w:rsidRPr="00B17C11">
        <w:rPr>
          <w:rFonts w:ascii="Arial" w:hAnsi="Arial" w:cs="Arial"/>
          <w:sz w:val="24"/>
          <w:szCs w:val="24"/>
        </w:rPr>
        <w:t xml:space="preserve"> can be allowed to make an alternative order, owners would be fearful of taking matters into their own hands and refrain from destroying propert</w:t>
      </w:r>
      <w:r w:rsidR="00AF1197" w:rsidRPr="00B17C11">
        <w:rPr>
          <w:rFonts w:ascii="Arial" w:hAnsi="Arial" w:cs="Arial"/>
          <w:sz w:val="24"/>
          <w:szCs w:val="24"/>
        </w:rPr>
        <w:t>y</w:t>
      </w:r>
      <w:r w:rsidRPr="00B17C11">
        <w:rPr>
          <w:rFonts w:ascii="Arial" w:hAnsi="Arial" w:cs="Arial"/>
          <w:sz w:val="24"/>
          <w:szCs w:val="24"/>
        </w:rPr>
        <w:t xml:space="preserve"> only to rely on the defence of impossibility or the fact that the property is destroyed. With this in mind, it will also be important to guard against converting the spoliation remedy </w:t>
      </w:r>
      <w:r w:rsidR="0038184B" w:rsidRPr="00B17C11">
        <w:rPr>
          <w:rFonts w:ascii="Arial" w:hAnsi="Arial" w:cs="Arial"/>
          <w:sz w:val="24"/>
          <w:szCs w:val="24"/>
        </w:rPr>
        <w:t>in</w:t>
      </w:r>
      <w:r w:rsidRPr="00B17C11">
        <w:rPr>
          <w:rFonts w:ascii="Arial" w:hAnsi="Arial" w:cs="Arial"/>
          <w:sz w:val="24"/>
          <w:szCs w:val="24"/>
        </w:rPr>
        <w:t xml:space="preserve">to a different and wider remedy than one received in South African Law. Caution should be </w:t>
      </w:r>
      <w:proofErr w:type="spellStart"/>
      <w:r w:rsidR="0038184B" w:rsidRPr="00B17C11">
        <w:rPr>
          <w:rFonts w:ascii="Arial" w:hAnsi="Arial" w:cs="Arial"/>
          <w:sz w:val="24"/>
          <w:szCs w:val="24"/>
        </w:rPr>
        <w:t>exers</w:t>
      </w:r>
      <w:r w:rsidRPr="00B17C11">
        <w:rPr>
          <w:rFonts w:ascii="Arial" w:hAnsi="Arial" w:cs="Arial"/>
          <w:sz w:val="24"/>
          <w:szCs w:val="24"/>
        </w:rPr>
        <w:t>ised</w:t>
      </w:r>
      <w:proofErr w:type="spellEnd"/>
      <w:r w:rsidRPr="00B17C11">
        <w:rPr>
          <w:rFonts w:ascii="Arial" w:hAnsi="Arial" w:cs="Arial"/>
          <w:sz w:val="24"/>
          <w:szCs w:val="24"/>
        </w:rPr>
        <w:t xml:space="preserve"> to ensure that the implementation of said extension does not cause the remedy to lose its possessory function in favour of different objectives.</w:t>
      </w:r>
      <w:r w:rsidRPr="00B17C11">
        <w:rPr>
          <w:rStyle w:val="FootnoteReference"/>
          <w:rFonts w:ascii="Arial" w:hAnsi="Arial" w:cs="Arial"/>
          <w:sz w:val="24"/>
          <w:szCs w:val="24"/>
        </w:rPr>
        <w:footnoteReference w:id="467"/>
      </w:r>
    </w:p>
    <w:p w14:paraId="55305AB3" w14:textId="188C3F01"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Chapter </w:t>
      </w:r>
      <w:r w:rsidR="0038184B" w:rsidRPr="00B17C11">
        <w:rPr>
          <w:rFonts w:ascii="Arial" w:hAnsi="Arial" w:cs="Arial"/>
          <w:sz w:val="24"/>
          <w:szCs w:val="24"/>
        </w:rPr>
        <w:t>t</w:t>
      </w:r>
      <w:r w:rsidR="004F6A58" w:rsidRPr="00B17C11">
        <w:rPr>
          <w:rFonts w:ascii="Arial" w:hAnsi="Arial" w:cs="Arial"/>
          <w:sz w:val="24"/>
          <w:szCs w:val="24"/>
        </w:rPr>
        <w:t>hree</w:t>
      </w:r>
      <w:r w:rsidRPr="00B17C11">
        <w:rPr>
          <w:rFonts w:ascii="Arial" w:hAnsi="Arial" w:cs="Arial"/>
          <w:sz w:val="24"/>
          <w:szCs w:val="24"/>
        </w:rPr>
        <w:t xml:space="preserve"> focused on the concept of</w:t>
      </w:r>
      <w:r w:rsidRPr="00B17C11">
        <w:rPr>
          <w:rFonts w:ascii="Arial" w:hAnsi="Arial" w:cs="Arial"/>
          <w:i/>
          <w:iCs/>
          <w:sz w:val="24"/>
          <w:szCs w:val="24"/>
        </w:rPr>
        <w:t xml:space="preserve"> quasi</w:t>
      </w:r>
      <w:r w:rsidRPr="00B17C11">
        <w:rPr>
          <w:rFonts w:ascii="Arial" w:hAnsi="Arial" w:cs="Arial"/>
          <w:sz w:val="24"/>
          <w:szCs w:val="24"/>
        </w:rPr>
        <w:t>-possession and how it was adopted in South African law before the</w:t>
      </w:r>
      <w:r w:rsidR="0038184B" w:rsidRPr="00B17C11">
        <w:rPr>
          <w:rFonts w:ascii="Arial" w:hAnsi="Arial" w:cs="Arial"/>
          <w:sz w:val="24"/>
          <w:szCs w:val="24"/>
        </w:rPr>
        <w:t xml:space="preserve"> advent of the</w:t>
      </w:r>
      <w:r w:rsidRPr="00B17C11">
        <w:rPr>
          <w:rFonts w:ascii="Arial" w:hAnsi="Arial" w:cs="Arial"/>
          <w:sz w:val="24"/>
          <w:szCs w:val="24"/>
        </w:rPr>
        <w:t xml:space="preserve"> 1996 </w:t>
      </w:r>
      <w:r w:rsidRPr="00B17C11">
        <w:rPr>
          <w:rFonts w:ascii="Arial" w:hAnsi="Arial" w:cs="Arial"/>
          <w:i/>
          <w:iCs/>
          <w:sz w:val="24"/>
          <w:szCs w:val="24"/>
        </w:rPr>
        <w:t>Constitution</w:t>
      </w:r>
      <w:r w:rsidRPr="00B17C11">
        <w:rPr>
          <w:rFonts w:ascii="Arial" w:hAnsi="Arial" w:cs="Arial"/>
          <w:sz w:val="24"/>
          <w:szCs w:val="24"/>
        </w:rPr>
        <w:t xml:space="preserve">. It is found that the </w:t>
      </w:r>
      <w:r w:rsidRPr="00B17C11">
        <w:rPr>
          <w:rFonts w:ascii="Arial" w:hAnsi="Arial" w:cs="Arial"/>
          <w:sz w:val="24"/>
          <w:szCs w:val="24"/>
        </w:rPr>
        <w:lastRenderedPageBreak/>
        <w:t xml:space="preserve">concept of </w:t>
      </w:r>
      <w:r w:rsidRPr="00B17C11">
        <w:rPr>
          <w:rFonts w:ascii="Arial" w:hAnsi="Arial" w:cs="Arial"/>
          <w:i/>
          <w:iCs/>
          <w:sz w:val="24"/>
          <w:szCs w:val="24"/>
        </w:rPr>
        <w:t>quasi</w:t>
      </w:r>
      <w:r w:rsidRPr="00B17C11">
        <w:rPr>
          <w:rFonts w:ascii="Arial" w:hAnsi="Arial" w:cs="Arial"/>
          <w:sz w:val="24"/>
          <w:szCs w:val="24"/>
        </w:rPr>
        <w:t xml:space="preserve">-possession is historically justified in South African law. However, the major hassle experienced by our courts following the adoption of </w:t>
      </w:r>
      <w:r w:rsidRPr="00B17C11">
        <w:rPr>
          <w:rFonts w:ascii="Arial" w:hAnsi="Arial" w:cs="Arial"/>
          <w:i/>
          <w:iCs/>
          <w:sz w:val="24"/>
          <w:szCs w:val="24"/>
        </w:rPr>
        <w:t>quasi</w:t>
      </w:r>
      <w:r w:rsidRPr="00B17C11">
        <w:rPr>
          <w:rFonts w:ascii="Arial" w:hAnsi="Arial" w:cs="Arial"/>
          <w:sz w:val="24"/>
          <w:szCs w:val="24"/>
        </w:rPr>
        <w:t xml:space="preserve">-possession was the determination of the peaceful and undisturbed possession requirement. Initially, the applicant was required to prove on the balance of probabilities that he had a right to an incorporeal thing or that he </w:t>
      </w:r>
      <w:r w:rsidR="00B67F98" w:rsidRPr="00B17C11">
        <w:rPr>
          <w:rFonts w:ascii="Arial" w:hAnsi="Arial" w:cs="Arial"/>
          <w:sz w:val="24"/>
          <w:szCs w:val="24"/>
        </w:rPr>
        <w:t>was</w:t>
      </w:r>
      <w:r w:rsidRPr="00B17C11">
        <w:rPr>
          <w:rFonts w:ascii="Arial" w:hAnsi="Arial" w:cs="Arial"/>
          <w:sz w:val="24"/>
          <w:szCs w:val="24"/>
        </w:rPr>
        <w:t xml:space="preserve"> the holder of the alleged right in order to establish the peaceful and undisturbed requirement in </w:t>
      </w:r>
      <w:r w:rsidRPr="00B17C11">
        <w:rPr>
          <w:rFonts w:ascii="Arial" w:hAnsi="Arial" w:cs="Arial"/>
          <w:i/>
          <w:iCs/>
          <w:sz w:val="24"/>
          <w:szCs w:val="24"/>
        </w:rPr>
        <w:t>quasi</w:t>
      </w:r>
      <w:r w:rsidRPr="00B17C11">
        <w:rPr>
          <w:rFonts w:ascii="Arial" w:hAnsi="Arial" w:cs="Arial"/>
          <w:sz w:val="24"/>
          <w:szCs w:val="24"/>
        </w:rPr>
        <w:t>-possession cases. Later, it was determined that the applicant need not prove his right to an incorporeal thing in spoliation proceedings, but the actual or factual exercise of the right in question.</w:t>
      </w:r>
      <w:r w:rsidRPr="00B17C11">
        <w:rPr>
          <w:rStyle w:val="FootnoteReference"/>
          <w:rFonts w:ascii="Arial" w:hAnsi="Arial" w:cs="Arial"/>
          <w:sz w:val="24"/>
          <w:szCs w:val="24"/>
        </w:rPr>
        <w:footnoteReference w:id="468"/>
      </w:r>
    </w:p>
    <w:p w14:paraId="3B14616A" w14:textId="1F28EC6E"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Seeing that an incorporeal thing is incapable of being possessed physically in the same way that corporeal things are possessed, the element of physical possession in standard cases was replaced by actual use or </w:t>
      </w:r>
      <w:r w:rsidR="000D0665" w:rsidRPr="00B17C11">
        <w:rPr>
          <w:rFonts w:ascii="Arial" w:hAnsi="Arial" w:cs="Arial"/>
          <w:sz w:val="24"/>
          <w:szCs w:val="24"/>
        </w:rPr>
        <w:t>‘</w:t>
      </w:r>
      <w:proofErr w:type="spellStart"/>
      <w:r w:rsidRPr="00B17C11">
        <w:rPr>
          <w:rFonts w:ascii="Arial" w:hAnsi="Arial" w:cs="Arial"/>
          <w:i/>
          <w:iCs/>
          <w:sz w:val="24"/>
          <w:szCs w:val="24"/>
        </w:rPr>
        <w:t>gebruiksreg</w:t>
      </w:r>
      <w:proofErr w:type="spellEnd"/>
      <w:r w:rsidR="000D0665" w:rsidRPr="00B17C11">
        <w:rPr>
          <w:rFonts w:ascii="Arial" w:hAnsi="Arial" w:cs="Arial"/>
          <w:i/>
          <w:iCs/>
          <w:sz w:val="24"/>
          <w:szCs w:val="24"/>
        </w:rPr>
        <w:t>’</w:t>
      </w:r>
      <w:r w:rsidRPr="00B17C11">
        <w:rPr>
          <w:rFonts w:ascii="Arial" w:hAnsi="Arial" w:cs="Arial"/>
          <w:sz w:val="24"/>
          <w:szCs w:val="24"/>
        </w:rPr>
        <w:t xml:space="preserve"> in </w:t>
      </w:r>
      <w:r w:rsidRPr="00B17C11">
        <w:rPr>
          <w:rFonts w:ascii="Arial" w:hAnsi="Arial" w:cs="Arial"/>
          <w:i/>
          <w:iCs/>
          <w:sz w:val="24"/>
          <w:szCs w:val="24"/>
        </w:rPr>
        <w:t>quasi</w:t>
      </w:r>
      <w:r w:rsidRPr="00B17C11">
        <w:rPr>
          <w:rFonts w:ascii="Arial" w:hAnsi="Arial" w:cs="Arial"/>
          <w:sz w:val="24"/>
          <w:szCs w:val="24"/>
        </w:rPr>
        <w:t>-possession cases.</w:t>
      </w:r>
      <w:r w:rsidRPr="00B17C11">
        <w:rPr>
          <w:rStyle w:val="FootnoteReference"/>
          <w:rFonts w:ascii="Arial" w:hAnsi="Arial" w:cs="Arial"/>
          <w:sz w:val="24"/>
          <w:szCs w:val="24"/>
        </w:rPr>
        <w:footnoteReference w:id="469"/>
      </w:r>
      <w:r w:rsidRPr="00B17C11">
        <w:rPr>
          <w:rFonts w:ascii="Arial" w:hAnsi="Arial" w:cs="Arial"/>
          <w:sz w:val="24"/>
          <w:szCs w:val="24"/>
        </w:rPr>
        <w:t xml:space="preserve"> </w:t>
      </w:r>
      <w:r w:rsidRPr="00B17C11">
        <w:rPr>
          <w:rFonts w:ascii="Arial" w:hAnsi="Arial" w:cs="Arial"/>
          <w:sz w:val="24"/>
          <w:szCs w:val="24"/>
          <w:lang w:val="en-GB"/>
        </w:rPr>
        <w:t xml:space="preserve">For instance, </w:t>
      </w:r>
      <w:r w:rsidRPr="00B17C11">
        <w:rPr>
          <w:rFonts w:ascii="Arial" w:hAnsi="Arial" w:cs="Arial"/>
          <w:sz w:val="24"/>
          <w:szCs w:val="24"/>
        </w:rPr>
        <w:t xml:space="preserve">in respect of servitudes, the peaceful and undisturbed requirement is determined by indicating the actual use of </w:t>
      </w:r>
      <w:r w:rsidR="000A5C36" w:rsidRPr="00B17C11">
        <w:rPr>
          <w:rFonts w:ascii="Arial" w:hAnsi="Arial" w:cs="Arial"/>
          <w:sz w:val="24"/>
          <w:szCs w:val="24"/>
        </w:rPr>
        <w:t xml:space="preserve">a </w:t>
      </w:r>
      <w:r w:rsidRPr="00B17C11">
        <w:rPr>
          <w:rFonts w:ascii="Arial" w:hAnsi="Arial" w:cs="Arial"/>
          <w:sz w:val="24"/>
          <w:szCs w:val="24"/>
        </w:rPr>
        <w:t xml:space="preserve">servitude or the exercise of acts associated with the alleged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w:t>
      </w:r>
      <w:r w:rsidRPr="00B17C11">
        <w:rPr>
          <w:rStyle w:val="FootnoteReference"/>
          <w:rFonts w:ascii="Arial" w:hAnsi="Arial" w:cs="Arial"/>
          <w:sz w:val="24"/>
          <w:szCs w:val="24"/>
        </w:rPr>
        <w:footnoteReference w:id="470"/>
      </w:r>
      <w:r w:rsidRPr="00B17C11">
        <w:rPr>
          <w:rFonts w:ascii="Arial" w:hAnsi="Arial" w:cs="Arial"/>
          <w:sz w:val="24"/>
          <w:szCs w:val="24"/>
        </w:rPr>
        <w:t xml:space="preserve"> Therefore, it is not necessary to prove the existence of a servitude</w:t>
      </w:r>
      <w:r w:rsidR="000A5C36" w:rsidRPr="00B17C11">
        <w:rPr>
          <w:rFonts w:ascii="Arial" w:hAnsi="Arial" w:cs="Arial"/>
          <w:sz w:val="24"/>
          <w:szCs w:val="24"/>
        </w:rPr>
        <w:t>. T</w:t>
      </w:r>
      <w:r w:rsidRPr="00B17C11">
        <w:rPr>
          <w:rFonts w:ascii="Arial" w:hAnsi="Arial" w:cs="Arial"/>
          <w:sz w:val="24"/>
          <w:szCs w:val="24"/>
        </w:rPr>
        <w:t xml:space="preserve">he actual exercise of the alleged right is sufficient for the court to grant the spoliation order to the applicant. Likewise, in the case of </w:t>
      </w:r>
      <w:r w:rsidRPr="00B17C11">
        <w:rPr>
          <w:rFonts w:ascii="Arial" w:hAnsi="Arial" w:cs="Arial"/>
          <w:i/>
          <w:iCs/>
          <w:sz w:val="24"/>
          <w:szCs w:val="24"/>
        </w:rPr>
        <w:t>quasi</w:t>
      </w:r>
      <w:r w:rsidRPr="00B17C11">
        <w:rPr>
          <w:rFonts w:ascii="Arial" w:hAnsi="Arial" w:cs="Arial"/>
          <w:sz w:val="24"/>
          <w:szCs w:val="24"/>
        </w:rPr>
        <w:t>-possession of non-</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the applicant had to prove that the alleged right is incidental to </w:t>
      </w:r>
      <w:r w:rsidR="00FE0809" w:rsidRPr="00B17C11">
        <w:rPr>
          <w:rFonts w:ascii="Arial" w:hAnsi="Arial" w:cs="Arial"/>
          <w:sz w:val="24"/>
          <w:szCs w:val="24"/>
        </w:rPr>
        <w:t xml:space="preserve">the </w:t>
      </w:r>
      <w:r w:rsidRPr="00B17C11">
        <w:rPr>
          <w:rFonts w:ascii="Arial" w:hAnsi="Arial" w:cs="Arial"/>
          <w:sz w:val="24"/>
          <w:szCs w:val="24"/>
        </w:rPr>
        <w:t>possession of a corporeal thing.</w:t>
      </w:r>
      <w:r w:rsidRPr="00B17C11">
        <w:rPr>
          <w:rStyle w:val="FootnoteReference"/>
          <w:rFonts w:ascii="Arial" w:hAnsi="Arial" w:cs="Arial"/>
          <w:sz w:val="24"/>
          <w:szCs w:val="24"/>
        </w:rPr>
        <w:footnoteReference w:id="471"/>
      </w:r>
      <w:r w:rsidRPr="00B17C11">
        <w:rPr>
          <w:rFonts w:ascii="Arial" w:hAnsi="Arial" w:cs="Arial"/>
          <w:sz w:val="24"/>
          <w:szCs w:val="24"/>
        </w:rPr>
        <w:t xml:space="preserve"> It was</w:t>
      </w:r>
      <w:r w:rsidR="000A5C36" w:rsidRPr="00B17C11">
        <w:rPr>
          <w:rFonts w:ascii="Arial" w:hAnsi="Arial" w:cs="Arial"/>
          <w:sz w:val="24"/>
          <w:szCs w:val="24"/>
        </w:rPr>
        <w:t>,</w:t>
      </w:r>
      <w:r w:rsidRPr="00B17C11">
        <w:rPr>
          <w:rFonts w:ascii="Arial" w:hAnsi="Arial" w:cs="Arial"/>
          <w:sz w:val="24"/>
          <w:szCs w:val="24"/>
        </w:rPr>
        <w:t xml:space="preserve"> therefore</w:t>
      </w:r>
      <w:r w:rsidR="000A5C36" w:rsidRPr="00B17C11">
        <w:rPr>
          <w:rFonts w:ascii="Arial" w:hAnsi="Arial" w:cs="Arial"/>
          <w:sz w:val="24"/>
          <w:szCs w:val="24"/>
        </w:rPr>
        <w:t>,</w:t>
      </w:r>
      <w:r w:rsidRPr="00B17C11">
        <w:rPr>
          <w:rFonts w:ascii="Arial" w:hAnsi="Arial" w:cs="Arial"/>
          <w:sz w:val="24"/>
          <w:szCs w:val="24"/>
        </w:rPr>
        <w:t xml:space="preserve"> accepted that the </w:t>
      </w:r>
      <w:r w:rsidRPr="00B17C11">
        <w:rPr>
          <w:rFonts w:ascii="Arial" w:hAnsi="Arial" w:cs="Arial"/>
          <w:i/>
          <w:iCs/>
          <w:sz w:val="24"/>
          <w:szCs w:val="24"/>
        </w:rPr>
        <w:t>quasi</w:t>
      </w:r>
      <w:r w:rsidRPr="00B17C11">
        <w:rPr>
          <w:rFonts w:ascii="Arial" w:hAnsi="Arial" w:cs="Arial"/>
          <w:sz w:val="24"/>
          <w:szCs w:val="24"/>
        </w:rPr>
        <w:t>-possession lies in the actual use of the alleged right.</w:t>
      </w:r>
    </w:p>
    <w:p w14:paraId="3B8CF486" w14:textId="3BCDE12A" w:rsidR="000A5C36"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Chapter </w:t>
      </w:r>
      <w:r w:rsidR="000D0665" w:rsidRPr="00B17C11">
        <w:rPr>
          <w:rFonts w:ascii="Arial" w:hAnsi="Arial" w:cs="Arial"/>
          <w:sz w:val="24"/>
          <w:szCs w:val="24"/>
        </w:rPr>
        <w:t>f</w:t>
      </w:r>
      <w:r w:rsidR="004F6A58" w:rsidRPr="00B17C11">
        <w:rPr>
          <w:rFonts w:ascii="Arial" w:hAnsi="Arial" w:cs="Arial"/>
          <w:sz w:val="24"/>
          <w:szCs w:val="24"/>
        </w:rPr>
        <w:t>our</w:t>
      </w:r>
      <w:r w:rsidRPr="00B17C11">
        <w:rPr>
          <w:rFonts w:ascii="Arial" w:hAnsi="Arial" w:cs="Arial"/>
          <w:sz w:val="24"/>
          <w:szCs w:val="24"/>
        </w:rPr>
        <w:t xml:space="preserve"> studied the application of the spoliation remedy </w:t>
      </w:r>
      <w:r w:rsidR="000D0665" w:rsidRPr="00B17C11">
        <w:rPr>
          <w:rFonts w:ascii="Arial" w:hAnsi="Arial" w:cs="Arial"/>
          <w:sz w:val="24"/>
          <w:szCs w:val="24"/>
        </w:rPr>
        <w:t>i</w:t>
      </w:r>
      <w:r w:rsidRPr="00B17C11">
        <w:rPr>
          <w:rFonts w:ascii="Arial" w:hAnsi="Arial" w:cs="Arial"/>
          <w:sz w:val="24"/>
          <w:szCs w:val="24"/>
        </w:rPr>
        <w:t xml:space="preserve">n </w:t>
      </w:r>
      <w:r w:rsidRPr="00B17C11">
        <w:rPr>
          <w:rFonts w:ascii="Arial" w:hAnsi="Arial" w:cs="Arial"/>
          <w:i/>
          <w:iCs/>
          <w:sz w:val="24"/>
          <w:szCs w:val="24"/>
        </w:rPr>
        <w:t>quasi</w:t>
      </w:r>
      <w:r w:rsidRPr="00B17C11">
        <w:rPr>
          <w:rFonts w:ascii="Arial" w:hAnsi="Arial" w:cs="Arial"/>
          <w:sz w:val="24"/>
          <w:szCs w:val="24"/>
        </w:rPr>
        <w:t xml:space="preserve">-possession cases after the 1996 </w:t>
      </w:r>
      <w:r w:rsidRPr="00B17C11">
        <w:rPr>
          <w:rFonts w:ascii="Arial" w:hAnsi="Arial" w:cs="Arial"/>
          <w:i/>
          <w:iCs/>
          <w:sz w:val="24"/>
          <w:szCs w:val="24"/>
        </w:rPr>
        <w:t>Constitution</w:t>
      </w:r>
      <w:r w:rsidR="000D0665" w:rsidRPr="00B17C11">
        <w:rPr>
          <w:rFonts w:ascii="Arial" w:hAnsi="Arial" w:cs="Arial"/>
          <w:i/>
          <w:iCs/>
          <w:sz w:val="24"/>
          <w:szCs w:val="24"/>
        </w:rPr>
        <w:t xml:space="preserve"> </w:t>
      </w:r>
      <w:r w:rsidR="000D0665" w:rsidRPr="00B17C11">
        <w:rPr>
          <w:rFonts w:ascii="Arial" w:hAnsi="Arial" w:cs="Arial"/>
          <w:sz w:val="24"/>
          <w:szCs w:val="24"/>
        </w:rPr>
        <w:t>came into operation</w:t>
      </w:r>
      <w:r w:rsidRPr="00B17C11">
        <w:rPr>
          <w:rFonts w:ascii="Arial" w:hAnsi="Arial" w:cs="Arial"/>
          <w:sz w:val="24"/>
          <w:szCs w:val="24"/>
        </w:rPr>
        <w:t xml:space="preserve">. It is found that the practice of determining the nature of the right to ensure that </w:t>
      </w:r>
      <w:r w:rsidR="000D0665" w:rsidRPr="00B17C11">
        <w:rPr>
          <w:rFonts w:ascii="Arial" w:hAnsi="Arial" w:cs="Arial"/>
          <w:sz w:val="24"/>
          <w:szCs w:val="24"/>
        </w:rPr>
        <w:t xml:space="preserve">these </w:t>
      </w:r>
      <w:r w:rsidRPr="00B17C11">
        <w:rPr>
          <w:rFonts w:ascii="Arial" w:hAnsi="Arial" w:cs="Arial"/>
          <w:sz w:val="24"/>
          <w:szCs w:val="24"/>
        </w:rPr>
        <w:t xml:space="preserve">rights are not derived from contract precipitated the change in the application of the spoliation remedy </w:t>
      </w:r>
      <w:r w:rsidR="00C129B2" w:rsidRPr="00B17C11">
        <w:rPr>
          <w:rFonts w:ascii="Arial" w:hAnsi="Arial" w:cs="Arial"/>
          <w:sz w:val="24"/>
          <w:szCs w:val="24"/>
        </w:rPr>
        <w:t>and</w:t>
      </w:r>
      <w:r w:rsidRPr="00B17C11">
        <w:rPr>
          <w:rFonts w:ascii="Arial" w:hAnsi="Arial" w:cs="Arial"/>
          <w:sz w:val="24"/>
          <w:szCs w:val="24"/>
        </w:rPr>
        <w:t xml:space="preserve"> extended the scope of </w:t>
      </w:r>
      <w:r w:rsidRPr="00B17C11">
        <w:rPr>
          <w:rFonts w:ascii="Arial" w:hAnsi="Arial" w:cs="Arial"/>
          <w:i/>
          <w:iCs/>
          <w:sz w:val="24"/>
          <w:szCs w:val="24"/>
        </w:rPr>
        <w:t>quasi</w:t>
      </w:r>
      <w:r w:rsidRPr="00B17C11">
        <w:rPr>
          <w:rFonts w:ascii="Arial" w:hAnsi="Arial" w:cs="Arial"/>
          <w:sz w:val="24"/>
          <w:szCs w:val="24"/>
        </w:rPr>
        <w:t>-possession rights protectable under the spoliation remedy. For instance, before the</w:t>
      </w:r>
      <w:r w:rsidR="000D0665" w:rsidRPr="00B17C11">
        <w:rPr>
          <w:rFonts w:ascii="Arial" w:hAnsi="Arial" w:cs="Arial"/>
          <w:sz w:val="24"/>
          <w:szCs w:val="24"/>
        </w:rPr>
        <w:t xml:space="preserve"> promulgation of the</w:t>
      </w:r>
      <w:r w:rsidRPr="00B17C11">
        <w:rPr>
          <w:rFonts w:ascii="Arial" w:hAnsi="Arial" w:cs="Arial"/>
          <w:sz w:val="24"/>
          <w:szCs w:val="24"/>
        </w:rPr>
        <w:t xml:space="preserve"> 1996 </w:t>
      </w:r>
      <w:r w:rsidRPr="00B17C11">
        <w:rPr>
          <w:rFonts w:ascii="Arial" w:hAnsi="Arial" w:cs="Arial"/>
          <w:i/>
          <w:iCs/>
          <w:sz w:val="24"/>
          <w:szCs w:val="24"/>
        </w:rPr>
        <w:t>Constitution</w:t>
      </w:r>
      <w:r w:rsidRPr="00B17C11">
        <w:rPr>
          <w:rFonts w:ascii="Arial" w:hAnsi="Arial" w:cs="Arial"/>
          <w:sz w:val="24"/>
          <w:szCs w:val="24"/>
        </w:rPr>
        <w:t xml:space="preserve">, only the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and non-</w:t>
      </w:r>
      <w:proofErr w:type="spellStart"/>
      <w:r w:rsidRPr="00B17C11">
        <w:rPr>
          <w:rFonts w:ascii="Arial" w:hAnsi="Arial" w:cs="Arial"/>
          <w:sz w:val="24"/>
          <w:szCs w:val="24"/>
        </w:rPr>
        <w:t>servitutal</w:t>
      </w:r>
      <w:proofErr w:type="spellEnd"/>
      <w:r w:rsidRPr="00B17C11">
        <w:rPr>
          <w:rFonts w:ascii="Arial" w:hAnsi="Arial" w:cs="Arial"/>
          <w:sz w:val="24"/>
          <w:szCs w:val="24"/>
        </w:rPr>
        <w:t xml:space="preserve"> rights found protection under the spoliation remedy. However, </w:t>
      </w:r>
      <w:r w:rsidR="000D0665" w:rsidRPr="00B17C11">
        <w:rPr>
          <w:rFonts w:ascii="Arial" w:hAnsi="Arial" w:cs="Arial"/>
          <w:sz w:val="24"/>
          <w:szCs w:val="24"/>
        </w:rPr>
        <w:t>there</w:t>
      </w:r>
      <w:r w:rsidRPr="00B17C11">
        <w:rPr>
          <w:rFonts w:ascii="Arial" w:hAnsi="Arial" w:cs="Arial"/>
          <w:sz w:val="24"/>
          <w:szCs w:val="24"/>
        </w:rPr>
        <w:t xml:space="preserve">after , the spoliation remedy was extended to include statutory rights and rights flowing from the </w:t>
      </w:r>
      <w:r w:rsidR="000A5C36" w:rsidRPr="00B17C11">
        <w:rPr>
          <w:rFonts w:ascii="Arial" w:hAnsi="Arial" w:cs="Arial"/>
          <w:i/>
          <w:iCs/>
          <w:sz w:val="24"/>
          <w:szCs w:val="24"/>
        </w:rPr>
        <w:t>C</w:t>
      </w:r>
      <w:r w:rsidRPr="00B17C11">
        <w:rPr>
          <w:rFonts w:ascii="Arial" w:hAnsi="Arial" w:cs="Arial"/>
          <w:i/>
          <w:iCs/>
          <w:sz w:val="24"/>
          <w:szCs w:val="24"/>
        </w:rPr>
        <w:t>onstitution</w:t>
      </w:r>
      <w:r w:rsidRPr="00B17C11">
        <w:rPr>
          <w:rFonts w:ascii="Arial" w:hAnsi="Arial" w:cs="Arial"/>
          <w:sz w:val="24"/>
          <w:szCs w:val="24"/>
        </w:rPr>
        <w:t>.</w:t>
      </w:r>
      <w:r w:rsidRPr="00B17C11">
        <w:rPr>
          <w:rStyle w:val="FootnoteReference"/>
          <w:rFonts w:ascii="Arial" w:hAnsi="Arial" w:cs="Arial"/>
          <w:sz w:val="24"/>
          <w:szCs w:val="24"/>
        </w:rPr>
        <w:footnoteReference w:id="472"/>
      </w:r>
      <w:r w:rsidRPr="00B17C11">
        <w:rPr>
          <w:rFonts w:ascii="Arial" w:hAnsi="Arial" w:cs="Arial"/>
          <w:sz w:val="24"/>
          <w:szCs w:val="24"/>
        </w:rPr>
        <w:t xml:space="preserve"> Owing to this extension, particularly of rights flowing from the </w:t>
      </w:r>
      <w:r w:rsidRPr="00B17C11">
        <w:rPr>
          <w:rFonts w:ascii="Arial" w:hAnsi="Arial" w:cs="Arial"/>
          <w:i/>
          <w:iCs/>
          <w:sz w:val="24"/>
          <w:szCs w:val="24"/>
        </w:rPr>
        <w:t>Constitution</w:t>
      </w:r>
      <w:r w:rsidRPr="00B17C11">
        <w:rPr>
          <w:rFonts w:ascii="Arial" w:hAnsi="Arial" w:cs="Arial"/>
          <w:sz w:val="24"/>
          <w:szCs w:val="24"/>
        </w:rPr>
        <w:t xml:space="preserve">, there has been a sudden </w:t>
      </w:r>
      <w:r w:rsidRPr="00B17C11">
        <w:rPr>
          <w:rFonts w:ascii="Arial" w:hAnsi="Arial" w:cs="Arial"/>
          <w:sz w:val="24"/>
          <w:szCs w:val="24"/>
        </w:rPr>
        <w:lastRenderedPageBreak/>
        <w:t xml:space="preserve">increase in the number of commentators arguing that the </w:t>
      </w:r>
      <w:r w:rsidRPr="00B17C11">
        <w:rPr>
          <w:rFonts w:ascii="Arial" w:hAnsi="Arial" w:cs="Arial"/>
          <w:i/>
          <w:iCs/>
          <w:sz w:val="24"/>
          <w:szCs w:val="24"/>
        </w:rPr>
        <w:t>quasi</w:t>
      </w:r>
      <w:r w:rsidRPr="00B17C11">
        <w:rPr>
          <w:rFonts w:ascii="Arial" w:hAnsi="Arial" w:cs="Arial"/>
          <w:sz w:val="24"/>
          <w:szCs w:val="24"/>
        </w:rPr>
        <w:t>-possession of electricity supply should be considered a constitutional right due to its usefulness in the present day.</w:t>
      </w:r>
      <w:r w:rsidRPr="00B17C11">
        <w:rPr>
          <w:rStyle w:val="FootnoteReference"/>
          <w:rFonts w:ascii="Arial" w:hAnsi="Arial" w:cs="Arial"/>
          <w:sz w:val="24"/>
          <w:szCs w:val="24"/>
        </w:rPr>
        <w:footnoteReference w:id="473"/>
      </w:r>
      <w:r w:rsidRPr="00B17C11">
        <w:rPr>
          <w:rFonts w:ascii="Arial" w:hAnsi="Arial" w:cs="Arial"/>
          <w:sz w:val="24"/>
          <w:szCs w:val="24"/>
        </w:rPr>
        <w:t xml:space="preserve"> This argument cannot be accepted because there is no constitutional right to electricity supply.</w:t>
      </w:r>
    </w:p>
    <w:p w14:paraId="17E9F7ED" w14:textId="49A9E19D"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Furthermore, our courts have so far refused to definitively determine whether residents have a constitutional right to electricity supply. At best, they focus on the violation of other constitutionally protected rights that are infringed due to the disconnection of the electricity supply to grant the spoliation relief. This indicates that notwithstanding the use of the </w:t>
      </w:r>
      <w:r w:rsidRPr="00B17C11">
        <w:rPr>
          <w:rFonts w:ascii="Arial" w:hAnsi="Arial" w:cs="Arial"/>
          <w:i/>
          <w:iCs/>
          <w:sz w:val="24"/>
          <w:szCs w:val="24"/>
        </w:rPr>
        <w:t>Constitution</w:t>
      </w:r>
      <w:r w:rsidRPr="00B17C11">
        <w:rPr>
          <w:rFonts w:ascii="Arial" w:hAnsi="Arial" w:cs="Arial"/>
          <w:sz w:val="24"/>
          <w:szCs w:val="24"/>
        </w:rPr>
        <w:t xml:space="preserve"> as a medium to seek judicial protection for the right to access electricity, the common law remedy of spoliation is still very much at play as courts continue to employ it to restore the supply of electricity.</w:t>
      </w:r>
    </w:p>
    <w:p w14:paraId="05D8FF77" w14:textId="605704CE" w:rsidR="00A14E4D" w:rsidRPr="00B17C11" w:rsidRDefault="00A14E4D" w:rsidP="00A14E4D">
      <w:pPr>
        <w:spacing w:line="360" w:lineRule="auto"/>
        <w:jc w:val="both"/>
        <w:rPr>
          <w:rFonts w:ascii="Arial" w:hAnsi="Arial" w:cs="Arial"/>
          <w:sz w:val="24"/>
          <w:szCs w:val="24"/>
        </w:rPr>
      </w:pPr>
      <w:r w:rsidRPr="00B17C11">
        <w:rPr>
          <w:rFonts w:ascii="Arial" w:hAnsi="Arial" w:cs="Arial"/>
          <w:sz w:val="24"/>
          <w:szCs w:val="24"/>
        </w:rPr>
        <w:t xml:space="preserve">In addition, Chapter </w:t>
      </w:r>
      <w:r w:rsidR="000D0665" w:rsidRPr="00B17C11">
        <w:rPr>
          <w:rFonts w:ascii="Arial" w:hAnsi="Arial" w:cs="Arial"/>
          <w:sz w:val="24"/>
          <w:szCs w:val="24"/>
        </w:rPr>
        <w:t>f</w:t>
      </w:r>
      <w:r w:rsidRPr="00B17C11">
        <w:rPr>
          <w:rFonts w:ascii="Arial" w:hAnsi="Arial" w:cs="Arial"/>
          <w:sz w:val="24"/>
          <w:szCs w:val="24"/>
        </w:rPr>
        <w:t xml:space="preserve">our illustrated how the characterisation of </w:t>
      </w:r>
      <w:r w:rsidR="000D0665" w:rsidRPr="00B17C11">
        <w:rPr>
          <w:rFonts w:ascii="Arial" w:hAnsi="Arial" w:cs="Arial"/>
          <w:sz w:val="24"/>
          <w:szCs w:val="24"/>
        </w:rPr>
        <w:t>a</w:t>
      </w:r>
      <w:r w:rsidRPr="00B17C11">
        <w:rPr>
          <w:rFonts w:ascii="Arial" w:hAnsi="Arial" w:cs="Arial"/>
          <w:sz w:val="24"/>
          <w:szCs w:val="24"/>
        </w:rPr>
        <w:t xml:space="preserve"> right to determine whether its </w:t>
      </w:r>
      <w:r w:rsidRPr="00B17C11">
        <w:rPr>
          <w:rFonts w:ascii="Arial" w:hAnsi="Arial" w:cs="Arial"/>
          <w:i/>
          <w:iCs/>
          <w:sz w:val="24"/>
          <w:szCs w:val="24"/>
        </w:rPr>
        <w:t>quasi</w:t>
      </w:r>
      <w:r w:rsidRPr="00B17C11">
        <w:rPr>
          <w:rFonts w:ascii="Arial" w:hAnsi="Arial" w:cs="Arial"/>
          <w:sz w:val="24"/>
          <w:szCs w:val="24"/>
        </w:rPr>
        <w:t xml:space="preserve">-possession is protectable under the spoliation remedy created confusion regarding the correct formulation of </w:t>
      </w:r>
      <w:r w:rsidR="000D0665" w:rsidRPr="00B17C11">
        <w:rPr>
          <w:rFonts w:ascii="Arial" w:hAnsi="Arial" w:cs="Arial"/>
          <w:sz w:val="24"/>
          <w:szCs w:val="24"/>
        </w:rPr>
        <w:t>the</w:t>
      </w:r>
      <w:r w:rsidRPr="00B17C11">
        <w:rPr>
          <w:rFonts w:ascii="Arial" w:hAnsi="Arial" w:cs="Arial"/>
          <w:sz w:val="24"/>
          <w:szCs w:val="24"/>
        </w:rPr>
        <w:t xml:space="preserve"> incident of possession requirement. This is evident in the discussion of recent judgments. The Supreme Court of Appeal determined that the spoliation remedy should not be granted where the right to receive the supply is purely personal because the mere existence of the supply of a service is insufficient to constitute an incident of possession of the property. The court held that the nature of the right must vest in the person in possession of the property as an incident of his possession.</w:t>
      </w:r>
    </w:p>
    <w:p w14:paraId="5FAB0AF7" w14:textId="35B2C4C5" w:rsidR="00CE2572" w:rsidRPr="00B17C11" w:rsidRDefault="00A14E4D" w:rsidP="00972536">
      <w:pPr>
        <w:spacing w:line="360" w:lineRule="auto"/>
        <w:jc w:val="both"/>
        <w:rPr>
          <w:rFonts w:ascii="Arial" w:hAnsi="Arial" w:cs="Arial"/>
          <w:sz w:val="24"/>
          <w:szCs w:val="24"/>
        </w:rPr>
      </w:pPr>
      <w:r w:rsidRPr="00B17C11">
        <w:rPr>
          <w:rFonts w:ascii="Arial" w:hAnsi="Arial" w:cs="Arial"/>
          <w:sz w:val="24"/>
          <w:szCs w:val="24"/>
        </w:rPr>
        <w:t xml:space="preserve">In the subsequent High Court case, it was suggested that there are also cases where the nature of the alleged </w:t>
      </w:r>
      <w:r w:rsidRPr="00B17C11">
        <w:rPr>
          <w:rFonts w:ascii="Arial" w:hAnsi="Arial" w:cs="Arial"/>
          <w:i/>
          <w:iCs/>
          <w:sz w:val="24"/>
          <w:szCs w:val="24"/>
        </w:rPr>
        <w:t>quasi</w:t>
      </w:r>
      <w:r w:rsidRPr="00B17C11">
        <w:rPr>
          <w:rFonts w:ascii="Arial" w:hAnsi="Arial" w:cs="Arial"/>
          <w:sz w:val="24"/>
          <w:szCs w:val="24"/>
        </w:rPr>
        <w:t xml:space="preserve">-possession right is protectable despite being personal. The court pointed out that these are cases where the despoiled person is not necessarily dissatisfied with the termination of his alleged </w:t>
      </w:r>
      <w:r w:rsidRPr="00B17C11">
        <w:rPr>
          <w:rFonts w:ascii="Arial" w:hAnsi="Arial" w:cs="Arial"/>
          <w:i/>
          <w:iCs/>
          <w:sz w:val="24"/>
          <w:szCs w:val="24"/>
        </w:rPr>
        <w:t>quasi</w:t>
      </w:r>
      <w:r w:rsidRPr="00B17C11">
        <w:rPr>
          <w:rFonts w:ascii="Arial" w:hAnsi="Arial" w:cs="Arial"/>
          <w:sz w:val="24"/>
          <w:szCs w:val="24"/>
        </w:rPr>
        <w:t xml:space="preserve">-possession right to water or electricity supply but with the negative impact that such a termination has on his peaceful and undisturbed exercise of the occupation of the premises. Although the court based its reasoning on the practical necessity of electricity for </w:t>
      </w:r>
      <w:r w:rsidR="000A5C36" w:rsidRPr="00B17C11">
        <w:rPr>
          <w:rFonts w:ascii="Arial" w:hAnsi="Arial" w:cs="Arial"/>
          <w:sz w:val="24"/>
          <w:szCs w:val="24"/>
        </w:rPr>
        <w:t xml:space="preserve">the </w:t>
      </w:r>
      <w:r w:rsidRPr="00B17C11">
        <w:rPr>
          <w:rFonts w:ascii="Arial" w:hAnsi="Arial" w:cs="Arial"/>
          <w:sz w:val="24"/>
          <w:szCs w:val="24"/>
        </w:rPr>
        <w:t>humane occupation of the premises, it was</w:t>
      </w:r>
      <w:r w:rsidR="00021E33" w:rsidRPr="00B17C11">
        <w:rPr>
          <w:rFonts w:ascii="Arial" w:hAnsi="Arial" w:cs="Arial"/>
          <w:sz w:val="24"/>
          <w:szCs w:val="24"/>
        </w:rPr>
        <w:t>,</w:t>
      </w:r>
      <w:r w:rsidR="00F754E6" w:rsidRPr="00B17C11">
        <w:rPr>
          <w:rFonts w:ascii="Arial" w:hAnsi="Arial" w:cs="Arial"/>
          <w:sz w:val="24"/>
          <w:szCs w:val="24"/>
        </w:rPr>
        <w:t xml:space="preserve"> </w:t>
      </w:r>
      <w:r w:rsidRPr="00B17C11">
        <w:rPr>
          <w:rFonts w:ascii="Arial" w:hAnsi="Arial" w:cs="Arial"/>
          <w:sz w:val="24"/>
          <w:szCs w:val="24"/>
        </w:rPr>
        <w:t>however</w:t>
      </w:r>
      <w:r w:rsidR="000A5C36" w:rsidRPr="00B17C11">
        <w:rPr>
          <w:rFonts w:ascii="Arial" w:hAnsi="Arial" w:cs="Arial"/>
          <w:sz w:val="24"/>
          <w:szCs w:val="24"/>
        </w:rPr>
        <w:t>,</w:t>
      </w:r>
      <w:r w:rsidRPr="00B17C11">
        <w:rPr>
          <w:rFonts w:ascii="Arial" w:hAnsi="Arial" w:cs="Arial"/>
          <w:sz w:val="24"/>
          <w:szCs w:val="24"/>
        </w:rPr>
        <w:t xml:space="preserve"> not convinced that a contractual relationship of electricity in itself can constitute an incident of possession and control of the property. Therefore, it was determined that, in these cases, the </w:t>
      </w:r>
      <w:proofErr w:type="spellStart"/>
      <w:r w:rsidRPr="00B17C11">
        <w:rPr>
          <w:rFonts w:ascii="Arial" w:hAnsi="Arial" w:cs="Arial"/>
          <w:i/>
          <w:iCs/>
          <w:sz w:val="24"/>
          <w:szCs w:val="24"/>
        </w:rPr>
        <w:t>spoliatus</w:t>
      </w:r>
      <w:proofErr w:type="spellEnd"/>
      <w:r w:rsidRPr="00B17C11">
        <w:rPr>
          <w:rFonts w:ascii="Arial" w:hAnsi="Arial" w:cs="Arial"/>
          <w:sz w:val="24"/>
          <w:szCs w:val="24"/>
        </w:rPr>
        <w:t xml:space="preserve"> had to prove an incident of possession requirement by demonstrating acts that are usually </w:t>
      </w:r>
      <w:r w:rsidRPr="00B17C11">
        <w:rPr>
          <w:rFonts w:ascii="Arial" w:hAnsi="Arial" w:cs="Arial"/>
          <w:sz w:val="24"/>
          <w:szCs w:val="24"/>
        </w:rPr>
        <w:lastRenderedPageBreak/>
        <w:t xml:space="preserve">associated with the alleged right </w:t>
      </w:r>
      <w:r w:rsidR="000D0665" w:rsidRPr="00B17C11">
        <w:rPr>
          <w:rFonts w:ascii="Arial" w:hAnsi="Arial" w:cs="Arial"/>
          <w:sz w:val="24"/>
          <w:szCs w:val="24"/>
        </w:rPr>
        <w:t>to</w:t>
      </w:r>
      <w:r w:rsidRPr="00B17C11">
        <w:rPr>
          <w:rFonts w:ascii="Arial" w:hAnsi="Arial" w:cs="Arial"/>
          <w:sz w:val="24"/>
          <w:szCs w:val="24"/>
        </w:rPr>
        <w:t xml:space="preserve"> land, such as the use of appurtenances and the right of occupation against the landlord/spoliator.</w:t>
      </w:r>
      <w:r w:rsidR="00CE2572" w:rsidRPr="00B17C11">
        <w:rPr>
          <w:rFonts w:ascii="Arial" w:hAnsi="Arial" w:cs="Arial"/>
          <w:sz w:val="24"/>
          <w:szCs w:val="24"/>
        </w:rPr>
        <w:t xml:space="preserve"> </w:t>
      </w:r>
      <w:r w:rsidR="00A47606" w:rsidRPr="00B17C11">
        <w:rPr>
          <w:rFonts w:ascii="Arial" w:hAnsi="Arial" w:cs="Arial"/>
          <w:sz w:val="24"/>
          <w:szCs w:val="24"/>
        </w:rPr>
        <w:t>Alt</w:t>
      </w:r>
      <w:r w:rsidRPr="00B17C11">
        <w:rPr>
          <w:rFonts w:ascii="Arial" w:hAnsi="Arial" w:cs="Arial"/>
          <w:sz w:val="24"/>
          <w:szCs w:val="24"/>
        </w:rPr>
        <w:t xml:space="preserve">hough the court in </w:t>
      </w:r>
      <w:r w:rsidRPr="00B17C11">
        <w:rPr>
          <w:rFonts w:ascii="Arial" w:hAnsi="Arial" w:cs="Arial"/>
          <w:i/>
          <w:iCs/>
          <w:sz w:val="24"/>
          <w:szCs w:val="24"/>
        </w:rPr>
        <w:t>Harrismith</w:t>
      </w:r>
      <w:r w:rsidRPr="00B17C11">
        <w:rPr>
          <w:rFonts w:ascii="Arial" w:hAnsi="Arial" w:cs="Arial"/>
          <w:sz w:val="24"/>
          <w:szCs w:val="24"/>
        </w:rPr>
        <w:t xml:space="preserve"> appears to have addressed the said limitation by furthermore extending the scope of </w:t>
      </w:r>
      <w:r w:rsidRPr="00B17C11">
        <w:rPr>
          <w:rFonts w:ascii="Arial" w:hAnsi="Arial" w:cs="Arial"/>
          <w:i/>
          <w:iCs/>
          <w:sz w:val="24"/>
          <w:szCs w:val="24"/>
        </w:rPr>
        <w:t>quasi</w:t>
      </w:r>
      <w:r w:rsidRPr="00B17C11">
        <w:rPr>
          <w:rFonts w:ascii="Arial" w:hAnsi="Arial" w:cs="Arial"/>
          <w:sz w:val="24"/>
          <w:szCs w:val="24"/>
        </w:rPr>
        <w:t xml:space="preserve">-possession rights protectable under the spoliation remedy to instances where the spoliator has no interest in the land, it remains uncertain how the court determined </w:t>
      </w:r>
      <w:r w:rsidR="00013475" w:rsidRPr="00B17C11">
        <w:rPr>
          <w:rFonts w:ascii="Arial" w:hAnsi="Arial" w:cs="Arial"/>
          <w:sz w:val="24"/>
          <w:szCs w:val="24"/>
        </w:rPr>
        <w:t>the</w:t>
      </w:r>
      <w:r w:rsidRPr="00B17C11">
        <w:rPr>
          <w:rFonts w:ascii="Arial" w:hAnsi="Arial" w:cs="Arial"/>
          <w:sz w:val="24"/>
          <w:szCs w:val="24"/>
        </w:rPr>
        <w:t xml:space="preserve"> ‘incident of possession requirement’ by relying on previous authorities, yet at the same time, reaching a far antithetical conclusion than one found in </w:t>
      </w:r>
      <w:r w:rsidR="00013475" w:rsidRPr="00B17C11">
        <w:rPr>
          <w:rFonts w:ascii="Arial" w:hAnsi="Arial" w:cs="Arial"/>
          <w:sz w:val="24"/>
          <w:szCs w:val="24"/>
        </w:rPr>
        <w:t xml:space="preserve">the </w:t>
      </w:r>
      <w:r w:rsidRPr="00B17C11">
        <w:rPr>
          <w:rFonts w:ascii="Arial" w:hAnsi="Arial" w:cs="Arial"/>
          <w:sz w:val="24"/>
          <w:szCs w:val="24"/>
        </w:rPr>
        <w:t>authorities relied on.</w:t>
      </w:r>
    </w:p>
    <w:p w14:paraId="0F061B0E" w14:textId="1079E6A5" w:rsidR="00956628" w:rsidRPr="00B17C11" w:rsidRDefault="005333B8" w:rsidP="00956628">
      <w:pPr>
        <w:spacing w:line="360" w:lineRule="auto"/>
        <w:jc w:val="both"/>
        <w:rPr>
          <w:rFonts w:ascii="Arial" w:hAnsi="Arial" w:cs="Arial"/>
          <w:sz w:val="24"/>
          <w:szCs w:val="24"/>
        </w:rPr>
      </w:pPr>
      <w:r w:rsidRPr="00B17C11">
        <w:rPr>
          <w:rFonts w:ascii="Arial" w:hAnsi="Arial" w:cs="Arial"/>
          <w:sz w:val="24"/>
          <w:szCs w:val="24"/>
        </w:rPr>
        <w:t>Addition</w:t>
      </w:r>
      <w:r w:rsidR="00956628" w:rsidRPr="00B17C11">
        <w:rPr>
          <w:rFonts w:ascii="Arial" w:hAnsi="Arial" w:cs="Arial"/>
          <w:sz w:val="24"/>
          <w:szCs w:val="24"/>
        </w:rPr>
        <w:t xml:space="preserve">ally, a spoliation order that is granted on the basis that the </w:t>
      </w:r>
      <w:r w:rsidR="00956628" w:rsidRPr="00B17C11">
        <w:rPr>
          <w:rFonts w:ascii="Arial" w:hAnsi="Arial" w:cs="Arial"/>
          <w:i/>
          <w:iCs/>
          <w:sz w:val="24"/>
          <w:szCs w:val="24"/>
        </w:rPr>
        <w:t>quasi</w:t>
      </w:r>
      <w:r w:rsidR="00956628" w:rsidRPr="00B17C11">
        <w:rPr>
          <w:rFonts w:ascii="Arial" w:hAnsi="Arial" w:cs="Arial"/>
          <w:sz w:val="24"/>
          <w:szCs w:val="24"/>
        </w:rPr>
        <w:t xml:space="preserve">-possession of a right is incidental to the occupation of the premises is often awarded </w:t>
      </w:r>
      <w:r w:rsidR="00013475" w:rsidRPr="00B17C11">
        <w:rPr>
          <w:rFonts w:ascii="Arial" w:hAnsi="Arial" w:cs="Arial"/>
          <w:sz w:val="24"/>
          <w:szCs w:val="24"/>
        </w:rPr>
        <w:t>in</w:t>
      </w:r>
      <w:r w:rsidR="00956628" w:rsidRPr="00B17C11">
        <w:rPr>
          <w:rFonts w:ascii="Arial" w:hAnsi="Arial" w:cs="Arial"/>
          <w:sz w:val="24"/>
          <w:szCs w:val="24"/>
        </w:rPr>
        <w:t xml:space="preserve"> cases where the </w:t>
      </w:r>
      <w:proofErr w:type="spellStart"/>
      <w:r w:rsidR="00956628" w:rsidRPr="00B17C11">
        <w:rPr>
          <w:rFonts w:ascii="Arial" w:hAnsi="Arial" w:cs="Arial"/>
          <w:i/>
          <w:iCs/>
          <w:sz w:val="24"/>
          <w:szCs w:val="24"/>
        </w:rPr>
        <w:t>spoliatus</w:t>
      </w:r>
      <w:proofErr w:type="spellEnd"/>
      <w:r w:rsidR="00956628" w:rsidRPr="00B17C11">
        <w:rPr>
          <w:rFonts w:ascii="Arial" w:hAnsi="Arial" w:cs="Arial"/>
          <w:i/>
          <w:iCs/>
          <w:sz w:val="24"/>
          <w:szCs w:val="24"/>
        </w:rPr>
        <w:t xml:space="preserve"> </w:t>
      </w:r>
      <w:r w:rsidR="00956628" w:rsidRPr="00B17C11">
        <w:rPr>
          <w:rFonts w:ascii="Arial" w:hAnsi="Arial" w:cs="Arial"/>
          <w:sz w:val="24"/>
          <w:szCs w:val="24"/>
        </w:rPr>
        <w:t xml:space="preserve">had a lease agreement over the premises or was allowed to use the premises for some other reason – it is hardly ever cases where the </w:t>
      </w:r>
      <w:proofErr w:type="spellStart"/>
      <w:r w:rsidR="00956628" w:rsidRPr="00B17C11">
        <w:rPr>
          <w:rFonts w:ascii="Arial" w:hAnsi="Arial" w:cs="Arial"/>
          <w:i/>
          <w:iCs/>
          <w:sz w:val="24"/>
          <w:szCs w:val="24"/>
        </w:rPr>
        <w:t>spoliatus</w:t>
      </w:r>
      <w:proofErr w:type="spellEnd"/>
      <w:r w:rsidR="00956628" w:rsidRPr="00B17C11">
        <w:rPr>
          <w:rFonts w:ascii="Arial" w:hAnsi="Arial" w:cs="Arial"/>
          <w:i/>
          <w:iCs/>
          <w:sz w:val="24"/>
          <w:szCs w:val="24"/>
        </w:rPr>
        <w:t xml:space="preserve"> </w:t>
      </w:r>
      <w:r w:rsidR="00956628" w:rsidRPr="00B17C11">
        <w:rPr>
          <w:rFonts w:ascii="Arial" w:hAnsi="Arial" w:cs="Arial"/>
          <w:sz w:val="24"/>
          <w:szCs w:val="24"/>
        </w:rPr>
        <w:t xml:space="preserve">claims ownership </w:t>
      </w:r>
      <w:r w:rsidR="00013475" w:rsidRPr="00B17C11">
        <w:rPr>
          <w:rFonts w:ascii="Arial" w:hAnsi="Arial" w:cs="Arial"/>
          <w:sz w:val="24"/>
          <w:szCs w:val="24"/>
        </w:rPr>
        <w:t>of</w:t>
      </w:r>
      <w:r w:rsidR="00956628" w:rsidRPr="00B17C11">
        <w:rPr>
          <w:rFonts w:ascii="Arial" w:hAnsi="Arial" w:cs="Arial"/>
          <w:sz w:val="24"/>
          <w:szCs w:val="24"/>
        </w:rPr>
        <w:t xml:space="preserve"> the premises. </w:t>
      </w:r>
      <w:r w:rsidR="00956628" w:rsidRPr="00B17C11">
        <w:rPr>
          <w:rFonts w:ascii="Arial" w:hAnsi="Arial" w:cs="Arial"/>
          <w:i/>
          <w:iCs/>
          <w:sz w:val="24"/>
          <w:szCs w:val="24"/>
        </w:rPr>
        <w:t xml:space="preserve">Masinda </w:t>
      </w:r>
      <w:r w:rsidR="00956628" w:rsidRPr="00B17C11">
        <w:rPr>
          <w:rFonts w:ascii="Arial" w:hAnsi="Arial" w:cs="Arial"/>
          <w:sz w:val="24"/>
          <w:szCs w:val="24"/>
        </w:rPr>
        <w:t>was on the wrong end of this observation as the court rejected claims in connection to an incident of possession of the premises.</w:t>
      </w:r>
      <w:r w:rsidR="00956628" w:rsidRPr="00B17C11">
        <w:rPr>
          <w:rStyle w:val="FootnoteReference"/>
          <w:rFonts w:ascii="Arial" w:hAnsi="Arial" w:cs="Arial"/>
          <w:sz w:val="24"/>
          <w:szCs w:val="24"/>
        </w:rPr>
        <w:footnoteReference w:id="474"/>
      </w:r>
      <w:r w:rsidR="00DD52A2" w:rsidRPr="00B17C11">
        <w:rPr>
          <w:rFonts w:ascii="Arial" w:hAnsi="Arial" w:cs="Arial"/>
          <w:sz w:val="24"/>
          <w:szCs w:val="24"/>
        </w:rPr>
        <w:t xml:space="preserve"> Nonetheless, i</w:t>
      </w:r>
      <w:r w:rsidR="00956628" w:rsidRPr="00B17C11">
        <w:rPr>
          <w:rFonts w:ascii="Arial" w:hAnsi="Arial" w:cs="Arial"/>
          <w:sz w:val="24"/>
          <w:szCs w:val="24"/>
        </w:rPr>
        <w:t>t is worth noting that scholars have restricted an incident of possession to the use of appurtenances on</w:t>
      </w:r>
      <w:r w:rsidR="00013475" w:rsidRPr="00B17C11">
        <w:rPr>
          <w:rFonts w:ascii="Arial" w:hAnsi="Arial" w:cs="Arial"/>
          <w:sz w:val="24"/>
          <w:szCs w:val="24"/>
        </w:rPr>
        <w:t xml:space="preserve"> the</w:t>
      </w:r>
      <w:r w:rsidR="00956628" w:rsidRPr="00B17C11">
        <w:rPr>
          <w:rFonts w:ascii="Arial" w:hAnsi="Arial" w:cs="Arial"/>
          <w:sz w:val="24"/>
          <w:szCs w:val="24"/>
        </w:rPr>
        <w:t xml:space="preserve"> land.</w:t>
      </w:r>
      <w:r w:rsidR="00956628" w:rsidRPr="00B17C11">
        <w:rPr>
          <w:rStyle w:val="FootnoteReference"/>
          <w:rFonts w:ascii="Arial" w:hAnsi="Arial" w:cs="Arial"/>
          <w:sz w:val="24"/>
          <w:szCs w:val="24"/>
        </w:rPr>
        <w:footnoteReference w:id="475"/>
      </w:r>
      <w:r w:rsidR="00956628" w:rsidRPr="00B17C11">
        <w:rPr>
          <w:rFonts w:ascii="Arial" w:hAnsi="Arial" w:cs="Arial"/>
          <w:sz w:val="24"/>
          <w:szCs w:val="24"/>
        </w:rPr>
        <w:t xml:space="preserve"> </w:t>
      </w:r>
      <w:r w:rsidR="0009326E" w:rsidRPr="00B17C11">
        <w:rPr>
          <w:rFonts w:ascii="Arial" w:hAnsi="Arial" w:cs="Arial"/>
          <w:sz w:val="24"/>
          <w:szCs w:val="24"/>
        </w:rPr>
        <w:t xml:space="preserve">There is no indication anywhere that it should be limited to tenants/occupants. </w:t>
      </w:r>
      <w:r w:rsidR="00956628" w:rsidRPr="00B17C11">
        <w:rPr>
          <w:rFonts w:ascii="Arial" w:hAnsi="Arial" w:cs="Arial"/>
          <w:sz w:val="24"/>
          <w:szCs w:val="24"/>
        </w:rPr>
        <w:t>T</w:t>
      </w:r>
      <w:r w:rsidR="008A2D10" w:rsidRPr="00B17C11">
        <w:rPr>
          <w:rFonts w:ascii="Arial" w:hAnsi="Arial" w:cs="Arial"/>
          <w:sz w:val="24"/>
          <w:szCs w:val="24"/>
        </w:rPr>
        <w:t>herefore, t</w:t>
      </w:r>
      <w:r w:rsidR="00956628" w:rsidRPr="00B17C11">
        <w:rPr>
          <w:rFonts w:ascii="Arial" w:hAnsi="Arial" w:cs="Arial"/>
          <w:sz w:val="24"/>
          <w:szCs w:val="24"/>
        </w:rPr>
        <w:t xml:space="preserve">o guard against this limitation, it may </w:t>
      </w:r>
      <w:r w:rsidR="00013475" w:rsidRPr="00B17C11">
        <w:rPr>
          <w:rFonts w:ascii="Arial" w:hAnsi="Arial" w:cs="Arial"/>
          <w:sz w:val="24"/>
          <w:szCs w:val="24"/>
        </w:rPr>
        <w:t xml:space="preserve">perhaps </w:t>
      </w:r>
      <w:r w:rsidR="00956628" w:rsidRPr="00B17C11">
        <w:rPr>
          <w:rFonts w:ascii="Arial" w:hAnsi="Arial" w:cs="Arial"/>
          <w:sz w:val="24"/>
          <w:szCs w:val="24"/>
        </w:rPr>
        <w:t>be necessary</w:t>
      </w:r>
      <w:r w:rsidR="00344F62">
        <w:rPr>
          <w:rFonts w:ascii="Arial" w:hAnsi="Arial" w:cs="Arial"/>
          <w:sz w:val="24"/>
          <w:szCs w:val="24"/>
        </w:rPr>
        <w:t xml:space="preserve"> </w:t>
      </w:r>
      <w:r w:rsidR="00956628" w:rsidRPr="00B17C11">
        <w:rPr>
          <w:rFonts w:ascii="Arial" w:hAnsi="Arial" w:cs="Arial"/>
          <w:sz w:val="24"/>
          <w:szCs w:val="24"/>
        </w:rPr>
        <w:t>for courts to disregard an incident of possession requirement and focus on whether the applicant performed acts associated with the exercise of the alleged right in question</w:t>
      </w:r>
      <w:r w:rsidR="00F86317" w:rsidRPr="00B17C11">
        <w:rPr>
          <w:rFonts w:ascii="Arial" w:hAnsi="Arial" w:cs="Arial"/>
          <w:sz w:val="24"/>
          <w:szCs w:val="24"/>
        </w:rPr>
        <w:t xml:space="preserve"> (land)</w:t>
      </w:r>
      <w:r w:rsidR="00956628" w:rsidRPr="00B17C11">
        <w:rPr>
          <w:rFonts w:ascii="Arial" w:hAnsi="Arial" w:cs="Arial"/>
          <w:sz w:val="24"/>
          <w:szCs w:val="24"/>
        </w:rPr>
        <w:t xml:space="preserve">, just as in </w:t>
      </w:r>
      <w:proofErr w:type="spellStart"/>
      <w:r w:rsidR="00956628" w:rsidRPr="00B17C11">
        <w:rPr>
          <w:rFonts w:ascii="Arial" w:hAnsi="Arial" w:cs="Arial"/>
          <w:sz w:val="24"/>
          <w:szCs w:val="24"/>
        </w:rPr>
        <w:t>servitutal</w:t>
      </w:r>
      <w:proofErr w:type="spellEnd"/>
      <w:r w:rsidR="00956628" w:rsidRPr="00B17C11">
        <w:rPr>
          <w:rFonts w:ascii="Arial" w:hAnsi="Arial" w:cs="Arial"/>
          <w:sz w:val="24"/>
          <w:szCs w:val="24"/>
        </w:rPr>
        <w:t xml:space="preserve"> cases. </w:t>
      </w:r>
      <w:r w:rsidR="008A2D10" w:rsidRPr="00B17C11">
        <w:rPr>
          <w:rFonts w:ascii="Arial" w:hAnsi="Arial" w:cs="Arial"/>
          <w:sz w:val="24"/>
          <w:szCs w:val="24"/>
        </w:rPr>
        <w:t>I</w:t>
      </w:r>
      <w:r w:rsidR="00956628" w:rsidRPr="00B17C11">
        <w:rPr>
          <w:rFonts w:ascii="Arial" w:hAnsi="Arial" w:cs="Arial"/>
          <w:sz w:val="24"/>
          <w:szCs w:val="24"/>
        </w:rPr>
        <w:t xml:space="preserve">n the same way it is not necessary to prove the existence of the servitude but the actual exercise of the alleged </w:t>
      </w:r>
      <w:proofErr w:type="spellStart"/>
      <w:r w:rsidR="00956628" w:rsidRPr="00B17C11">
        <w:rPr>
          <w:rFonts w:ascii="Arial" w:hAnsi="Arial" w:cs="Arial"/>
          <w:sz w:val="24"/>
          <w:szCs w:val="24"/>
        </w:rPr>
        <w:t>servitutal</w:t>
      </w:r>
      <w:proofErr w:type="spellEnd"/>
      <w:r w:rsidR="00956628" w:rsidRPr="00B17C11">
        <w:rPr>
          <w:rFonts w:ascii="Arial" w:hAnsi="Arial" w:cs="Arial"/>
          <w:sz w:val="24"/>
          <w:szCs w:val="24"/>
        </w:rPr>
        <w:t xml:space="preserve"> right</w:t>
      </w:r>
      <w:r w:rsidR="00013475" w:rsidRPr="00B17C11">
        <w:rPr>
          <w:rFonts w:ascii="Arial" w:hAnsi="Arial" w:cs="Arial"/>
          <w:sz w:val="24"/>
          <w:szCs w:val="24"/>
        </w:rPr>
        <w:t>;</w:t>
      </w:r>
      <w:r w:rsidR="00956628" w:rsidRPr="00B17C11">
        <w:rPr>
          <w:rFonts w:ascii="Arial" w:hAnsi="Arial" w:cs="Arial"/>
          <w:sz w:val="24"/>
          <w:szCs w:val="24"/>
        </w:rPr>
        <w:t xml:space="preserve"> this can be adopted to non-</w:t>
      </w:r>
      <w:proofErr w:type="spellStart"/>
      <w:r w:rsidR="00956628" w:rsidRPr="00B17C11">
        <w:rPr>
          <w:rFonts w:ascii="Arial" w:hAnsi="Arial" w:cs="Arial"/>
          <w:sz w:val="24"/>
          <w:szCs w:val="24"/>
        </w:rPr>
        <w:t>servitutal</w:t>
      </w:r>
      <w:proofErr w:type="spellEnd"/>
      <w:r w:rsidR="00956628" w:rsidRPr="00B17C11">
        <w:rPr>
          <w:rFonts w:ascii="Arial" w:hAnsi="Arial" w:cs="Arial"/>
          <w:sz w:val="24"/>
          <w:szCs w:val="24"/>
        </w:rPr>
        <w:t xml:space="preserve"> rights if an incident of possession cannot be extended to include cases where the spoliator is not the landlord and </w:t>
      </w:r>
      <w:r w:rsidR="00D43F3D" w:rsidRPr="00B17C11">
        <w:rPr>
          <w:rFonts w:ascii="Arial" w:hAnsi="Arial" w:cs="Arial"/>
          <w:sz w:val="24"/>
          <w:szCs w:val="24"/>
        </w:rPr>
        <w:t xml:space="preserve">/ </w:t>
      </w:r>
      <w:r w:rsidR="00956628" w:rsidRPr="00B17C11">
        <w:rPr>
          <w:rFonts w:ascii="Arial" w:hAnsi="Arial" w:cs="Arial"/>
          <w:sz w:val="24"/>
          <w:szCs w:val="24"/>
        </w:rPr>
        <w:t xml:space="preserve">or where the </w:t>
      </w:r>
      <w:proofErr w:type="spellStart"/>
      <w:r w:rsidR="00956628" w:rsidRPr="00B17C11">
        <w:rPr>
          <w:rFonts w:ascii="Arial" w:hAnsi="Arial" w:cs="Arial"/>
          <w:i/>
          <w:iCs/>
          <w:sz w:val="24"/>
          <w:szCs w:val="24"/>
        </w:rPr>
        <w:t>spoliatus</w:t>
      </w:r>
      <w:proofErr w:type="spellEnd"/>
      <w:r w:rsidR="00956628" w:rsidRPr="00B17C11">
        <w:rPr>
          <w:rFonts w:ascii="Arial" w:hAnsi="Arial" w:cs="Arial"/>
          <w:sz w:val="24"/>
          <w:szCs w:val="24"/>
        </w:rPr>
        <w:t xml:space="preserve"> claims ownership of the premises.</w:t>
      </w:r>
      <w:r w:rsidR="00956628" w:rsidRPr="00B17C11">
        <w:rPr>
          <w:rStyle w:val="FootnoteReference"/>
          <w:rFonts w:ascii="Arial" w:hAnsi="Arial" w:cs="Arial"/>
          <w:sz w:val="24"/>
          <w:szCs w:val="24"/>
        </w:rPr>
        <w:footnoteReference w:id="476"/>
      </w:r>
    </w:p>
    <w:p w14:paraId="3698753F" w14:textId="77777777" w:rsidR="00956628" w:rsidRPr="00B17C11" w:rsidRDefault="00956628" w:rsidP="00972536">
      <w:pPr>
        <w:spacing w:line="360" w:lineRule="auto"/>
        <w:jc w:val="both"/>
        <w:rPr>
          <w:rFonts w:ascii="Arial" w:hAnsi="Arial" w:cs="Arial"/>
          <w:sz w:val="24"/>
          <w:szCs w:val="24"/>
        </w:rPr>
      </w:pPr>
    </w:p>
    <w:p w14:paraId="2EE691CB" w14:textId="77777777" w:rsidR="00C369F8" w:rsidRPr="00B17C11" w:rsidRDefault="00C369F8">
      <w:pPr>
        <w:rPr>
          <w:rFonts w:ascii="Arial" w:hAnsi="Arial" w:cs="Arial"/>
          <w:sz w:val="24"/>
          <w:szCs w:val="24"/>
        </w:rPr>
      </w:pPr>
      <w:bookmarkStart w:id="33" w:name="_Hlk183586785"/>
    </w:p>
    <w:bookmarkEnd w:id="33"/>
    <w:p w14:paraId="5B8B708A" w14:textId="5C1B9556" w:rsidR="00E336C2" w:rsidRPr="00B17C11" w:rsidRDefault="00E336C2">
      <w:pPr>
        <w:rPr>
          <w:rFonts w:ascii="Arial" w:hAnsi="Arial" w:cs="Arial"/>
          <w:sz w:val="24"/>
          <w:szCs w:val="24"/>
        </w:rPr>
      </w:pPr>
    </w:p>
    <w:p w14:paraId="4C1BFB94" w14:textId="22304E09" w:rsidR="00761FF4" w:rsidRPr="00B17C11" w:rsidRDefault="00396FF9" w:rsidP="00396FF9">
      <w:pPr>
        <w:pStyle w:val="Heading1"/>
        <w:numPr>
          <w:ilvl w:val="0"/>
          <w:numId w:val="0"/>
        </w:numPr>
      </w:pPr>
      <w:bookmarkStart w:id="34" w:name="_Toc181339560"/>
      <w:r w:rsidRPr="00B17C11">
        <w:lastRenderedPageBreak/>
        <w:t>BIBLIOGRAPHY</w:t>
      </w:r>
      <w:bookmarkEnd w:id="34"/>
    </w:p>
    <w:p w14:paraId="3A9D1365" w14:textId="77777777" w:rsidR="00396FF9" w:rsidRPr="00B17C11" w:rsidRDefault="00396FF9" w:rsidP="00761FF4">
      <w:pPr>
        <w:rPr>
          <w:rFonts w:ascii="Arial" w:hAnsi="Arial" w:cs="Arial"/>
          <w:sz w:val="24"/>
          <w:szCs w:val="24"/>
        </w:rPr>
      </w:pPr>
    </w:p>
    <w:p w14:paraId="14B7EE20" w14:textId="2C54B20A" w:rsidR="00396FF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BOGGENPOEL ZT</w:t>
      </w:r>
    </w:p>
    <w:p w14:paraId="1E47BA29" w14:textId="0E8CF27F" w:rsidR="00396FF9" w:rsidRPr="00B17C11" w:rsidRDefault="00396FF9" w:rsidP="002D7715">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2015. Applying the </w:t>
      </w:r>
      <w:proofErr w:type="spellStart"/>
      <w:r w:rsidRPr="00B17C11">
        <w:rPr>
          <w:rFonts w:ascii="Arial" w:hAnsi="Arial" w:cs="Arial"/>
          <w:sz w:val="24"/>
          <w:szCs w:val="24"/>
          <w:lang w:val="en-GB"/>
        </w:rPr>
        <w:t>mandament</w:t>
      </w:r>
      <w:proofErr w:type="spellEnd"/>
      <w:r w:rsidRPr="00B17C11">
        <w:rPr>
          <w:rFonts w:ascii="Arial" w:hAnsi="Arial" w:cs="Arial"/>
          <w:sz w:val="24"/>
          <w:szCs w:val="24"/>
          <w:lang w:val="en-GB"/>
        </w:rPr>
        <w:t xml:space="preserve"> van </w:t>
      </w:r>
      <w:proofErr w:type="spellStart"/>
      <w:r w:rsidRPr="00B17C11">
        <w:rPr>
          <w:rFonts w:ascii="Arial" w:hAnsi="Arial" w:cs="Arial"/>
          <w:sz w:val="24"/>
          <w:szCs w:val="24"/>
          <w:lang w:val="en-GB"/>
        </w:rPr>
        <w:t>spolie</w:t>
      </w:r>
      <w:proofErr w:type="spellEnd"/>
      <w:r w:rsidRPr="00B17C11">
        <w:rPr>
          <w:rFonts w:ascii="Arial" w:hAnsi="Arial" w:cs="Arial"/>
          <w:sz w:val="24"/>
          <w:szCs w:val="24"/>
          <w:lang w:val="en-GB"/>
        </w:rPr>
        <w:t xml:space="preserve"> in the case of </w:t>
      </w:r>
      <w:proofErr w:type="spellStart"/>
      <w:r w:rsidRPr="00B17C11">
        <w:rPr>
          <w:rFonts w:ascii="Arial" w:hAnsi="Arial" w:cs="Arial"/>
          <w:sz w:val="24"/>
          <w:szCs w:val="24"/>
          <w:lang w:val="en-GB"/>
        </w:rPr>
        <w:t>incorporeals</w:t>
      </w:r>
      <w:proofErr w:type="spellEnd"/>
      <w:r w:rsidRPr="00B17C11">
        <w:rPr>
          <w:rFonts w:ascii="Arial" w:hAnsi="Arial" w:cs="Arial"/>
          <w:sz w:val="24"/>
          <w:szCs w:val="24"/>
          <w:lang w:val="en-GB"/>
        </w:rPr>
        <w:t xml:space="preserve">: Two recent examples from case law. </w:t>
      </w:r>
      <w:r w:rsidRPr="00B17C11">
        <w:rPr>
          <w:rFonts w:ascii="Arial" w:hAnsi="Arial" w:cs="Arial"/>
          <w:i/>
          <w:iCs/>
          <w:sz w:val="24"/>
          <w:szCs w:val="24"/>
          <w:lang w:val="en-GB"/>
        </w:rPr>
        <w:t>Journal of South African Law</w:t>
      </w:r>
      <w:r w:rsidR="00A46412" w:rsidRPr="00B17C11">
        <w:rPr>
          <w:rFonts w:ascii="Arial" w:hAnsi="Arial" w:cs="Arial"/>
          <w:i/>
          <w:iCs/>
          <w:sz w:val="24"/>
          <w:szCs w:val="24"/>
          <w:lang w:val="en-GB"/>
        </w:rPr>
        <w:t xml:space="preserve"> </w:t>
      </w:r>
      <w:r w:rsidR="00A46412" w:rsidRPr="00B17C11">
        <w:rPr>
          <w:rFonts w:ascii="Arial" w:hAnsi="Arial" w:cs="Arial"/>
          <w:sz w:val="24"/>
          <w:szCs w:val="24"/>
          <w:lang w:val="en-GB"/>
        </w:rPr>
        <w:t>2015(1)</w:t>
      </w:r>
      <w:r w:rsidRPr="00B17C11">
        <w:rPr>
          <w:rFonts w:ascii="Arial" w:hAnsi="Arial" w:cs="Arial"/>
          <w:sz w:val="24"/>
          <w:szCs w:val="24"/>
          <w:lang w:val="en-GB"/>
        </w:rPr>
        <w:t>: 76-93.</w:t>
      </w:r>
    </w:p>
    <w:p w14:paraId="2CCCDC71" w14:textId="77777777" w:rsidR="00396FF9" w:rsidRPr="00B17C11" w:rsidRDefault="00396FF9" w:rsidP="00396FF9">
      <w:pPr>
        <w:spacing w:before="120" w:after="120" w:line="360" w:lineRule="auto"/>
        <w:ind w:firstLine="720"/>
        <w:jc w:val="both"/>
        <w:rPr>
          <w:rFonts w:ascii="Arial" w:hAnsi="Arial" w:cs="Arial"/>
          <w:sz w:val="24"/>
          <w:szCs w:val="24"/>
          <w:lang w:val="en-GB"/>
        </w:rPr>
      </w:pPr>
    </w:p>
    <w:p w14:paraId="40BD77B5" w14:textId="4A31B4E4" w:rsidR="00396FF9" w:rsidRPr="00B17C11" w:rsidRDefault="00396FF9" w:rsidP="00396FF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2016. Can the journey affect the destination? A single system of law approach to property remedies. </w:t>
      </w:r>
      <w:r w:rsidRPr="00B17C11">
        <w:rPr>
          <w:rFonts w:ascii="Arial" w:hAnsi="Arial" w:cs="Arial"/>
          <w:i/>
          <w:sz w:val="24"/>
          <w:szCs w:val="24"/>
          <w:lang w:val="en-GB"/>
        </w:rPr>
        <w:t>South African Journal on Human Rights</w:t>
      </w:r>
      <w:r w:rsidRPr="00B17C11">
        <w:rPr>
          <w:rFonts w:ascii="Arial" w:hAnsi="Arial" w:cs="Arial"/>
          <w:sz w:val="24"/>
          <w:szCs w:val="24"/>
          <w:lang w:val="en-GB"/>
        </w:rPr>
        <w:t xml:space="preserve"> 37(1): 71-86.</w:t>
      </w:r>
    </w:p>
    <w:p w14:paraId="537645F9" w14:textId="77777777" w:rsidR="00396FF9" w:rsidRPr="00B17C11" w:rsidRDefault="00396FF9" w:rsidP="00396FF9">
      <w:pPr>
        <w:spacing w:before="120" w:after="120" w:line="360" w:lineRule="auto"/>
        <w:jc w:val="both"/>
        <w:rPr>
          <w:rFonts w:ascii="Arial" w:hAnsi="Arial" w:cs="Arial"/>
          <w:sz w:val="24"/>
          <w:szCs w:val="24"/>
          <w:shd w:val="clear" w:color="auto" w:fill="FFFFFF"/>
        </w:rPr>
      </w:pPr>
    </w:p>
    <w:p w14:paraId="3FA6392A" w14:textId="213398B6" w:rsidR="00396FF9" w:rsidRPr="00B17C11" w:rsidRDefault="00396FF9" w:rsidP="00396FF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2017. </w:t>
      </w:r>
      <w:r w:rsidRPr="00B17C11">
        <w:rPr>
          <w:rFonts w:ascii="Arial" w:hAnsi="Arial" w:cs="Arial"/>
          <w:i/>
          <w:iCs/>
          <w:sz w:val="24"/>
          <w:szCs w:val="24"/>
          <w:shd w:val="clear" w:color="auto" w:fill="FFFFFF"/>
        </w:rPr>
        <w:t>Property remedies</w:t>
      </w:r>
      <w:r w:rsidRPr="00B17C11">
        <w:rPr>
          <w:rFonts w:ascii="Arial" w:hAnsi="Arial" w:cs="Arial"/>
          <w:sz w:val="24"/>
          <w:szCs w:val="24"/>
          <w:shd w:val="clear" w:color="auto" w:fill="FFFFFF"/>
        </w:rPr>
        <w:t>. Juta. Cape Town.</w:t>
      </w:r>
    </w:p>
    <w:p w14:paraId="228A4DD3" w14:textId="77777777" w:rsidR="00F56009" w:rsidRPr="00B17C11" w:rsidRDefault="00F56009" w:rsidP="00F56009">
      <w:pPr>
        <w:spacing w:before="120" w:after="120" w:line="360" w:lineRule="auto"/>
        <w:jc w:val="both"/>
        <w:rPr>
          <w:rFonts w:ascii="Arial" w:hAnsi="Arial" w:cs="Arial"/>
          <w:sz w:val="24"/>
          <w:szCs w:val="24"/>
          <w:shd w:val="clear" w:color="auto" w:fill="FFFFFF"/>
        </w:rPr>
      </w:pPr>
    </w:p>
    <w:p w14:paraId="1BAEA808" w14:textId="6241B647" w:rsidR="00396FF9" w:rsidRPr="00B17C11" w:rsidRDefault="002F6CD7"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BOGGENPOEL ZT, VAN DER SIJDE, TLALE MT &amp; MAHOMEDY S</w:t>
      </w:r>
    </w:p>
    <w:p w14:paraId="66EBD500" w14:textId="70C5DF81" w:rsidR="00396FF9" w:rsidRPr="00B17C11" w:rsidRDefault="005622AF" w:rsidP="00396FF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2021. </w:t>
      </w:r>
      <w:r w:rsidRPr="00B17C11">
        <w:rPr>
          <w:rFonts w:ascii="Arial" w:hAnsi="Arial" w:cs="Arial"/>
          <w:i/>
          <w:iCs/>
          <w:sz w:val="24"/>
          <w:szCs w:val="24"/>
          <w:shd w:val="clear" w:color="auto" w:fill="FFFFFF"/>
        </w:rPr>
        <w:t xml:space="preserve">Property and pandemics: </w:t>
      </w:r>
      <w:r w:rsidR="00622CDE" w:rsidRPr="00B17C11">
        <w:rPr>
          <w:rFonts w:ascii="Arial" w:hAnsi="Arial" w:cs="Arial"/>
          <w:i/>
          <w:iCs/>
          <w:sz w:val="24"/>
          <w:szCs w:val="24"/>
          <w:shd w:val="clear" w:color="auto" w:fill="FFFFFF"/>
        </w:rPr>
        <w:t xml:space="preserve">Property law responses to </w:t>
      </w:r>
      <w:r w:rsidR="000A5C36" w:rsidRPr="00B17C11">
        <w:rPr>
          <w:rFonts w:ascii="Arial" w:hAnsi="Arial" w:cs="Arial"/>
          <w:i/>
          <w:iCs/>
          <w:sz w:val="24"/>
          <w:szCs w:val="24"/>
          <w:shd w:val="clear" w:color="auto" w:fill="FFFFFF"/>
        </w:rPr>
        <w:t>COVID</w:t>
      </w:r>
      <w:r w:rsidR="00622CDE" w:rsidRPr="00B17C11">
        <w:rPr>
          <w:rFonts w:ascii="Arial" w:hAnsi="Arial" w:cs="Arial"/>
          <w:i/>
          <w:iCs/>
          <w:sz w:val="24"/>
          <w:szCs w:val="24"/>
          <w:shd w:val="clear" w:color="auto" w:fill="FFFFFF"/>
        </w:rPr>
        <w:t>-19</w:t>
      </w:r>
      <w:r w:rsidR="00396FF9" w:rsidRPr="00B17C11">
        <w:rPr>
          <w:rFonts w:ascii="Arial" w:hAnsi="Arial" w:cs="Arial"/>
          <w:sz w:val="24"/>
          <w:szCs w:val="24"/>
          <w:lang w:val="en-GB"/>
        </w:rPr>
        <w:t>.</w:t>
      </w:r>
      <w:r w:rsidR="00622CDE" w:rsidRPr="00B17C11">
        <w:rPr>
          <w:rFonts w:ascii="Arial" w:hAnsi="Arial" w:cs="Arial"/>
          <w:sz w:val="24"/>
          <w:szCs w:val="24"/>
          <w:lang w:val="en-GB"/>
        </w:rPr>
        <w:t xml:space="preserve"> </w:t>
      </w:r>
      <w:r w:rsidR="00622CDE" w:rsidRPr="00B17C11">
        <w:rPr>
          <w:rFonts w:ascii="Arial" w:hAnsi="Arial" w:cs="Arial"/>
          <w:sz w:val="24"/>
          <w:szCs w:val="24"/>
          <w:shd w:val="clear" w:color="auto" w:fill="FFFFFF"/>
        </w:rPr>
        <w:t>Juta. Cape Town.</w:t>
      </w:r>
    </w:p>
    <w:p w14:paraId="74F42841" w14:textId="77777777" w:rsidR="00AC7F29" w:rsidRPr="00B17C11" w:rsidRDefault="00AC7F29" w:rsidP="00396FF9">
      <w:pPr>
        <w:spacing w:before="120" w:after="120" w:line="360" w:lineRule="auto"/>
        <w:ind w:left="720"/>
        <w:jc w:val="both"/>
        <w:rPr>
          <w:rFonts w:ascii="Arial" w:hAnsi="Arial" w:cs="Arial"/>
          <w:sz w:val="24"/>
          <w:szCs w:val="24"/>
          <w:lang w:val="en-GB"/>
        </w:rPr>
      </w:pPr>
    </w:p>
    <w:p w14:paraId="099512A5" w14:textId="386A330C" w:rsidR="002F6CD7" w:rsidRPr="00B17C11" w:rsidRDefault="002F6CD7" w:rsidP="002F6CD7">
      <w:pPr>
        <w:spacing w:before="120" w:after="120" w:line="360" w:lineRule="auto"/>
        <w:jc w:val="both"/>
        <w:rPr>
          <w:rFonts w:ascii="Arial" w:hAnsi="Arial" w:cs="Arial"/>
          <w:sz w:val="24"/>
          <w:szCs w:val="24"/>
          <w:lang w:val="en-GB"/>
        </w:rPr>
      </w:pPr>
      <w:r w:rsidRPr="00B17C11">
        <w:rPr>
          <w:rFonts w:ascii="Arial" w:hAnsi="Arial" w:cs="Arial"/>
          <w:sz w:val="24"/>
          <w:szCs w:val="24"/>
          <w:lang w:val="en-GB"/>
        </w:rPr>
        <w:t>BUTLER LL</w:t>
      </w:r>
    </w:p>
    <w:p w14:paraId="36F8EF2D" w14:textId="77777777" w:rsidR="002F6CD7" w:rsidRPr="00B17C11" w:rsidRDefault="002F6CD7" w:rsidP="002F6CD7">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1982. The commons concept: An historical concept with modern relevance. </w:t>
      </w:r>
      <w:r w:rsidRPr="00B17C11">
        <w:rPr>
          <w:rFonts w:ascii="Arial" w:hAnsi="Arial" w:cs="Arial"/>
          <w:i/>
          <w:sz w:val="24"/>
          <w:szCs w:val="24"/>
          <w:lang w:val="en-GB"/>
        </w:rPr>
        <w:t>William and Mary Law Review</w:t>
      </w:r>
      <w:r w:rsidRPr="00B17C11">
        <w:rPr>
          <w:rFonts w:ascii="Arial" w:hAnsi="Arial" w:cs="Arial"/>
          <w:sz w:val="24"/>
          <w:szCs w:val="24"/>
          <w:lang w:val="en-GB"/>
        </w:rPr>
        <w:t xml:space="preserve"> 23(4): 835-936.</w:t>
      </w:r>
    </w:p>
    <w:p w14:paraId="774EE3E8" w14:textId="77777777" w:rsidR="00D244ED" w:rsidRPr="00B17C11" w:rsidRDefault="00D244ED" w:rsidP="002F6CD7">
      <w:pPr>
        <w:spacing w:before="120" w:after="120" w:line="360" w:lineRule="auto"/>
        <w:ind w:left="720"/>
        <w:jc w:val="both"/>
        <w:rPr>
          <w:rFonts w:ascii="Arial" w:hAnsi="Arial" w:cs="Arial"/>
          <w:sz w:val="24"/>
          <w:szCs w:val="24"/>
          <w:lang w:val="en-GB"/>
        </w:rPr>
      </w:pPr>
    </w:p>
    <w:p w14:paraId="0BFFCDBA" w14:textId="705BB71E" w:rsidR="00D244ED" w:rsidRPr="00B17C11" w:rsidRDefault="00D244ED" w:rsidP="00D244ED">
      <w:pPr>
        <w:spacing w:before="120" w:after="120" w:line="360" w:lineRule="auto"/>
        <w:jc w:val="both"/>
        <w:rPr>
          <w:rFonts w:ascii="Arial" w:hAnsi="Arial" w:cs="Arial"/>
          <w:sz w:val="24"/>
          <w:szCs w:val="24"/>
          <w:lang w:val="en-GB"/>
        </w:rPr>
      </w:pPr>
      <w:r w:rsidRPr="00B17C11">
        <w:rPr>
          <w:rFonts w:ascii="Arial" w:hAnsi="Arial" w:cs="Arial"/>
          <w:sz w:val="24"/>
          <w:szCs w:val="24"/>
          <w:lang w:val="en-GB"/>
        </w:rPr>
        <w:t>B</w:t>
      </w:r>
      <w:r w:rsidR="00B52B1C" w:rsidRPr="00B17C11">
        <w:rPr>
          <w:rFonts w:ascii="Arial" w:hAnsi="Arial" w:cs="Arial"/>
          <w:sz w:val="24"/>
          <w:szCs w:val="24"/>
          <w:lang w:val="en-GB"/>
        </w:rPr>
        <w:t>RAND D</w:t>
      </w:r>
    </w:p>
    <w:p w14:paraId="6F841017" w14:textId="4634B2E3" w:rsidR="00D244ED" w:rsidRPr="00B17C11" w:rsidRDefault="00B52B1C" w:rsidP="00D244ED">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2014</w:t>
      </w:r>
      <w:r w:rsidR="00D244ED" w:rsidRPr="00B17C11">
        <w:rPr>
          <w:rFonts w:ascii="Arial" w:hAnsi="Arial" w:cs="Arial"/>
          <w:sz w:val="24"/>
          <w:szCs w:val="24"/>
          <w:lang w:val="en-GB"/>
        </w:rPr>
        <w:t xml:space="preserve">. </w:t>
      </w:r>
      <w:r w:rsidRPr="00B17C11">
        <w:rPr>
          <w:rFonts w:ascii="Arial" w:hAnsi="Arial" w:cs="Arial"/>
          <w:sz w:val="24"/>
          <w:szCs w:val="24"/>
          <w:lang w:val="en-GB"/>
        </w:rPr>
        <w:t xml:space="preserve">Law and the </w:t>
      </w:r>
      <w:r w:rsidR="004356A9" w:rsidRPr="00B17C11">
        <w:rPr>
          <w:rFonts w:ascii="Arial" w:hAnsi="Arial" w:cs="Arial"/>
          <w:sz w:val="24"/>
          <w:szCs w:val="24"/>
          <w:lang w:val="en-GB"/>
        </w:rPr>
        <w:t>c</w:t>
      </w:r>
      <w:r w:rsidRPr="00B17C11">
        <w:rPr>
          <w:rFonts w:ascii="Arial" w:hAnsi="Arial" w:cs="Arial"/>
          <w:sz w:val="24"/>
          <w:szCs w:val="24"/>
          <w:lang w:val="en-GB"/>
        </w:rPr>
        <w:t>ity</w:t>
      </w:r>
      <w:r w:rsidR="00D244ED" w:rsidRPr="00B17C11">
        <w:rPr>
          <w:rFonts w:ascii="Arial" w:hAnsi="Arial" w:cs="Arial"/>
          <w:sz w:val="24"/>
          <w:szCs w:val="24"/>
          <w:lang w:val="en-GB"/>
        </w:rPr>
        <w:t xml:space="preserve">: </w:t>
      </w:r>
      <w:r w:rsidRPr="00B17C11">
        <w:rPr>
          <w:rFonts w:ascii="Arial" w:hAnsi="Arial" w:cs="Arial"/>
          <w:sz w:val="24"/>
          <w:szCs w:val="24"/>
          <w:lang w:val="en-GB"/>
        </w:rPr>
        <w:t xml:space="preserve">Keeping the poor on the margins. </w:t>
      </w:r>
      <w:r w:rsidRPr="00B17C11">
        <w:rPr>
          <w:rFonts w:ascii="Arial" w:hAnsi="Arial" w:cs="Arial"/>
          <w:i/>
          <w:iCs/>
          <w:sz w:val="24"/>
          <w:szCs w:val="24"/>
          <w:lang w:val="en-GB"/>
        </w:rPr>
        <w:t>De Jure</w:t>
      </w:r>
      <w:r w:rsidR="004356A9" w:rsidRPr="00B17C11">
        <w:rPr>
          <w:rFonts w:ascii="Arial" w:hAnsi="Arial" w:cs="Arial"/>
          <w:i/>
          <w:iCs/>
          <w:sz w:val="24"/>
          <w:szCs w:val="24"/>
          <w:lang w:val="en-GB"/>
        </w:rPr>
        <w:t xml:space="preserve"> </w:t>
      </w:r>
      <w:r w:rsidR="004356A9" w:rsidRPr="00B17C11">
        <w:rPr>
          <w:rFonts w:ascii="Arial" w:hAnsi="Arial" w:cs="Arial"/>
          <w:sz w:val="24"/>
          <w:szCs w:val="24"/>
          <w:lang w:val="en-GB"/>
        </w:rPr>
        <w:t>47(2)</w:t>
      </w:r>
      <w:r w:rsidR="00370A26" w:rsidRPr="00B17C11">
        <w:rPr>
          <w:rFonts w:ascii="Arial" w:hAnsi="Arial" w:cs="Arial"/>
          <w:sz w:val="24"/>
          <w:szCs w:val="24"/>
          <w:lang w:val="en-GB"/>
        </w:rPr>
        <w:t>: 189-201.</w:t>
      </w:r>
    </w:p>
    <w:p w14:paraId="5863E973" w14:textId="77777777" w:rsidR="00D244ED" w:rsidRPr="00B17C11" w:rsidRDefault="00D244ED" w:rsidP="002F6CD7">
      <w:pPr>
        <w:spacing w:before="120" w:after="120" w:line="360" w:lineRule="auto"/>
        <w:ind w:left="720"/>
        <w:jc w:val="both"/>
        <w:rPr>
          <w:rFonts w:ascii="Arial" w:hAnsi="Arial" w:cs="Arial"/>
          <w:sz w:val="24"/>
          <w:szCs w:val="24"/>
          <w:lang w:val="en-GB"/>
        </w:rPr>
      </w:pPr>
    </w:p>
    <w:p w14:paraId="762AA0EE" w14:textId="483EF1CA" w:rsidR="00396FF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FREEDMAN W</w:t>
      </w:r>
    </w:p>
    <w:p w14:paraId="00574B8D" w14:textId="62B185E6" w:rsidR="00396FF9" w:rsidRPr="00B17C11" w:rsidRDefault="00396FF9" w:rsidP="00396FF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2015. The application of the </w:t>
      </w:r>
      <w:proofErr w:type="spellStart"/>
      <w:r w:rsidRPr="00B17C11">
        <w:rPr>
          <w:rFonts w:ascii="Arial" w:hAnsi="Arial" w:cs="Arial"/>
          <w:i/>
          <w:sz w:val="24"/>
          <w:szCs w:val="24"/>
          <w:lang w:val="en-GB"/>
        </w:rPr>
        <w:t>mandament</w:t>
      </w:r>
      <w:proofErr w:type="spellEnd"/>
      <w:r w:rsidRPr="00B17C11">
        <w:rPr>
          <w:rFonts w:ascii="Arial" w:hAnsi="Arial" w:cs="Arial"/>
          <w:i/>
          <w:sz w:val="24"/>
          <w:szCs w:val="24"/>
          <w:lang w:val="en-GB"/>
        </w:rPr>
        <w:t xml:space="preserve"> van </w:t>
      </w:r>
      <w:proofErr w:type="spellStart"/>
      <w:r w:rsidRPr="00B17C11">
        <w:rPr>
          <w:rFonts w:ascii="Arial" w:hAnsi="Arial" w:cs="Arial"/>
          <w:i/>
          <w:sz w:val="24"/>
          <w:szCs w:val="24"/>
          <w:lang w:val="en-GB"/>
        </w:rPr>
        <w:t>spolie</w:t>
      </w:r>
      <w:proofErr w:type="spellEnd"/>
      <w:r w:rsidRPr="00B17C11">
        <w:rPr>
          <w:rFonts w:ascii="Arial" w:hAnsi="Arial" w:cs="Arial"/>
          <w:sz w:val="24"/>
          <w:szCs w:val="24"/>
          <w:lang w:val="en-GB"/>
        </w:rPr>
        <w:t xml:space="preserve"> to constitutional and statutory rights: </w:t>
      </w:r>
      <w:r w:rsidRPr="00B17C11">
        <w:rPr>
          <w:rFonts w:ascii="Arial" w:hAnsi="Arial" w:cs="Arial"/>
          <w:iCs/>
          <w:sz w:val="24"/>
          <w:szCs w:val="24"/>
          <w:lang w:val="en-GB"/>
        </w:rPr>
        <w:t xml:space="preserve">City of Cape Town v </w:t>
      </w:r>
      <w:proofErr w:type="spellStart"/>
      <w:r w:rsidRPr="00B17C11">
        <w:rPr>
          <w:rFonts w:ascii="Arial" w:hAnsi="Arial" w:cs="Arial"/>
          <w:iCs/>
          <w:sz w:val="24"/>
          <w:szCs w:val="24"/>
          <w:lang w:val="en-GB"/>
        </w:rPr>
        <w:t>Strumpher</w:t>
      </w:r>
      <w:proofErr w:type="spellEnd"/>
      <w:r w:rsidRPr="00B17C11">
        <w:rPr>
          <w:rFonts w:ascii="Arial" w:hAnsi="Arial" w:cs="Arial"/>
          <w:sz w:val="24"/>
          <w:szCs w:val="24"/>
          <w:lang w:val="en-GB"/>
        </w:rPr>
        <w:t xml:space="preserve"> 2012 </w:t>
      </w:r>
      <w:r w:rsidR="00A5122F" w:rsidRPr="00B17C11">
        <w:rPr>
          <w:rFonts w:ascii="Arial" w:hAnsi="Arial" w:cs="Arial"/>
          <w:sz w:val="24"/>
          <w:szCs w:val="24"/>
          <w:lang w:val="en-GB"/>
        </w:rPr>
        <w:t>(</w:t>
      </w:r>
      <w:r w:rsidRPr="00B17C11">
        <w:rPr>
          <w:rFonts w:ascii="Arial" w:hAnsi="Arial" w:cs="Arial"/>
          <w:sz w:val="24"/>
          <w:szCs w:val="24"/>
          <w:lang w:val="en-GB"/>
        </w:rPr>
        <w:t>4</w:t>
      </w:r>
      <w:r w:rsidR="00A5122F" w:rsidRPr="00B17C11">
        <w:rPr>
          <w:rFonts w:ascii="Arial" w:hAnsi="Arial" w:cs="Arial"/>
          <w:sz w:val="24"/>
          <w:szCs w:val="24"/>
          <w:lang w:val="en-GB"/>
        </w:rPr>
        <w:t>)</w:t>
      </w:r>
      <w:r w:rsidRPr="00B17C11">
        <w:rPr>
          <w:rFonts w:ascii="Arial" w:hAnsi="Arial" w:cs="Arial"/>
          <w:sz w:val="24"/>
          <w:szCs w:val="24"/>
          <w:lang w:val="en-GB"/>
        </w:rPr>
        <w:t xml:space="preserve"> SA 207 (SCA). </w:t>
      </w:r>
      <w:r w:rsidRPr="00B17C11">
        <w:rPr>
          <w:rFonts w:ascii="Arial" w:hAnsi="Arial" w:cs="Arial"/>
          <w:i/>
          <w:sz w:val="24"/>
          <w:szCs w:val="24"/>
        </w:rPr>
        <w:t>TSAR</w:t>
      </w:r>
      <w:r w:rsidR="00A5122F" w:rsidRPr="00B17C11">
        <w:rPr>
          <w:rFonts w:ascii="Arial" w:hAnsi="Arial" w:cs="Arial"/>
          <w:i/>
          <w:sz w:val="24"/>
          <w:szCs w:val="24"/>
        </w:rPr>
        <w:t xml:space="preserve"> </w:t>
      </w:r>
      <w:r w:rsidR="00A5122F" w:rsidRPr="00B17C11">
        <w:rPr>
          <w:rFonts w:ascii="Arial" w:hAnsi="Arial" w:cs="Arial"/>
          <w:iCs/>
          <w:sz w:val="24"/>
          <w:szCs w:val="24"/>
        </w:rPr>
        <w:t>2015(1)</w:t>
      </w:r>
      <w:r w:rsidRPr="00B17C11">
        <w:rPr>
          <w:rFonts w:ascii="Arial" w:hAnsi="Arial" w:cs="Arial"/>
          <w:iCs/>
          <w:sz w:val="24"/>
          <w:szCs w:val="24"/>
          <w:lang w:val="en-GB"/>
        </w:rPr>
        <w:t>:</w:t>
      </w:r>
      <w:r w:rsidRPr="00B17C11">
        <w:rPr>
          <w:rFonts w:ascii="Arial" w:hAnsi="Arial" w:cs="Arial"/>
          <w:sz w:val="24"/>
          <w:szCs w:val="24"/>
          <w:lang w:val="en-GB"/>
        </w:rPr>
        <w:t xml:space="preserve"> 198-205.</w:t>
      </w:r>
    </w:p>
    <w:p w14:paraId="550F28D9" w14:textId="77777777" w:rsidR="00396FF9" w:rsidRPr="00B17C11" w:rsidRDefault="00396FF9" w:rsidP="00396FF9">
      <w:pPr>
        <w:spacing w:before="120" w:after="120" w:line="360" w:lineRule="auto"/>
        <w:ind w:left="720"/>
        <w:jc w:val="both"/>
        <w:rPr>
          <w:rFonts w:ascii="Arial" w:hAnsi="Arial" w:cs="Arial"/>
          <w:sz w:val="24"/>
          <w:szCs w:val="24"/>
          <w:lang w:val="en-GB"/>
        </w:rPr>
      </w:pPr>
    </w:p>
    <w:p w14:paraId="70C03B50" w14:textId="31CEA927" w:rsidR="00396FF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HAHLO HR</w:t>
      </w:r>
    </w:p>
    <w:p w14:paraId="2FFA1EF0" w14:textId="6EBF7FD6"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1954-1955</w:t>
      </w:r>
      <w:r w:rsidR="005F3A97"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The South African law of real actions. </w:t>
      </w:r>
      <w:r w:rsidRPr="00B17C11">
        <w:rPr>
          <w:rFonts w:ascii="Arial" w:hAnsi="Arial" w:cs="Arial"/>
          <w:i/>
          <w:sz w:val="24"/>
          <w:szCs w:val="24"/>
          <w:shd w:val="clear" w:color="auto" w:fill="FFFFFF"/>
        </w:rPr>
        <w:t>Tulane Law Review</w:t>
      </w:r>
      <w:r w:rsidRPr="00B17C11">
        <w:rPr>
          <w:rFonts w:ascii="Arial" w:hAnsi="Arial" w:cs="Arial"/>
          <w:sz w:val="24"/>
          <w:szCs w:val="24"/>
          <w:shd w:val="clear" w:color="auto" w:fill="FFFFFF"/>
        </w:rPr>
        <w:t xml:space="preserve"> 29(4)</w:t>
      </w:r>
      <w:r w:rsidR="00A5122F" w:rsidRPr="00B17C11">
        <w:rPr>
          <w:rFonts w:ascii="Arial" w:hAnsi="Arial" w:cs="Arial"/>
          <w:sz w:val="24"/>
          <w:szCs w:val="24"/>
          <w:shd w:val="clear" w:color="auto" w:fill="FFFFFF"/>
        </w:rPr>
        <w:t>:</w:t>
      </w:r>
      <w:r w:rsidRPr="00B17C11">
        <w:rPr>
          <w:rFonts w:ascii="Arial" w:hAnsi="Arial" w:cs="Arial"/>
          <w:sz w:val="24"/>
          <w:szCs w:val="24"/>
          <w:shd w:val="clear" w:color="auto" w:fill="FFFFFF"/>
        </w:rPr>
        <w:t>725-730.</w:t>
      </w:r>
    </w:p>
    <w:p w14:paraId="49304055" w14:textId="77777777" w:rsidR="005F3A97" w:rsidRPr="00B17C11" w:rsidRDefault="005F3A97" w:rsidP="00396FF9">
      <w:pPr>
        <w:spacing w:before="120" w:after="120" w:line="360" w:lineRule="auto"/>
        <w:jc w:val="both"/>
        <w:rPr>
          <w:rFonts w:ascii="Arial" w:hAnsi="Arial" w:cs="Arial"/>
          <w:sz w:val="24"/>
          <w:szCs w:val="24"/>
          <w:shd w:val="clear" w:color="auto" w:fill="FFFFFF"/>
        </w:rPr>
      </w:pPr>
    </w:p>
    <w:p w14:paraId="1683BAE3" w14:textId="603BFDAE" w:rsidR="005F3A97"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HARKER JR</w:t>
      </w:r>
    </w:p>
    <w:p w14:paraId="2981B84E" w14:textId="5B20DB23"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1988. The </w:t>
      </w:r>
      <w:proofErr w:type="spellStart"/>
      <w:r w:rsidRPr="00B17C11">
        <w:rPr>
          <w:rFonts w:ascii="Arial" w:hAnsi="Arial" w:cs="Arial"/>
          <w:sz w:val="24"/>
          <w:szCs w:val="24"/>
          <w:shd w:val="clear" w:color="auto" w:fill="FFFFFF"/>
        </w:rPr>
        <w:t>mandament</w:t>
      </w:r>
      <w:proofErr w:type="spellEnd"/>
      <w:r w:rsidRPr="00B17C11">
        <w:rPr>
          <w:rFonts w:ascii="Arial" w:hAnsi="Arial" w:cs="Arial"/>
          <w:sz w:val="24"/>
          <w:szCs w:val="24"/>
          <w:shd w:val="clear" w:color="auto" w:fill="FFFFFF"/>
        </w:rPr>
        <w:t xml:space="preserve"> van </w:t>
      </w:r>
      <w:proofErr w:type="spellStart"/>
      <w:r w:rsidRPr="00B17C11">
        <w:rPr>
          <w:rFonts w:ascii="Arial" w:hAnsi="Arial" w:cs="Arial"/>
          <w:sz w:val="24"/>
          <w:szCs w:val="24"/>
          <w:shd w:val="clear" w:color="auto" w:fill="FFFFFF"/>
        </w:rPr>
        <w:t>spolie</w:t>
      </w:r>
      <w:proofErr w:type="spellEnd"/>
      <w:r w:rsidRPr="00B17C11">
        <w:rPr>
          <w:rFonts w:ascii="Arial" w:hAnsi="Arial" w:cs="Arial"/>
          <w:sz w:val="24"/>
          <w:szCs w:val="24"/>
          <w:shd w:val="clear" w:color="auto" w:fill="FFFFFF"/>
        </w:rPr>
        <w:t xml:space="preserve"> in private and public law. </w:t>
      </w:r>
      <w:r w:rsidRPr="00B17C11">
        <w:rPr>
          <w:rFonts w:ascii="Arial" w:hAnsi="Arial" w:cs="Arial"/>
          <w:i/>
          <w:sz w:val="24"/>
          <w:szCs w:val="24"/>
          <w:shd w:val="clear" w:color="auto" w:fill="FFFFFF"/>
        </w:rPr>
        <w:t>South African Law Journal</w:t>
      </w:r>
      <w:r w:rsidRPr="00B17C11">
        <w:rPr>
          <w:rFonts w:ascii="Arial" w:hAnsi="Arial" w:cs="Arial"/>
          <w:iCs/>
          <w:sz w:val="24"/>
          <w:szCs w:val="24"/>
          <w:shd w:val="clear" w:color="auto" w:fill="FFFFFF"/>
        </w:rPr>
        <w:t xml:space="preserve"> 105(2):</w:t>
      </w:r>
      <w:r w:rsidRPr="00B17C11">
        <w:rPr>
          <w:rFonts w:ascii="Arial" w:hAnsi="Arial" w:cs="Arial"/>
          <w:sz w:val="24"/>
          <w:szCs w:val="24"/>
          <w:shd w:val="clear" w:color="auto" w:fill="FFFFFF"/>
        </w:rPr>
        <w:t>186-199.</w:t>
      </w:r>
    </w:p>
    <w:p w14:paraId="21CFA929" w14:textId="77777777" w:rsidR="005F3A97" w:rsidRPr="00B17C11" w:rsidRDefault="005F3A97" w:rsidP="005F3A97">
      <w:pPr>
        <w:spacing w:before="120" w:after="120" w:line="360" w:lineRule="auto"/>
        <w:ind w:left="720"/>
        <w:jc w:val="both"/>
        <w:rPr>
          <w:rFonts w:ascii="Arial" w:hAnsi="Arial" w:cs="Arial"/>
          <w:sz w:val="24"/>
          <w:szCs w:val="24"/>
          <w:shd w:val="clear" w:color="auto" w:fill="FFFFFF"/>
        </w:rPr>
      </w:pPr>
    </w:p>
    <w:p w14:paraId="311348D4" w14:textId="787FE51C" w:rsidR="005F3A97"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HORN JG, KNOBEL IM &amp; WIESE M</w:t>
      </w:r>
    </w:p>
    <w:p w14:paraId="70884566" w14:textId="369945B0"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2021. </w:t>
      </w:r>
      <w:r w:rsidRPr="00B17C11">
        <w:rPr>
          <w:rFonts w:ascii="Arial" w:hAnsi="Arial" w:cs="Arial"/>
          <w:i/>
          <w:iCs/>
          <w:sz w:val="24"/>
          <w:szCs w:val="24"/>
          <w:shd w:val="clear" w:color="auto" w:fill="FFFFFF"/>
        </w:rPr>
        <w:t>Introduction to the law of property</w:t>
      </w:r>
      <w:r w:rsidRPr="00B17C11">
        <w:rPr>
          <w:rFonts w:ascii="Arial" w:hAnsi="Arial" w:cs="Arial"/>
          <w:sz w:val="24"/>
          <w:szCs w:val="24"/>
          <w:shd w:val="clear" w:color="auto" w:fill="FFFFFF"/>
        </w:rPr>
        <w:t>. 8</w:t>
      </w:r>
      <w:r w:rsidRPr="00B17C11">
        <w:rPr>
          <w:rFonts w:ascii="Arial" w:hAnsi="Arial" w:cs="Arial"/>
          <w:sz w:val="24"/>
          <w:szCs w:val="24"/>
          <w:shd w:val="clear" w:color="auto" w:fill="FFFFFF"/>
          <w:vertAlign w:val="superscript"/>
        </w:rPr>
        <w:t>th</w:t>
      </w:r>
      <w:r w:rsidRPr="00B17C11">
        <w:rPr>
          <w:rFonts w:ascii="Arial" w:hAnsi="Arial" w:cs="Arial"/>
          <w:sz w:val="24"/>
          <w:szCs w:val="24"/>
          <w:shd w:val="clear" w:color="auto" w:fill="FFFFFF"/>
        </w:rPr>
        <w:t xml:space="preserve"> edition. Juta. Cape Town.</w:t>
      </w:r>
    </w:p>
    <w:p w14:paraId="16816CF7" w14:textId="77777777" w:rsidR="005F3A97" w:rsidRPr="00B17C11" w:rsidRDefault="005F3A97" w:rsidP="005F3A97">
      <w:pPr>
        <w:spacing w:before="120" w:after="120" w:line="360" w:lineRule="auto"/>
        <w:ind w:left="720"/>
        <w:jc w:val="both"/>
        <w:rPr>
          <w:rFonts w:ascii="Arial" w:hAnsi="Arial" w:cs="Arial"/>
          <w:sz w:val="24"/>
          <w:szCs w:val="24"/>
          <w:shd w:val="clear" w:color="auto" w:fill="FFFFFF"/>
        </w:rPr>
      </w:pPr>
    </w:p>
    <w:p w14:paraId="2C348C92" w14:textId="5D854866" w:rsidR="005F3A97"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KLEYN D</w:t>
      </w:r>
    </w:p>
    <w:p w14:paraId="36DB5BAE" w14:textId="503FB01A" w:rsidR="00396FF9" w:rsidRPr="00B17C11" w:rsidRDefault="00396FF9" w:rsidP="005F3A97">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2013. The protection of quasi-possession in South African Law. </w:t>
      </w:r>
      <w:r w:rsidRPr="00B17C11">
        <w:rPr>
          <w:rFonts w:ascii="Arial" w:hAnsi="Arial" w:cs="Arial"/>
          <w:i/>
          <w:iCs/>
          <w:sz w:val="24"/>
          <w:szCs w:val="24"/>
          <w:lang w:val="en-GB"/>
        </w:rPr>
        <w:t>Studia Universitatis Babes Bolyai-</w:t>
      </w:r>
      <w:proofErr w:type="spellStart"/>
      <w:r w:rsidRPr="00B17C11">
        <w:rPr>
          <w:rFonts w:ascii="Arial" w:hAnsi="Arial" w:cs="Arial"/>
          <w:i/>
          <w:iCs/>
          <w:sz w:val="24"/>
          <w:szCs w:val="24"/>
          <w:lang w:val="en-GB"/>
        </w:rPr>
        <w:t>Iurisprudentia</w:t>
      </w:r>
      <w:proofErr w:type="spellEnd"/>
      <w:r w:rsidRPr="00B17C11">
        <w:rPr>
          <w:rFonts w:ascii="Arial" w:hAnsi="Arial" w:cs="Arial"/>
          <w:sz w:val="24"/>
          <w:szCs w:val="24"/>
          <w:lang w:val="en-GB"/>
        </w:rPr>
        <w:t xml:space="preserve"> 58(4):142-164.</w:t>
      </w:r>
    </w:p>
    <w:p w14:paraId="10C1618A" w14:textId="77777777" w:rsidR="005F3A97" w:rsidRPr="00B17C11" w:rsidRDefault="005F3A97" w:rsidP="005F3A97">
      <w:pPr>
        <w:spacing w:before="120" w:after="120" w:line="360" w:lineRule="auto"/>
        <w:ind w:left="720"/>
        <w:jc w:val="both"/>
        <w:rPr>
          <w:rFonts w:ascii="Arial" w:hAnsi="Arial" w:cs="Arial"/>
          <w:sz w:val="24"/>
          <w:szCs w:val="24"/>
          <w:lang w:val="en-GB"/>
        </w:rPr>
      </w:pPr>
    </w:p>
    <w:p w14:paraId="3450AD09" w14:textId="370C2365" w:rsidR="005F3A97"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LEE RW</w:t>
      </w:r>
    </w:p>
    <w:p w14:paraId="18590558" w14:textId="65C7929E"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1931. </w:t>
      </w:r>
      <w:r w:rsidRPr="00B17C11">
        <w:rPr>
          <w:rFonts w:ascii="Arial" w:hAnsi="Arial" w:cs="Arial"/>
          <w:i/>
          <w:sz w:val="24"/>
          <w:szCs w:val="24"/>
          <w:shd w:val="clear" w:color="auto" w:fill="FFFFFF"/>
        </w:rPr>
        <w:t>Introduction to Roman-Dutch law</w:t>
      </w:r>
      <w:r w:rsidRPr="00B17C11">
        <w:rPr>
          <w:rFonts w:ascii="Arial" w:hAnsi="Arial" w:cs="Arial"/>
          <w:sz w:val="24"/>
          <w:szCs w:val="24"/>
          <w:shd w:val="clear" w:color="auto" w:fill="FFFFFF"/>
        </w:rPr>
        <w:t>. 3</w:t>
      </w:r>
      <w:r w:rsidRPr="00B17C11">
        <w:rPr>
          <w:rFonts w:ascii="Arial" w:hAnsi="Arial" w:cs="Arial"/>
          <w:sz w:val="24"/>
          <w:szCs w:val="24"/>
          <w:shd w:val="clear" w:color="auto" w:fill="FFFFFF"/>
          <w:vertAlign w:val="superscript"/>
        </w:rPr>
        <w:t>rd</w:t>
      </w:r>
      <w:r w:rsidRPr="00B17C11">
        <w:rPr>
          <w:rFonts w:ascii="Arial" w:hAnsi="Arial" w:cs="Arial"/>
          <w:sz w:val="24"/>
          <w:szCs w:val="24"/>
          <w:shd w:val="clear" w:color="auto" w:fill="FFFFFF"/>
        </w:rPr>
        <w:t xml:space="preserve"> edition. Oxford: </w:t>
      </w:r>
      <w:proofErr w:type="spellStart"/>
      <w:r w:rsidRPr="00B17C11">
        <w:rPr>
          <w:rFonts w:ascii="Arial" w:hAnsi="Arial" w:cs="Arial"/>
          <w:sz w:val="24"/>
          <w:szCs w:val="24"/>
          <w:shd w:val="clear" w:color="auto" w:fill="FFFFFF"/>
        </w:rPr>
        <w:t>Claredon</w:t>
      </w:r>
      <w:proofErr w:type="spellEnd"/>
      <w:r w:rsidRPr="00B17C11">
        <w:rPr>
          <w:rFonts w:ascii="Arial" w:hAnsi="Arial" w:cs="Arial"/>
          <w:sz w:val="24"/>
          <w:szCs w:val="24"/>
          <w:shd w:val="clear" w:color="auto" w:fill="FFFFFF"/>
        </w:rPr>
        <w:t>.</w:t>
      </w:r>
    </w:p>
    <w:p w14:paraId="41DF1434" w14:textId="77777777" w:rsidR="005F3A97" w:rsidRPr="00B17C11" w:rsidRDefault="005F3A97" w:rsidP="005F3A97">
      <w:pPr>
        <w:spacing w:before="120" w:after="120" w:line="360" w:lineRule="auto"/>
        <w:ind w:left="720"/>
        <w:jc w:val="both"/>
        <w:rPr>
          <w:rFonts w:ascii="Arial" w:hAnsi="Arial" w:cs="Arial"/>
          <w:sz w:val="24"/>
          <w:szCs w:val="24"/>
          <w:shd w:val="clear" w:color="auto" w:fill="FFFFFF"/>
        </w:rPr>
      </w:pPr>
    </w:p>
    <w:p w14:paraId="59C28A65" w14:textId="67B6B27B" w:rsidR="005F3A97" w:rsidRPr="00B17C11" w:rsidRDefault="00396FF9" w:rsidP="00396FF9">
      <w:pPr>
        <w:spacing w:before="120" w:after="120" w:line="360" w:lineRule="auto"/>
        <w:jc w:val="both"/>
        <w:rPr>
          <w:rFonts w:ascii="Arial" w:hAnsi="Arial" w:cs="Arial"/>
          <w:sz w:val="24"/>
          <w:szCs w:val="24"/>
        </w:rPr>
      </w:pPr>
      <w:r w:rsidRPr="00B17C11">
        <w:rPr>
          <w:rFonts w:ascii="Arial" w:hAnsi="Arial" w:cs="Arial"/>
          <w:sz w:val="24"/>
          <w:szCs w:val="24"/>
        </w:rPr>
        <w:t>MARAIS EJ</w:t>
      </w:r>
    </w:p>
    <w:p w14:paraId="2A2EC05C" w14:textId="4767FE82" w:rsidR="00396FF9" w:rsidRPr="00B17C11" w:rsidRDefault="00396FF9" w:rsidP="005F3A97">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2021a. Makeshift 1109 (Pty) Ltd v Cilliers 2020 </w:t>
      </w:r>
      <w:r w:rsidR="00A5122F" w:rsidRPr="00B17C11">
        <w:rPr>
          <w:rFonts w:ascii="Arial" w:hAnsi="Arial" w:cs="Arial"/>
          <w:sz w:val="24"/>
          <w:szCs w:val="24"/>
        </w:rPr>
        <w:t>(</w:t>
      </w:r>
      <w:r w:rsidRPr="00B17C11">
        <w:rPr>
          <w:rFonts w:ascii="Arial" w:hAnsi="Arial" w:cs="Arial"/>
          <w:sz w:val="24"/>
          <w:szCs w:val="24"/>
        </w:rPr>
        <w:t>5</w:t>
      </w:r>
      <w:r w:rsidR="00A5122F" w:rsidRPr="00B17C11">
        <w:rPr>
          <w:rFonts w:ascii="Arial" w:hAnsi="Arial" w:cs="Arial"/>
          <w:sz w:val="24"/>
          <w:szCs w:val="24"/>
        </w:rPr>
        <w:t>)</w:t>
      </w:r>
      <w:r w:rsidRPr="00B17C11">
        <w:rPr>
          <w:rFonts w:ascii="Arial" w:hAnsi="Arial" w:cs="Arial"/>
          <w:sz w:val="24"/>
          <w:szCs w:val="24"/>
        </w:rPr>
        <w:t xml:space="preserve"> SA 538 (WCC): The increasing difficulty of protecting </w:t>
      </w:r>
      <w:r w:rsidRPr="00B17C11">
        <w:rPr>
          <w:rFonts w:ascii="Arial" w:hAnsi="Arial" w:cs="Arial"/>
          <w:i/>
          <w:iCs/>
          <w:sz w:val="24"/>
          <w:szCs w:val="24"/>
        </w:rPr>
        <w:t>quasi</w:t>
      </w:r>
      <w:r w:rsidRPr="00B17C11">
        <w:rPr>
          <w:rFonts w:ascii="Arial" w:hAnsi="Arial" w:cs="Arial"/>
          <w:sz w:val="24"/>
          <w:szCs w:val="24"/>
        </w:rPr>
        <w:t xml:space="preserve">-possession of </w:t>
      </w:r>
      <w:proofErr w:type="spellStart"/>
      <w:r w:rsidRPr="00B17C11">
        <w:rPr>
          <w:rFonts w:ascii="Arial" w:hAnsi="Arial" w:cs="Arial"/>
          <w:sz w:val="24"/>
          <w:szCs w:val="24"/>
        </w:rPr>
        <w:t>incorporeals</w:t>
      </w:r>
      <w:proofErr w:type="spellEnd"/>
      <w:r w:rsidRPr="00B17C11">
        <w:rPr>
          <w:rFonts w:ascii="Arial" w:hAnsi="Arial" w:cs="Arial"/>
          <w:sz w:val="24"/>
          <w:szCs w:val="24"/>
        </w:rPr>
        <w:t xml:space="preserve"> with the </w:t>
      </w:r>
      <w:proofErr w:type="spellStart"/>
      <w:r w:rsidRPr="00B17C11">
        <w:rPr>
          <w:rFonts w:ascii="Arial" w:hAnsi="Arial" w:cs="Arial"/>
          <w:sz w:val="24"/>
          <w:szCs w:val="24"/>
        </w:rPr>
        <w:t>mandament</w:t>
      </w:r>
      <w:proofErr w:type="spellEnd"/>
      <w:r w:rsidRPr="00B17C11">
        <w:rPr>
          <w:rFonts w:ascii="Arial" w:hAnsi="Arial" w:cs="Arial"/>
          <w:sz w:val="24"/>
          <w:szCs w:val="24"/>
        </w:rPr>
        <w:t xml:space="preserve"> van </w:t>
      </w:r>
      <w:proofErr w:type="spellStart"/>
      <w:r w:rsidRPr="00B17C11">
        <w:rPr>
          <w:rFonts w:ascii="Arial" w:hAnsi="Arial" w:cs="Arial"/>
          <w:sz w:val="24"/>
          <w:szCs w:val="24"/>
        </w:rPr>
        <w:t>spolie</w:t>
      </w:r>
      <w:proofErr w:type="spellEnd"/>
      <w:r w:rsidRPr="00B17C11">
        <w:rPr>
          <w:rFonts w:ascii="Arial" w:hAnsi="Arial" w:cs="Arial"/>
          <w:sz w:val="24"/>
          <w:szCs w:val="24"/>
        </w:rPr>
        <w:t xml:space="preserve">. </w:t>
      </w:r>
      <w:r w:rsidRPr="00B17C11">
        <w:rPr>
          <w:rFonts w:ascii="Arial" w:hAnsi="Arial" w:cs="Arial"/>
          <w:i/>
          <w:iCs/>
          <w:sz w:val="24"/>
          <w:szCs w:val="24"/>
        </w:rPr>
        <w:t>De Jure Law Journal</w:t>
      </w:r>
      <w:r w:rsidR="00A5122F" w:rsidRPr="00B17C11">
        <w:rPr>
          <w:rFonts w:ascii="Arial" w:hAnsi="Arial" w:cs="Arial"/>
          <w:i/>
          <w:iCs/>
          <w:sz w:val="24"/>
          <w:szCs w:val="24"/>
        </w:rPr>
        <w:t xml:space="preserve"> </w:t>
      </w:r>
      <w:r w:rsidR="00A5122F" w:rsidRPr="00B17C11">
        <w:rPr>
          <w:rFonts w:ascii="Arial" w:hAnsi="Arial" w:cs="Arial"/>
          <w:sz w:val="24"/>
          <w:szCs w:val="24"/>
        </w:rPr>
        <w:t>54(1)</w:t>
      </w:r>
      <w:r w:rsidRPr="00B17C11">
        <w:rPr>
          <w:rFonts w:ascii="Arial" w:hAnsi="Arial" w:cs="Arial"/>
          <w:sz w:val="24"/>
          <w:szCs w:val="24"/>
        </w:rPr>
        <w:t>: 91-104.</w:t>
      </w:r>
    </w:p>
    <w:p w14:paraId="2D764082" w14:textId="77777777" w:rsidR="005F3A97" w:rsidRPr="00B17C11" w:rsidRDefault="005F3A97" w:rsidP="005F3A97">
      <w:pPr>
        <w:spacing w:before="120" w:after="120" w:line="360" w:lineRule="auto"/>
        <w:ind w:left="720"/>
        <w:jc w:val="both"/>
        <w:rPr>
          <w:rFonts w:ascii="Arial" w:hAnsi="Arial" w:cs="Arial"/>
          <w:sz w:val="24"/>
          <w:szCs w:val="24"/>
        </w:rPr>
      </w:pPr>
    </w:p>
    <w:p w14:paraId="5E965686" w14:textId="75FCC923"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2021b. Protecting quasi-possession of electricity supply with the </w:t>
      </w:r>
      <w:proofErr w:type="spellStart"/>
      <w:r w:rsidRPr="00B17C11">
        <w:rPr>
          <w:rFonts w:ascii="Arial" w:hAnsi="Arial" w:cs="Arial"/>
          <w:sz w:val="24"/>
          <w:szCs w:val="24"/>
          <w:shd w:val="clear" w:color="auto" w:fill="FFFFFF"/>
        </w:rPr>
        <w:t>mandament</w:t>
      </w:r>
      <w:proofErr w:type="spellEnd"/>
      <w:r w:rsidRPr="00B17C11">
        <w:rPr>
          <w:rFonts w:ascii="Arial" w:hAnsi="Arial" w:cs="Arial"/>
          <w:sz w:val="24"/>
          <w:szCs w:val="24"/>
          <w:shd w:val="clear" w:color="auto" w:fill="FFFFFF"/>
        </w:rPr>
        <w:t xml:space="preserve"> van </w:t>
      </w:r>
      <w:proofErr w:type="spellStart"/>
      <w:r w:rsidRPr="00B17C11">
        <w:rPr>
          <w:rFonts w:ascii="Arial" w:hAnsi="Arial" w:cs="Arial"/>
          <w:sz w:val="24"/>
          <w:szCs w:val="24"/>
          <w:shd w:val="clear" w:color="auto" w:fill="FFFFFF"/>
        </w:rPr>
        <w:t>spolie</w:t>
      </w:r>
      <w:proofErr w:type="spellEnd"/>
      <w:r w:rsidRPr="00B17C11">
        <w:rPr>
          <w:rFonts w:ascii="Arial" w:hAnsi="Arial" w:cs="Arial"/>
          <w:sz w:val="24"/>
          <w:szCs w:val="24"/>
          <w:shd w:val="clear" w:color="auto" w:fill="FFFFFF"/>
        </w:rPr>
        <w:t xml:space="preserve"> – has the Supreme Court of Appeal switched off this possibility? [A discussion of Eskom Holdings Soc Ltd v Masinda 2019 </w:t>
      </w:r>
      <w:r w:rsidR="00313EF7" w:rsidRPr="00B17C11">
        <w:rPr>
          <w:rFonts w:ascii="Arial" w:hAnsi="Arial" w:cs="Arial"/>
          <w:sz w:val="24"/>
          <w:szCs w:val="24"/>
          <w:shd w:val="clear" w:color="auto" w:fill="FFFFFF"/>
        </w:rPr>
        <w:t>(</w:t>
      </w:r>
      <w:r w:rsidRPr="00B17C11">
        <w:rPr>
          <w:rFonts w:ascii="Arial" w:hAnsi="Arial" w:cs="Arial"/>
          <w:sz w:val="24"/>
          <w:szCs w:val="24"/>
          <w:shd w:val="clear" w:color="auto" w:fill="FFFFFF"/>
        </w:rPr>
        <w:t>5</w:t>
      </w:r>
      <w:r w:rsidR="00313EF7"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SA 386 (SCA)]. </w:t>
      </w:r>
      <w:r w:rsidRPr="00B17C11">
        <w:rPr>
          <w:rFonts w:ascii="Arial" w:hAnsi="Arial" w:cs="Arial"/>
          <w:i/>
          <w:iCs/>
          <w:sz w:val="24"/>
          <w:szCs w:val="24"/>
          <w:shd w:val="clear" w:color="auto" w:fill="FFFFFF"/>
        </w:rPr>
        <w:t>Stellenbosch Law Review 32</w:t>
      </w:r>
      <w:r w:rsidRPr="00B17C11">
        <w:rPr>
          <w:rFonts w:ascii="Arial" w:hAnsi="Arial" w:cs="Arial"/>
          <w:sz w:val="24"/>
          <w:szCs w:val="24"/>
          <w:shd w:val="clear" w:color="auto" w:fill="FFFFFF"/>
        </w:rPr>
        <w:t>(2):215-233.</w:t>
      </w:r>
    </w:p>
    <w:p w14:paraId="4799CBD7" w14:textId="77777777" w:rsidR="005F3A97" w:rsidRPr="00B17C11" w:rsidRDefault="005F3A97" w:rsidP="005F3A97">
      <w:pPr>
        <w:spacing w:before="120" w:after="120" w:line="360" w:lineRule="auto"/>
        <w:ind w:left="720"/>
        <w:jc w:val="both"/>
        <w:rPr>
          <w:rFonts w:ascii="Arial" w:hAnsi="Arial" w:cs="Arial"/>
          <w:sz w:val="24"/>
          <w:szCs w:val="24"/>
        </w:rPr>
      </w:pPr>
    </w:p>
    <w:p w14:paraId="488228FF" w14:textId="722DC135"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 xml:space="preserve">2022. The South African possession theory revisited: A re-evaluation of the possession concept and possessory terminology (2). </w:t>
      </w:r>
      <w:proofErr w:type="spellStart"/>
      <w:r w:rsidRPr="00B17C11">
        <w:rPr>
          <w:rFonts w:ascii="Arial" w:hAnsi="Arial" w:cs="Arial"/>
          <w:i/>
          <w:iCs/>
          <w:sz w:val="24"/>
          <w:szCs w:val="24"/>
          <w:shd w:val="clear" w:color="auto" w:fill="FFFFFF"/>
        </w:rPr>
        <w:t>Tydskrif</w:t>
      </w:r>
      <w:proofErr w:type="spellEnd"/>
      <w:r w:rsidRPr="00B17C11">
        <w:rPr>
          <w:rFonts w:ascii="Arial" w:hAnsi="Arial" w:cs="Arial"/>
          <w:i/>
          <w:iCs/>
          <w:sz w:val="24"/>
          <w:szCs w:val="24"/>
          <w:shd w:val="clear" w:color="auto" w:fill="FFFFFF"/>
        </w:rPr>
        <w:t xml:space="preserve"> </w:t>
      </w:r>
      <w:proofErr w:type="spellStart"/>
      <w:r w:rsidRPr="00B17C11">
        <w:rPr>
          <w:rFonts w:ascii="Arial" w:hAnsi="Arial" w:cs="Arial"/>
          <w:i/>
          <w:iCs/>
          <w:sz w:val="24"/>
          <w:szCs w:val="24"/>
          <w:shd w:val="clear" w:color="auto" w:fill="FFFFFF"/>
        </w:rPr>
        <w:t>vir</w:t>
      </w:r>
      <w:proofErr w:type="spellEnd"/>
      <w:r w:rsidRPr="00B17C11">
        <w:rPr>
          <w:rFonts w:ascii="Arial" w:hAnsi="Arial" w:cs="Arial"/>
          <w:i/>
          <w:iCs/>
          <w:sz w:val="24"/>
          <w:szCs w:val="24"/>
          <w:shd w:val="clear" w:color="auto" w:fill="FFFFFF"/>
        </w:rPr>
        <w:t xml:space="preserve"> </w:t>
      </w:r>
      <w:proofErr w:type="spellStart"/>
      <w:r w:rsidRPr="00B17C11">
        <w:rPr>
          <w:rFonts w:ascii="Arial" w:hAnsi="Arial" w:cs="Arial"/>
          <w:i/>
          <w:iCs/>
          <w:sz w:val="24"/>
          <w:szCs w:val="24"/>
          <w:shd w:val="clear" w:color="auto" w:fill="FFFFFF"/>
        </w:rPr>
        <w:t>Hedendaagse</w:t>
      </w:r>
      <w:proofErr w:type="spellEnd"/>
      <w:r w:rsidRPr="00B17C11">
        <w:rPr>
          <w:rFonts w:ascii="Arial" w:hAnsi="Arial" w:cs="Arial"/>
          <w:i/>
          <w:iCs/>
          <w:sz w:val="24"/>
          <w:szCs w:val="24"/>
          <w:shd w:val="clear" w:color="auto" w:fill="FFFFFF"/>
        </w:rPr>
        <w:t xml:space="preserve"> </w:t>
      </w:r>
      <w:proofErr w:type="spellStart"/>
      <w:r w:rsidRPr="00B17C11">
        <w:rPr>
          <w:rFonts w:ascii="Arial" w:hAnsi="Arial" w:cs="Arial"/>
          <w:i/>
          <w:iCs/>
          <w:sz w:val="24"/>
          <w:szCs w:val="24"/>
          <w:shd w:val="clear" w:color="auto" w:fill="FFFFFF"/>
        </w:rPr>
        <w:t>Romeins-Hollandse</w:t>
      </w:r>
      <w:proofErr w:type="spellEnd"/>
      <w:r w:rsidRPr="00B17C11">
        <w:rPr>
          <w:rFonts w:ascii="Arial" w:hAnsi="Arial" w:cs="Arial"/>
          <w:i/>
          <w:iCs/>
          <w:sz w:val="24"/>
          <w:szCs w:val="24"/>
          <w:shd w:val="clear" w:color="auto" w:fill="FFFFFF"/>
        </w:rPr>
        <w:t xml:space="preserve"> Reg </w:t>
      </w:r>
      <w:r w:rsidRPr="00B17C11">
        <w:rPr>
          <w:rFonts w:ascii="Arial" w:hAnsi="Arial" w:cs="Arial"/>
          <w:sz w:val="24"/>
          <w:szCs w:val="24"/>
          <w:shd w:val="clear" w:color="auto" w:fill="FFFFFF"/>
        </w:rPr>
        <w:t>85(3):287-300.</w:t>
      </w:r>
    </w:p>
    <w:p w14:paraId="77DB67D7" w14:textId="77777777" w:rsidR="005F3A97" w:rsidRPr="00B17C11" w:rsidRDefault="005F3A97" w:rsidP="005F3A97">
      <w:pPr>
        <w:spacing w:before="120" w:after="120" w:line="360" w:lineRule="auto"/>
        <w:ind w:left="720"/>
        <w:jc w:val="both"/>
        <w:rPr>
          <w:rFonts w:ascii="Arial" w:hAnsi="Arial" w:cs="Arial"/>
          <w:sz w:val="24"/>
          <w:szCs w:val="24"/>
          <w:shd w:val="clear" w:color="auto" w:fill="FFFFFF"/>
        </w:rPr>
      </w:pPr>
    </w:p>
    <w:p w14:paraId="1E1C96EE" w14:textId="67A50D92" w:rsidR="005F3A97"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MULLER G</w:t>
      </w:r>
    </w:p>
    <w:p w14:paraId="446BA211" w14:textId="372B95BF" w:rsidR="00396FF9" w:rsidRPr="00B17C11" w:rsidRDefault="00396FF9" w:rsidP="005F3A97">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2019. Restoring electricity use with the spoliation remedy: A critical comment on Eskom Holding SOC Ltd v Masinda. </w:t>
      </w:r>
      <w:r w:rsidRPr="00B17C11">
        <w:rPr>
          <w:rFonts w:ascii="Arial" w:hAnsi="Arial" w:cs="Arial"/>
          <w:i/>
          <w:sz w:val="24"/>
          <w:szCs w:val="24"/>
          <w:lang w:val="en-GB"/>
        </w:rPr>
        <w:t>Pretoria Student Law Review</w:t>
      </w:r>
      <w:r w:rsidRPr="00B17C11">
        <w:rPr>
          <w:rFonts w:ascii="Arial" w:hAnsi="Arial" w:cs="Arial"/>
          <w:sz w:val="24"/>
          <w:szCs w:val="24"/>
          <w:lang w:val="en-GB"/>
        </w:rPr>
        <w:t xml:space="preserve"> 13:1-16.</w:t>
      </w:r>
    </w:p>
    <w:p w14:paraId="57524339" w14:textId="77777777" w:rsidR="005F3A97" w:rsidRPr="00B17C11" w:rsidRDefault="005F3A97" w:rsidP="005F3A97">
      <w:pPr>
        <w:spacing w:before="120" w:after="120" w:line="360" w:lineRule="auto"/>
        <w:ind w:left="720"/>
        <w:jc w:val="both"/>
        <w:rPr>
          <w:rFonts w:ascii="Arial" w:hAnsi="Arial" w:cs="Arial"/>
          <w:sz w:val="24"/>
          <w:szCs w:val="24"/>
          <w:lang w:val="en-GB"/>
        </w:rPr>
      </w:pPr>
    </w:p>
    <w:p w14:paraId="70354170" w14:textId="09E9C5D1" w:rsidR="00396FF9" w:rsidRPr="00B17C11" w:rsidRDefault="00396FF9" w:rsidP="005F3A97">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2020. Statutory utility rights to realise access to services as a characteristic of adequate housing. </w:t>
      </w:r>
      <w:r w:rsidRPr="00B17C11">
        <w:rPr>
          <w:rFonts w:ascii="Arial" w:hAnsi="Arial" w:cs="Arial"/>
          <w:i/>
          <w:iCs/>
          <w:sz w:val="24"/>
          <w:szCs w:val="24"/>
        </w:rPr>
        <w:t>Pretoria Student Law Review 14</w:t>
      </w:r>
      <w:r w:rsidRPr="00B17C11">
        <w:rPr>
          <w:rFonts w:ascii="Arial" w:hAnsi="Arial" w:cs="Arial"/>
          <w:sz w:val="24"/>
          <w:szCs w:val="24"/>
        </w:rPr>
        <w:t>(2):1-21.</w:t>
      </w:r>
    </w:p>
    <w:p w14:paraId="5AF1D4D1" w14:textId="77777777" w:rsidR="005F3A97" w:rsidRPr="00B17C11" w:rsidRDefault="005F3A97" w:rsidP="005F3A97">
      <w:pPr>
        <w:spacing w:before="120" w:after="120" w:line="360" w:lineRule="auto"/>
        <w:ind w:left="720"/>
        <w:jc w:val="both"/>
        <w:rPr>
          <w:rFonts w:ascii="Arial" w:hAnsi="Arial" w:cs="Arial"/>
          <w:sz w:val="24"/>
          <w:szCs w:val="24"/>
        </w:rPr>
      </w:pPr>
    </w:p>
    <w:p w14:paraId="262F018D" w14:textId="42069466" w:rsidR="005F3A97"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MULLER G, BRITS R, BOGGENPOEL ZT, DHLIWAYO P, ERLANK W, MARAIS EJ &amp; SLADE BV</w:t>
      </w:r>
    </w:p>
    <w:p w14:paraId="461C48AB" w14:textId="0A4360EF" w:rsidR="00396FF9" w:rsidRPr="00B17C11" w:rsidRDefault="00396FF9" w:rsidP="005F3A97">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2019</w:t>
      </w:r>
      <w:r w:rsidR="0058228F" w:rsidRPr="00B17C11">
        <w:rPr>
          <w:rFonts w:ascii="Arial" w:hAnsi="Arial" w:cs="Arial"/>
          <w:sz w:val="24"/>
          <w:szCs w:val="24"/>
          <w:shd w:val="clear" w:color="auto" w:fill="FFFFFF"/>
        </w:rPr>
        <w:t>a</w:t>
      </w:r>
      <w:r w:rsidRPr="00B17C11">
        <w:rPr>
          <w:rFonts w:ascii="Arial" w:hAnsi="Arial" w:cs="Arial"/>
          <w:sz w:val="24"/>
          <w:szCs w:val="24"/>
          <w:shd w:val="clear" w:color="auto" w:fill="FFFFFF"/>
        </w:rPr>
        <w:t xml:space="preserve">. </w:t>
      </w:r>
      <w:r w:rsidRPr="00B17C11">
        <w:rPr>
          <w:rFonts w:ascii="Arial" w:hAnsi="Arial" w:cs="Arial"/>
          <w:i/>
          <w:sz w:val="24"/>
          <w:szCs w:val="24"/>
          <w:shd w:val="clear" w:color="auto" w:fill="FFFFFF"/>
        </w:rPr>
        <w:t>General principles of South African Law</w:t>
      </w:r>
      <w:r w:rsidRPr="00B17C11">
        <w:rPr>
          <w:rFonts w:ascii="Arial" w:hAnsi="Arial" w:cs="Arial"/>
          <w:sz w:val="24"/>
          <w:szCs w:val="24"/>
          <w:shd w:val="clear" w:color="auto" w:fill="FFFFFF"/>
        </w:rPr>
        <w:t>. Durban. LexisNexis.</w:t>
      </w:r>
    </w:p>
    <w:p w14:paraId="69DEEE13" w14:textId="77777777" w:rsidR="005F3A97" w:rsidRPr="00B17C11" w:rsidRDefault="005F3A97" w:rsidP="005F3A97">
      <w:pPr>
        <w:spacing w:before="120" w:after="120" w:line="360" w:lineRule="auto"/>
        <w:ind w:left="720"/>
        <w:jc w:val="both"/>
        <w:rPr>
          <w:rFonts w:ascii="Arial" w:hAnsi="Arial" w:cs="Arial"/>
          <w:sz w:val="24"/>
          <w:szCs w:val="24"/>
          <w:shd w:val="clear" w:color="auto" w:fill="FFFFFF"/>
        </w:rPr>
      </w:pPr>
    </w:p>
    <w:p w14:paraId="11B09185" w14:textId="1177D849" w:rsidR="005F3A97"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MULLER G, BRITS R, PIENAAR JM &amp; BOGGENPOEL ZT</w:t>
      </w:r>
    </w:p>
    <w:p w14:paraId="461CA003" w14:textId="55EA5B02" w:rsidR="00396FF9" w:rsidRPr="00B17C11" w:rsidRDefault="00396FF9" w:rsidP="005F3A97">
      <w:pPr>
        <w:spacing w:before="120" w:after="120" w:line="360" w:lineRule="auto"/>
        <w:ind w:left="720"/>
        <w:jc w:val="both"/>
        <w:rPr>
          <w:rFonts w:ascii="Arial" w:hAnsi="Arial" w:cs="Arial"/>
          <w:sz w:val="24"/>
          <w:szCs w:val="24"/>
        </w:rPr>
      </w:pPr>
      <w:r w:rsidRPr="00B17C11">
        <w:rPr>
          <w:rFonts w:ascii="Arial" w:hAnsi="Arial" w:cs="Arial"/>
          <w:sz w:val="24"/>
          <w:szCs w:val="24"/>
          <w:lang w:val="en-GB"/>
        </w:rPr>
        <w:t>2019</w:t>
      </w:r>
      <w:r w:rsidR="0058228F" w:rsidRPr="00B17C11">
        <w:rPr>
          <w:rFonts w:ascii="Arial" w:hAnsi="Arial" w:cs="Arial"/>
          <w:sz w:val="24"/>
          <w:szCs w:val="24"/>
          <w:lang w:val="en-GB"/>
        </w:rPr>
        <w:t>b</w:t>
      </w:r>
      <w:r w:rsidRPr="00B17C11">
        <w:rPr>
          <w:rFonts w:ascii="Arial" w:hAnsi="Arial" w:cs="Arial"/>
          <w:sz w:val="24"/>
          <w:szCs w:val="24"/>
          <w:lang w:val="en-GB"/>
        </w:rPr>
        <w:t xml:space="preserve">. </w:t>
      </w:r>
      <w:r w:rsidRPr="00B17C11">
        <w:rPr>
          <w:rFonts w:ascii="Arial" w:hAnsi="Arial" w:cs="Arial"/>
          <w:i/>
          <w:sz w:val="24"/>
          <w:szCs w:val="24"/>
          <w:lang w:val="en-GB"/>
        </w:rPr>
        <w:t>The law of property</w:t>
      </w:r>
      <w:r w:rsidRPr="00B17C11">
        <w:rPr>
          <w:rFonts w:ascii="Arial" w:hAnsi="Arial" w:cs="Arial"/>
          <w:sz w:val="24"/>
          <w:szCs w:val="24"/>
          <w:lang w:val="en-GB"/>
        </w:rPr>
        <w:t>. 6</w:t>
      </w:r>
      <w:r w:rsidRPr="00B17C11">
        <w:rPr>
          <w:rFonts w:ascii="Arial" w:hAnsi="Arial" w:cs="Arial"/>
          <w:sz w:val="24"/>
          <w:szCs w:val="24"/>
          <w:vertAlign w:val="superscript"/>
          <w:lang w:val="en-GB"/>
        </w:rPr>
        <w:t>th</w:t>
      </w:r>
      <w:r w:rsidRPr="00B17C11">
        <w:rPr>
          <w:rFonts w:ascii="Arial" w:hAnsi="Arial" w:cs="Arial"/>
          <w:sz w:val="24"/>
          <w:szCs w:val="24"/>
          <w:lang w:val="en-GB"/>
        </w:rPr>
        <w:t xml:space="preserve"> edition. </w:t>
      </w:r>
      <w:r w:rsidRPr="00B17C11">
        <w:rPr>
          <w:rFonts w:ascii="Arial" w:hAnsi="Arial" w:cs="Arial"/>
          <w:sz w:val="24"/>
          <w:szCs w:val="24"/>
        </w:rPr>
        <w:t>LexisNexis. Durban.</w:t>
      </w:r>
    </w:p>
    <w:p w14:paraId="6E0C2815" w14:textId="77777777" w:rsidR="00B94ED9" w:rsidRPr="00B17C11" w:rsidRDefault="00B94ED9" w:rsidP="005F3A97">
      <w:pPr>
        <w:spacing w:before="120" w:after="120" w:line="360" w:lineRule="auto"/>
        <w:ind w:left="720"/>
        <w:jc w:val="both"/>
        <w:rPr>
          <w:rFonts w:ascii="Arial" w:hAnsi="Arial" w:cs="Arial"/>
          <w:sz w:val="24"/>
          <w:szCs w:val="24"/>
        </w:rPr>
      </w:pPr>
    </w:p>
    <w:p w14:paraId="0DAD00CA" w14:textId="3DB12A15" w:rsidR="00B94ED9" w:rsidRPr="00B17C11" w:rsidRDefault="00396FF9" w:rsidP="00396FF9">
      <w:pPr>
        <w:spacing w:before="120" w:after="120" w:line="360" w:lineRule="auto"/>
        <w:jc w:val="both"/>
        <w:rPr>
          <w:rFonts w:ascii="Arial" w:hAnsi="Arial" w:cs="Arial"/>
          <w:sz w:val="24"/>
          <w:szCs w:val="24"/>
        </w:rPr>
      </w:pPr>
      <w:r w:rsidRPr="00B17C11">
        <w:rPr>
          <w:rFonts w:ascii="Arial" w:hAnsi="Arial" w:cs="Arial"/>
          <w:sz w:val="24"/>
          <w:szCs w:val="24"/>
        </w:rPr>
        <w:t>NATHAN J</w:t>
      </w:r>
    </w:p>
    <w:p w14:paraId="53336F67" w14:textId="636AA79C" w:rsidR="00396FF9" w:rsidRPr="00B17C11" w:rsidRDefault="00396FF9" w:rsidP="00B94ED9">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2012. </w:t>
      </w:r>
      <w:r w:rsidRPr="00B17C11">
        <w:rPr>
          <w:rFonts w:ascii="Arial" w:hAnsi="Arial" w:cs="Arial"/>
          <w:i/>
          <w:sz w:val="24"/>
          <w:szCs w:val="24"/>
        </w:rPr>
        <w:t>Anarchism and political modernity</w:t>
      </w:r>
      <w:r w:rsidRPr="00B17C11">
        <w:rPr>
          <w:rFonts w:ascii="Arial" w:hAnsi="Arial" w:cs="Arial"/>
          <w:sz w:val="24"/>
          <w:szCs w:val="24"/>
        </w:rPr>
        <w:t>. Continuum. New York.</w:t>
      </w:r>
    </w:p>
    <w:p w14:paraId="4FE207EE" w14:textId="77777777" w:rsidR="00B94ED9" w:rsidRPr="00B17C11" w:rsidRDefault="00B94ED9" w:rsidP="00B94ED9">
      <w:pPr>
        <w:spacing w:before="120" w:after="120" w:line="360" w:lineRule="auto"/>
        <w:ind w:left="720"/>
        <w:jc w:val="both"/>
        <w:rPr>
          <w:rFonts w:ascii="Arial" w:hAnsi="Arial" w:cs="Arial"/>
          <w:sz w:val="24"/>
          <w:szCs w:val="24"/>
        </w:rPr>
      </w:pPr>
    </w:p>
    <w:p w14:paraId="01659DF7" w14:textId="1CC594E6" w:rsidR="00B94ED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NKOSI T</w:t>
      </w:r>
    </w:p>
    <w:p w14:paraId="774593DD" w14:textId="62EDFE04" w:rsidR="00396FF9" w:rsidRPr="00B17C11" w:rsidRDefault="00396FF9" w:rsidP="00B94ED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2016. Rule of </w:t>
      </w:r>
      <w:r w:rsidR="00313EF7" w:rsidRPr="00B17C11">
        <w:rPr>
          <w:rFonts w:ascii="Arial" w:hAnsi="Arial" w:cs="Arial"/>
          <w:sz w:val="24"/>
          <w:szCs w:val="24"/>
          <w:shd w:val="clear" w:color="auto" w:fill="FFFFFF"/>
        </w:rPr>
        <w:t>l</w:t>
      </w:r>
      <w:r w:rsidRPr="00B17C11">
        <w:rPr>
          <w:rFonts w:ascii="Arial" w:hAnsi="Arial" w:cs="Arial"/>
          <w:sz w:val="24"/>
          <w:szCs w:val="24"/>
          <w:shd w:val="clear" w:color="auto" w:fill="FFFFFF"/>
        </w:rPr>
        <w:t xml:space="preserve">aw, </w:t>
      </w:r>
      <w:r w:rsidR="00B94ED9" w:rsidRPr="00B17C11">
        <w:rPr>
          <w:rFonts w:ascii="Arial" w:hAnsi="Arial" w:cs="Arial"/>
          <w:sz w:val="24"/>
          <w:szCs w:val="24"/>
          <w:shd w:val="clear" w:color="auto" w:fill="FFFFFF"/>
        </w:rPr>
        <w:t xml:space="preserve">the </w:t>
      </w:r>
      <w:proofErr w:type="spellStart"/>
      <w:r w:rsidRPr="00B17C11">
        <w:rPr>
          <w:rFonts w:ascii="Arial" w:hAnsi="Arial" w:cs="Arial"/>
          <w:i/>
          <w:sz w:val="24"/>
          <w:szCs w:val="24"/>
          <w:shd w:val="clear" w:color="auto" w:fill="FFFFFF"/>
        </w:rPr>
        <w:t>mandament</w:t>
      </w:r>
      <w:proofErr w:type="spellEnd"/>
      <w:r w:rsidRPr="00B17C11">
        <w:rPr>
          <w:rFonts w:ascii="Arial" w:hAnsi="Arial" w:cs="Arial"/>
          <w:i/>
          <w:sz w:val="24"/>
          <w:szCs w:val="24"/>
          <w:shd w:val="clear" w:color="auto" w:fill="FFFFFF"/>
        </w:rPr>
        <w:t xml:space="preserve"> van </w:t>
      </w:r>
      <w:proofErr w:type="spellStart"/>
      <w:r w:rsidRPr="00B17C11">
        <w:rPr>
          <w:rFonts w:ascii="Arial" w:hAnsi="Arial" w:cs="Arial"/>
          <w:i/>
          <w:sz w:val="24"/>
          <w:szCs w:val="24"/>
          <w:shd w:val="clear" w:color="auto" w:fill="FFFFFF"/>
        </w:rPr>
        <w:t>spolie</w:t>
      </w:r>
      <w:proofErr w:type="spellEnd"/>
      <w:r w:rsidRPr="00B17C11">
        <w:rPr>
          <w:rFonts w:ascii="Arial" w:hAnsi="Arial" w:cs="Arial"/>
          <w:sz w:val="24"/>
          <w:szCs w:val="24"/>
          <w:shd w:val="clear" w:color="auto" w:fill="FFFFFF"/>
        </w:rPr>
        <w:t xml:space="preserve"> and the missed opportunity: to some thoughts arising from </w:t>
      </w:r>
      <w:proofErr w:type="spellStart"/>
      <w:r w:rsidR="0075672B" w:rsidRPr="00B17C11">
        <w:rPr>
          <w:rFonts w:ascii="Arial" w:hAnsi="Arial" w:cs="Arial"/>
          <w:iCs/>
          <w:sz w:val="24"/>
          <w:szCs w:val="24"/>
          <w:shd w:val="clear" w:color="auto" w:fill="FFFFFF"/>
        </w:rPr>
        <w:t>Ngqukumba</w:t>
      </w:r>
      <w:proofErr w:type="spellEnd"/>
      <w:r w:rsidR="0075672B" w:rsidRPr="00B17C11">
        <w:rPr>
          <w:rFonts w:ascii="Arial" w:hAnsi="Arial" w:cs="Arial"/>
          <w:iCs/>
          <w:sz w:val="24"/>
          <w:szCs w:val="24"/>
          <w:shd w:val="clear" w:color="auto" w:fill="FFFFFF"/>
        </w:rPr>
        <w:t xml:space="preserve"> </w:t>
      </w:r>
      <w:r w:rsidRPr="00B17C11">
        <w:rPr>
          <w:rFonts w:ascii="Arial" w:hAnsi="Arial" w:cs="Arial"/>
          <w:iCs/>
          <w:sz w:val="24"/>
          <w:szCs w:val="24"/>
          <w:shd w:val="clear" w:color="auto" w:fill="FFFFFF"/>
        </w:rPr>
        <w:t xml:space="preserve">v </w:t>
      </w:r>
      <w:r w:rsidR="0075672B" w:rsidRPr="00B17C11">
        <w:rPr>
          <w:rFonts w:ascii="Arial" w:hAnsi="Arial" w:cs="Arial"/>
          <w:iCs/>
          <w:sz w:val="24"/>
          <w:szCs w:val="24"/>
          <w:shd w:val="clear" w:color="auto" w:fill="FFFFFF"/>
        </w:rPr>
        <w:t xml:space="preserve">Minister </w:t>
      </w:r>
      <w:r w:rsidRPr="00B17C11">
        <w:rPr>
          <w:rFonts w:ascii="Arial" w:hAnsi="Arial" w:cs="Arial"/>
          <w:iCs/>
          <w:sz w:val="24"/>
          <w:szCs w:val="24"/>
          <w:shd w:val="clear" w:color="auto" w:fill="FFFFFF"/>
        </w:rPr>
        <w:t xml:space="preserve">of </w:t>
      </w:r>
      <w:r w:rsidR="0075672B" w:rsidRPr="00B17C11">
        <w:rPr>
          <w:rFonts w:ascii="Arial" w:hAnsi="Arial" w:cs="Arial"/>
          <w:iCs/>
          <w:sz w:val="24"/>
          <w:szCs w:val="24"/>
          <w:shd w:val="clear" w:color="auto" w:fill="FFFFFF"/>
        </w:rPr>
        <w:t xml:space="preserve">Safety </w:t>
      </w:r>
      <w:r w:rsidRPr="00B17C11">
        <w:rPr>
          <w:rFonts w:ascii="Arial" w:hAnsi="Arial" w:cs="Arial"/>
          <w:iCs/>
          <w:sz w:val="24"/>
          <w:szCs w:val="24"/>
          <w:shd w:val="clear" w:color="auto" w:fill="FFFFFF"/>
        </w:rPr>
        <w:t xml:space="preserve">and </w:t>
      </w:r>
      <w:r w:rsidR="0075672B" w:rsidRPr="00B17C11">
        <w:rPr>
          <w:rFonts w:ascii="Arial" w:hAnsi="Arial" w:cs="Arial"/>
          <w:iCs/>
          <w:sz w:val="24"/>
          <w:szCs w:val="24"/>
          <w:shd w:val="clear" w:color="auto" w:fill="FFFFFF"/>
        </w:rPr>
        <w:t>Security</w:t>
      </w:r>
      <w:r w:rsidRPr="00B17C11">
        <w:rPr>
          <w:rFonts w:ascii="Arial" w:hAnsi="Arial" w:cs="Arial"/>
          <w:sz w:val="24"/>
          <w:szCs w:val="24"/>
          <w:shd w:val="clear" w:color="auto" w:fill="FFFFFF"/>
        </w:rPr>
        <w:t xml:space="preserve">. </w:t>
      </w:r>
      <w:r w:rsidRPr="00B17C11">
        <w:rPr>
          <w:rFonts w:ascii="Arial" w:hAnsi="Arial" w:cs="Arial"/>
          <w:i/>
          <w:iCs/>
          <w:sz w:val="24"/>
          <w:szCs w:val="24"/>
          <w:shd w:val="clear" w:color="auto" w:fill="FFFFFF"/>
        </w:rPr>
        <w:t>South African Public Law 31</w:t>
      </w:r>
      <w:r w:rsidRPr="00B17C11">
        <w:rPr>
          <w:rFonts w:ascii="Arial" w:hAnsi="Arial" w:cs="Arial"/>
          <w:sz w:val="24"/>
          <w:szCs w:val="24"/>
          <w:shd w:val="clear" w:color="auto" w:fill="FFFFFF"/>
        </w:rPr>
        <w:t>(1):157-177.</w:t>
      </w:r>
    </w:p>
    <w:p w14:paraId="7876DBDC" w14:textId="77777777" w:rsidR="00B94ED9" w:rsidRPr="00B17C11" w:rsidRDefault="00B94ED9" w:rsidP="00B94ED9">
      <w:pPr>
        <w:spacing w:before="120" w:after="120" w:line="360" w:lineRule="auto"/>
        <w:ind w:left="720"/>
        <w:jc w:val="both"/>
        <w:rPr>
          <w:rFonts w:ascii="Arial" w:hAnsi="Arial" w:cs="Arial"/>
          <w:sz w:val="24"/>
          <w:szCs w:val="24"/>
          <w:shd w:val="clear" w:color="auto" w:fill="FFFFFF"/>
        </w:rPr>
      </w:pPr>
    </w:p>
    <w:p w14:paraId="067ED4FF" w14:textId="5F36D4B7" w:rsidR="00B94ED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PIENAAR GJ</w:t>
      </w:r>
    </w:p>
    <w:p w14:paraId="43467022" w14:textId="02DD7FDC" w:rsidR="00396FF9" w:rsidRPr="00B17C11" w:rsidRDefault="00396FF9" w:rsidP="00B94ED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 xml:space="preserve">2010. </w:t>
      </w:r>
      <w:r w:rsidRPr="00B17C11">
        <w:rPr>
          <w:rFonts w:ascii="Arial" w:hAnsi="Arial" w:cs="Arial"/>
          <w:i/>
          <w:iCs/>
          <w:sz w:val="24"/>
          <w:szCs w:val="24"/>
          <w:shd w:val="clear" w:color="auto" w:fill="FFFFFF"/>
        </w:rPr>
        <w:t>Sectional titles and other fragmented property schemes</w:t>
      </w:r>
      <w:r w:rsidRPr="00B17C11">
        <w:rPr>
          <w:rFonts w:ascii="Arial" w:hAnsi="Arial" w:cs="Arial"/>
          <w:sz w:val="24"/>
          <w:szCs w:val="24"/>
          <w:shd w:val="clear" w:color="auto" w:fill="FFFFFF"/>
        </w:rPr>
        <w:t>. Juta. Cape Town.</w:t>
      </w:r>
    </w:p>
    <w:p w14:paraId="72146654" w14:textId="77777777" w:rsidR="00B94ED9" w:rsidRPr="00B17C11" w:rsidRDefault="00B94ED9" w:rsidP="00B94ED9">
      <w:pPr>
        <w:spacing w:before="120" w:after="120" w:line="360" w:lineRule="auto"/>
        <w:ind w:left="720"/>
        <w:jc w:val="both"/>
        <w:rPr>
          <w:rFonts w:ascii="Arial" w:hAnsi="Arial" w:cs="Arial"/>
          <w:sz w:val="24"/>
          <w:szCs w:val="24"/>
          <w:shd w:val="clear" w:color="auto" w:fill="FFFFFF"/>
        </w:rPr>
      </w:pPr>
    </w:p>
    <w:p w14:paraId="7A96FDC3" w14:textId="558B5495"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SCHOEMAN J</w:t>
      </w:r>
    </w:p>
    <w:p w14:paraId="63B8BECB" w14:textId="5ABA3955" w:rsidR="00750746" w:rsidRPr="00B17C11" w:rsidRDefault="00396FF9" w:rsidP="00BF00E8">
      <w:pPr>
        <w:spacing w:before="120" w:after="120" w:line="360" w:lineRule="auto"/>
        <w:ind w:firstLine="720"/>
        <w:jc w:val="both"/>
        <w:rPr>
          <w:rFonts w:ascii="Arial" w:hAnsi="Arial" w:cs="Arial"/>
          <w:sz w:val="24"/>
          <w:szCs w:val="24"/>
          <w:lang w:val="en-GB"/>
        </w:rPr>
      </w:pPr>
      <w:r w:rsidRPr="00B17C11">
        <w:rPr>
          <w:rFonts w:ascii="Arial" w:hAnsi="Arial" w:cs="Arial"/>
          <w:sz w:val="24"/>
          <w:szCs w:val="24"/>
          <w:lang w:val="en-GB"/>
        </w:rPr>
        <w:t xml:space="preserve">1983. </w:t>
      </w:r>
      <w:r w:rsidRPr="00B17C11">
        <w:rPr>
          <w:rFonts w:ascii="Arial" w:hAnsi="Arial" w:cs="Arial"/>
          <w:i/>
          <w:sz w:val="24"/>
          <w:szCs w:val="24"/>
          <w:lang w:val="en-GB"/>
        </w:rPr>
        <w:t>The law of property</w:t>
      </w:r>
      <w:r w:rsidRPr="00B17C11">
        <w:rPr>
          <w:rFonts w:ascii="Arial" w:hAnsi="Arial" w:cs="Arial"/>
          <w:sz w:val="24"/>
          <w:szCs w:val="24"/>
          <w:lang w:val="en-GB"/>
        </w:rPr>
        <w:t>. 2</w:t>
      </w:r>
      <w:r w:rsidRPr="00B17C11">
        <w:rPr>
          <w:rFonts w:ascii="Arial" w:hAnsi="Arial" w:cs="Arial"/>
          <w:sz w:val="24"/>
          <w:szCs w:val="24"/>
          <w:vertAlign w:val="superscript"/>
          <w:lang w:val="en-GB"/>
        </w:rPr>
        <w:t>nd</w:t>
      </w:r>
      <w:r w:rsidRPr="00B17C11">
        <w:rPr>
          <w:rFonts w:ascii="Arial" w:hAnsi="Arial" w:cs="Arial"/>
          <w:sz w:val="24"/>
          <w:szCs w:val="24"/>
          <w:lang w:val="en-GB"/>
        </w:rPr>
        <w:t xml:space="preserve"> edition. Butterworths. Pretoria.</w:t>
      </w:r>
    </w:p>
    <w:p w14:paraId="0931323F" w14:textId="77777777" w:rsidR="00BF00E8" w:rsidRPr="00B17C11" w:rsidRDefault="00BF00E8" w:rsidP="00750746">
      <w:pPr>
        <w:spacing w:before="120" w:after="120" w:line="360" w:lineRule="auto"/>
        <w:jc w:val="both"/>
        <w:rPr>
          <w:rFonts w:ascii="Arial" w:hAnsi="Arial" w:cs="Arial"/>
          <w:sz w:val="24"/>
          <w:szCs w:val="24"/>
          <w:lang w:val="en-GB"/>
        </w:rPr>
      </w:pPr>
    </w:p>
    <w:p w14:paraId="0AAE02ED" w14:textId="2F73D14D" w:rsidR="00750746" w:rsidRPr="00B17C11" w:rsidRDefault="00942578" w:rsidP="00750746">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w:t>
      </w:r>
      <w:r w:rsidR="00750746" w:rsidRPr="00B17C11">
        <w:rPr>
          <w:rFonts w:ascii="Arial" w:hAnsi="Arial" w:cs="Arial"/>
          <w:sz w:val="24"/>
          <w:szCs w:val="24"/>
          <w:lang w:val="en-GB"/>
        </w:rPr>
        <w:t>COTT J</w:t>
      </w:r>
    </w:p>
    <w:p w14:paraId="3C110BC9" w14:textId="2E054E15" w:rsidR="00942578" w:rsidRPr="00B17C11" w:rsidRDefault="00750746" w:rsidP="00942578">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2014.</w:t>
      </w:r>
      <w:r w:rsidR="00942578" w:rsidRPr="00B17C11">
        <w:rPr>
          <w:rFonts w:ascii="Arial" w:hAnsi="Arial" w:cs="Arial"/>
          <w:sz w:val="24"/>
          <w:szCs w:val="24"/>
          <w:lang w:val="en-GB"/>
        </w:rPr>
        <w:t xml:space="preserve"> </w:t>
      </w:r>
      <w:r w:rsidRPr="00B17C11">
        <w:rPr>
          <w:rFonts w:ascii="Arial" w:hAnsi="Arial" w:cs="Arial"/>
          <w:sz w:val="24"/>
          <w:szCs w:val="24"/>
          <w:lang w:val="en-GB"/>
        </w:rPr>
        <w:t xml:space="preserve">Via </w:t>
      </w:r>
      <w:r w:rsidR="00313EF7" w:rsidRPr="00B17C11">
        <w:rPr>
          <w:rFonts w:ascii="Arial" w:hAnsi="Arial" w:cs="Arial"/>
          <w:sz w:val="24"/>
          <w:szCs w:val="24"/>
          <w:lang w:val="en-GB"/>
        </w:rPr>
        <w:t>s</w:t>
      </w:r>
      <w:r w:rsidRPr="00B17C11">
        <w:rPr>
          <w:rFonts w:ascii="Arial" w:hAnsi="Arial" w:cs="Arial"/>
          <w:sz w:val="24"/>
          <w:szCs w:val="24"/>
          <w:lang w:val="en-GB"/>
        </w:rPr>
        <w:t xml:space="preserve">impliciter and </w:t>
      </w:r>
      <w:r w:rsidR="00313EF7" w:rsidRPr="00B17C11">
        <w:rPr>
          <w:rFonts w:ascii="Arial" w:hAnsi="Arial" w:cs="Arial"/>
          <w:sz w:val="24"/>
          <w:szCs w:val="24"/>
          <w:lang w:val="en-GB"/>
        </w:rPr>
        <w:t>s</w:t>
      </w:r>
      <w:r w:rsidRPr="00B17C11">
        <w:rPr>
          <w:rFonts w:ascii="Arial" w:hAnsi="Arial" w:cs="Arial"/>
          <w:sz w:val="24"/>
          <w:szCs w:val="24"/>
          <w:lang w:val="en-GB"/>
        </w:rPr>
        <w:t>poliation</w:t>
      </w:r>
      <w:r w:rsidR="00313EF7" w:rsidRPr="00B17C11">
        <w:rPr>
          <w:rFonts w:ascii="Arial" w:hAnsi="Arial" w:cs="Arial"/>
          <w:sz w:val="24"/>
          <w:szCs w:val="24"/>
          <w:lang w:val="en-GB"/>
        </w:rPr>
        <w:t>:</w:t>
      </w:r>
      <w:r w:rsidRPr="00B17C11">
        <w:rPr>
          <w:rFonts w:ascii="Arial" w:hAnsi="Arial" w:cs="Arial"/>
          <w:sz w:val="24"/>
          <w:szCs w:val="24"/>
          <w:lang w:val="en-GB"/>
        </w:rPr>
        <w:t xml:space="preserve"> Van </w:t>
      </w:r>
      <w:proofErr w:type="spellStart"/>
      <w:r w:rsidRPr="00B17C11">
        <w:rPr>
          <w:rFonts w:ascii="Arial" w:hAnsi="Arial" w:cs="Arial"/>
          <w:sz w:val="24"/>
          <w:szCs w:val="24"/>
          <w:lang w:val="en-GB"/>
        </w:rPr>
        <w:t>Rhyn</w:t>
      </w:r>
      <w:proofErr w:type="spellEnd"/>
      <w:r w:rsidRPr="00B17C11">
        <w:rPr>
          <w:rFonts w:ascii="Arial" w:hAnsi="Arial" w:cs="Arial"/>
          <w:sz w:val="24"/>
          <w:szCs w:val="24"/>
          <w:lang w:val="en-GB"/>
        </w:rPr>
        <w:t xml:space="preserve"> v </w:t>
      </w:r>
      <w:proofErr w:type="spellStart"/>
      <w:r w:rsidRPr="00B17C11">
        <w:rPr>
          <w:rFonts w:ascii="Arial" w:hAnsi="Arial" w:cs="Arial"/>
          <w:sz w:val="24"/>
          <w:szCs w:val="24"/>
          <w:lang w:val="en-GB"/>
        </w:rPr>
        <w:t>Fleurbaix</w:t>
      </w:r>
      <w:proofErr w:type="spellEnd"/>
      <w:r w:rsidRPr="00B17C11">
        <w:rPr>
          <w:rFonts w:ascii="Arial" w:hAnsi="Arial" w:cs="Arial"/>
          <w:sz w:val="24"/>
          <w:szCs w:val="24"/>
          <w:lang w:val="en-GB"/>
        </w:rPr>
        <w:t xml:space="preserve"> Farm (Pty) Ltd 2013 5 SA 521 (WCC). </w:t>
      </w:r>
      <w:r w:rsidRPr="00B17C11">
        <w:rPr>
          <w:rFonts w:ascii="Arial" w:hAnsi="Arial" w:cs="Arial"/>
          <w:i/>
          <w:iCs/>
          <w:sz w:val="24"/>
          <w:szCs w:val="24"/>
          <w:lang w:val="en-GB"/>
        </w:rPr>
        <w:t>TSAR</w:t>
      </w:r>
      <w:r w:rsidR="00313EF7" w:rsidRPr="00B17C11">
        <w:rPr>
          <w:rFonts w:ascii="Arial" w:hAnsi="Arial" w:cs="Arial"/>
          <w:i/>
          <w:iCs/>
          <w:sz w:val="24"/>
          <w:szCs w:val="24"/>
          <w:lang w:val="en-GB"/>
        </w:rPr>
        <w:t xml:space="preserve"> </w:t>
      </w:r>
      <w:r w:rsidR="00313EF7" w:rsidRPr="00B17C11">
        <w:rPr>
          <w:rFonts w:ascii="Arial" w:hAnsi="Arial" w:cs="Arial"/>
          <w:sz w:val="24"/>
          <w:szCs w:val="24"/>
          <w:lang w:val="en-GB"/>
        </w:rPr>
        <w:t>2014(1)</w:t>
      </w:r>
      <w:r w:rsidRPr="00B17C11">
        <w:rPr>
          <w:rFonts w:ascii="Arial" w:hAnsi="Arial" w:cs="Arial"/>
          <w:sz w:val="24"/>
          <w:szCs w:val="24"/>
          <w:lang w:val="en-GB"/>
        </w:rPr>
        <w:t>: 151-162.</w:t>
      </w:r>
    </w:p>
    <w:p w14:paraId="3C45E04B" w14:textId="77777777" w:rsidR="00750746" w:rsidRPr="00B17C11" w:rsidRDefault="00750746" w:rsidP="00942578">
      <w:pPr>
        <w:spacing w:before="120" w:after="120" w:line="360" w:lineRule="auto"/>
        <w:ind w:left="720"/>
        <w:jc w:val="both"/>
        <w:rPr>
          <w:rFonts w:ascii="Arial" w:hAnsi="Arial" w:cs="Arial"/>
          <w:sz w:val="24"/>
          <w:szCs w:val="24"/>
          <w:lang w:val="en-GB"/>
        </w:rPr>
      </w:pPr>
    </w:p>
    <w:p w14:paraId="263655F3" w14:textId="77777777" w:rsidR="00750746" w:rsidRPr="00B17C11" w:rsidRDefault="00750746" w:rsidP="00750746">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SENOKOANE RP</w:t>
      </w:r>
    </w:p>
    <w:p w14:paraId="0487B11E" w14:textId="1AD4A1C1" w:rsidR="00942578" w:rsidRPr="00B17C11" w:rsidRDefault="00750746" w:rsidP="00750746">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2024. Linking the right to electricity as a contractual, derivative and human right through the undisclosed principal agency law. </w:t>
      </w:r>
      <w:r w:rsidRPr="00B17C11">
        <w:rPr>
          <w:rFonts w:ascii="Arial" w:hAnsi="Arial" w:cs="Arial"/>
          <w:i/>
          <w:iCs/>
          <w:sz w:val="24"/>
          <w:szCs w:val="24"/>
          <w:lang w:val="en-GB"/>
        </w:rPr>
        <w:t>PER/PELJ</w:t>
      </w:r>
      <w:r w:rsidRPr="00B17C11">
        <w:rPr>
          <w:rFonts w:ascii="Arial" w:hAnsi="Arial" w:cs="Arial"/>
          <w:sz w:val="24"/>
          <w:szCs w:val="24"/>
          <w:lang w:val="en-GB"/>
        </w:rPr>
        <w:t xml:space="preserve"> (27): 1-28.</w:t>
      </w:r>
    </w:p>
    <w:p w14:paraId="2E82A816" w14:textId="77777777" w:rsidR="00750746" w:rsidRPr="00B17C11" w:rsidRDefault="00750746" w:rsidP="00D8722C">
      <w:pPr>
        <w:spacing w:before="120" w:after="120" w:line="360" w:lineRule="auto"/>
        <w:jc w:val="both"/>
        <w:rPr>
          <w:rFonts w:ascii="Arial" w:hAnsi="Arial" w:cs="Arial"/>
          <w:sz w:val="24"/>
          <w:szCs w:val="24"/>
          <w:lang w:val="en-GB"/>
        </w:rPr>
      </w:pPr>
    </w:p>
    <w:p w14:paraId="40D983FA" w14:textId="6A4E1BD6" w:rsidR="00D8722C" w:rsidRPr="00B17C11" w:rsidRDefault="00D8722C" w:rsidP="00D8722C">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SNYDER DV</w:t>
      </w:r>
    </w:p>
    <w:p w14:paraId="324D6A3F" w14:textId="0B182962" w:rsidR="00D8722C" w:rsidRPr="00B17C11" w:rsidRDefault="002E785E" w:rsidP="00D8722C">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1991-</w:t>
      </w:r>
      <w:r w:rsidR="00D8722C" w:rsidRPr="00B17C11">
        <w:rPr>
          <w:rFonts w:ascii="Arial" w:hAnsi="Arial" w:cs="Arial"/>
          <w:sz w:val="24"/>
          <w:szCs w:val="24"/>
          <w:lang w:val="en-GB"/>
        </w:rPr>
        <w:t xml:space="preserve">1992. Possession: A brief for Louisiana’s rights of succession to the legacy of Roman Law. </w:t>
      </w:r>
      <w:r w:rsidR="00D8722C" w:rsidRPr="00B17C11">
        <w:rPr>
          <w:rFonts w:ascii="Arial" w:hAnsi="Arial" w:cs="Arial"/>
          <w:i/>
          <w:iCs/>
          <w:sz w:val="24"/>
          <w:szCs w:val="24"/>
          <w:lang w:val="en-GB"/>
        </w:rPr>
        <w:t>Tulane Law Review</w:t>
      </w:r>
      <w:r w:rsidR="00D8722C" w:rsidRPr="00B17C11">
        <w:rPr>
          <w:rFonts w:ascii="Arial" w:hAnsi="Arial" w:cs="Arial"/>
          <w:sz w:val="24"/>
          <w:szCs w:val="24"/>
          <w:lang w:val="en-GB"/>
        </w:rPr>
        <w:t xml:space="preserve"> 66(6):1853-188</w:t>
      </w:r>
      <w:r w:rsidR="00C1620F" w:rsidRPr="00B17C11">
        <w:rPr>
          <w:rFonts w:ascii="Arial" w:hAnsi="Arial" w:cs="Arial"/>
          <w:sz w:val="24"/>
          <w:szCs w:val="24"/>
          <w:lang w:val="en-GB"/>
        </w:rPr>
        <w:t>8</w:t>
      </w:r>
      <w:r w:rsidR="00D8722C" w:rsidRPr="00B17C11">
        <w:rPr>
          <w:rFonts w:ascii="Arial" w:hAnsi="Arial" w:cs="Arial"/>
          <w:sz w:val="24"/>
          <w:szCs w:val="24"/>
          <w:lang w:val="en-GB"/>
        </w:rPr>
        <w:t>.</w:t>
      </w:r>
    </w:p>
    <w:p w14:paraId="189678F4" w14:textId="77777777" w:rsidR="00C1620F" w:rsidRPr="00B17C11" w:rsidRDefault="00C1620F" w:rsidP="009E6526">
      <w:pPr>
        <w:spacing w:before="120" w:after="120" w:line="360" w:lineRule="auto"/>
        <w:jc w:val="both"/>
        <w:rPr>
          <w:rFonts w:ascii="Arial" w:hAnsi="Arial" w:cs="Arial"/>
          <w:sz w:val="24"/>
          <w:szCs w:val="24"/>
          <w:lang w:val="en-GB"/>
        </w:rPr>
      </w:pPr>
    </w:p>
    <w:p w14:paraId="29C0C5C7" w14:textId="77777777" w:rsidR="00C1620F" w:rsidRPr="00B17C11" w:rsidRDefault="00C1620F" w:rsidP="00C1620F">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SONNEKUS JC</w:t>
      </w:r>
    </w:p>
    <w:p w14:paraId="5EC74DFF" w14:textId="18A315B9" w:rsidR="00C1620F" w:rsidRPr="00B17C11" w:rsidRDefault="004F6A58" w:rsidP="00C1620F">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2007</w:t>
      </w:r>
      <w:r w:rsidR="00C1620F" w:rsidRPr="00B17C11">
        <w:rPr>
          <w:rFonts w:ascii="Arial" w:hAnsi="Arial" w:cs="Arial"/>
          <w:sz w:val="24"/>
          <w:szCs w:val="24"/>
          <w:lang w:val="en-GB"/>
        </w:rPr>
        <w:t xml:space="preserve">. </w:t>
      </w:r>
      <w:proofErr w:type="spellStart"/>
      <w:r w:rsidRPr="00B17C11">
        <w:rPr>
          <w:rFonts w:ascii="Arial" w:hAnsi="Arial" w:cs="Arial"/>
          <w:sz w:val="24"/>
          <w:szCs w:val="24"/>
          <w:lang w:val="en-GB"/>
        </w:rPr>
        <w:t>Watervoorsiening</w:t>
      </w:r>
      <w:proofErr w:type="spellEnd"/>
      <w:r w:rsidRPr="00B17C11">
        <w:rPr>
          <w:rFonts w:ascii="Arial" w:hAnsi="Arial" w:cs="Arial"/>
          <w:sz w:val="24"/>
          <w:szCs w:val="24"/>
          <w:lang w:val="en-GB"/>
        </w:rPr>
        <w:t xml:space="preserve"> </w:t>
      </w:r>
      <w:proofErr w:type="spellStart"/>
      <w:r w:rsidRPr="00B17C11">
        <w:rPr>
          <w:rFonts w:ascii="Arial" w:hAnsi="Arial" w:cs="Arial"/>
          <w:sz w:val="24"/>
          <w:szCs w:val="24"/>
          <w:lang w:val="en-GB"/>
        </w:rPr>
        <w:t>en</w:t>
      </w:r>
      <w:proofErr w:type="spellEnd"/>
      <w:r w:rsidRPr="00B17C11">
        <w:rPr>
          <w:rFonts w:ascii="Arial" w:hAnsi="Arial" w:cs="Arial"/>
          <w:sz w:val="24"/>
          <w:szCs w:val="24"/>
          <w:lang w:val="en-GB"/>
        </w:rPr>
        <w:t xml:space="preserve"> die </w:t>
      </w:r>
      <w:proofErr w:type="spellStart"/>
      <w:r w:rsidRPr="00B17C11">
        <w:rPr>
          <w:rFonts w:ascii="Arial" w:hAnsi="Arial" w:cs="Arial"/>
          <w:sz w:val="24"/>
          <w:szCs w:val="24"/>
          <w:lang w:val="en-GB"/>
        </w:rPr>
        <w:t>mandament</w:t>
      </w:r>
      <w:proofErr w:type="spellEnd"/>
      <w:r w:rsidRPr="00B17C11">
        <w:rPr>
          <w:rFonts w:ascii="Arial" w:hAnsi="Arial" w:cs="Arial"/>
          <w:sz w:val="24"/>
          <w:szCs w:val="24"/>
          <w:lang w:val="en-GB"/>
        </w:rPr>
        <w:t xml:space="preserve"> van </w:t>
      </w:r>
      <w:proofErr w:type="spellStart"/>
      <w:r w:rsidRPr="00B17C11">
        <w:rPr>
          <w:rFonts w:ascii="Arial" w:hAnsi="Arial" w:cs="Arial"/>
          <w:sz w:val="24"/>
          <w:szCs w:val="24"/>
          <w:lang w:val="en-GB"/>
        </w:rPr>
        <w:t>spolie</w:t>
      </w:r>
      <w:proofErr w:type="spellEnd"/>
      <w:r w:rsidRPr="00B17C11">
        <w:rPr>
          <w:rFonts w:ascii="Arial" w:hAnsi="Arial" w:cs="Arial"/>
          <w:sz w:val="24"/>
          <w:szCs w:val="24"/>
          <w:lang w:val="en-GB"/>
        </w:rPr>
        <w:t xml:space="preserve"> – Die </w:t>
      </w:r>
      <w:proofErr w:type="spellStart"/>
      <w:r w:rsidRPr="00B17C11">
        <w:rPr>
          <w:rFonts w:ascii="Arial" w:hAnsi="Arial" w:cs="Arial"/>
          <w:sz w:val="24"/>
          <w:szCs w:val="24"/>
          <w:lang w:val="en-GB"/>
        </w:rPr>
        <w:t>hoogste</w:t>
      </w:r>
      <w:proofErr w:type="spellEnd"/>
      <w:r w:rsidRPr="00B17C11">
        <w:rPr>
          <w:rFonts w:ascii="Arial" w:hAnsi="Arial" w:cs="Arial"/>
          <w:sz w:val="24"/>
          <w:szCs w:val="24"/>
          <w:lang w:val="en-GB"/>
        </w:rPr>
        <w:t xml:space="preserve"> </w:t>
      </w:r>
      <w:proofErr w:type="spellStart"/>
      <w:r w:rsidRPr="00B17C11">
        <w:rPr>
          <w:rFonts w:ascii="Arial" w:hAnsi="Arial" w:cs="Arial"/>
          <w:sz w:val="24"/>
          <w:szCs w:val="24"/>
          <w:lang w:val="en-GB"/>
        </w:rPr>
        <w:t>hof</w:t>
      </w:r>
      <w:proofErr w:type="spellEnd"/>
      <w:r w:rsidRPr="00B17C11">
        <w:rPr>
          <w:rFonts w:ascii="Arial" w:hAnsi="Arial" w:cs="Arial"/>
          <w:sz w:val="24"/>
          <w:szCs w:val="24"/>
          <w:lang w:val="en-GB"/>
        </w:rPr>
        <w:t xml:space="preserve"> </w:t>
      </w:r>
      <w:proofErr w:type="spellStart"/>
      <w:r w:rsidRPr="00B17C11">
        <w:rPr>
          <w:rFonts w:ascii="Arial" w:hAnsi="Arial" w:cs="Arial"/>
          <w:sz w:val="24"/>
          <w:szCs w:val="24"/>
          <w:lang w:val="en-GB"/>
        </w:rPr>
        <w:t>vertsel</w:t>
      </w:r>
      <w:proofErr w:type="spellEnd"/>
      <w:r w:rsidRPr="00B17C11">
        <w:rPr>
          <w:rFonts w:ascii="Arial" w:hAnsi="Arial" w:cs="Arial"/>
          <w:sz w:val="24"/>
          <w:szCs w:val="24"/>
          <w:lang w:val="en-GB"/>
        </w:rPr>
        <w:t xml:space="preserve"> die </w:t>
      </w:r>
      <w:proofErr w:type="spellStart"/>
      <w:r w:rsidRPr="00B17C11">
        <w:rPr>
          <w:rFonts w:ascii="Arial" w:hAnsi="Arial" w:cs="Arial"/>
          <w:sz w:val="24"/>
          <w:szCs w:val="24"/>
          <w:lang w:val="en-GB"/>
        </w:rPr>
        <w:t>wissels</w:t>
      </w:r>
      <w:proofErr w:type="spellEnd"/>
      <w:r w:rsidRPr="00B17C11">
        <w:rPr>
          <w:rFonts w:ascii="Arial" w:hAnsi="Arial" w:cs="Arial"/>
          <w:sz w:val="24"/>
          <w:szCs w:val="24"/>
          <w:lang w:val="en-GB"/>
        </w:rPr>
        <w:t xml:space="preserve">. </w:t>
      </w:r>
      <w:r w:rsidRPr="00B17C11">
        <w:rPr>
          <w:rFonts w:ascii="Arial" w:hAnsi="Arial" w:cs="Arial"/>
          <w:i/>
          <w:iCs/>
          <w:sz w:val="24"/>
          <w:szCs w:val="24"/>
          <w:lang w:val="en-GB"/>
        </w:rPr>
        <w:t>Journal of South Africa Law</w:t>
      </w:r>
      <w:r w:rsidRPr="00B17C11">
        <w:rPr>
          <w:rFonts w:ascii="Arial" w:hAnsi="Arial" w:cs="Arial"/>
          <w:sz w:val="24"/>
          <w:szCs w:val="24"/>
          <w:lang w:val="en-GB"/>
        </w:rPr>
        <w:t xml:space="preserve"> </w:t>
      </w:r>
      <w:r w:rsidR="00313EF7" w:rsidRPr="00B17C11">
        <w:rPr>
          <w:rFonts w:ascii="Arial" w:hAnsi="Arial" w:cs="Arial"/>
          <w:sz w:val="24"/>
          <w:szCs w:val="24"/>
          <w:lang w:val="en-GB"/>
        </w:rPr>
        <w:t>2007</w:t>
      </w:r>
      <w:r w:rsidRPr="00B17C11">
        <w:rPr>
          <w:rFonts w:ascii="Arial" w:hAnsi="Arial" w:cs="Arial"/>
          <w:sz w:val="24"/>
          <w:szCs w:val="24"/>
          <w:lang w:val="en-GB"/>
        </w:rPr>
        <w:t>(1):145-153.</w:t>
      </w:r>
    </w:p>
    <w:p w14:paraId="5E84BA99" w14:textId="77777777" w:rsidR="00C1620F" w:rsidRPr="00B17C11" w:rsidRDefault="00C1620F" w:rsidP="009E6526">
      <w:pPr>
        <w:spacing w:before="120" w:after="120" w:line="360" w:lineRule="auto"/>
        <w:jc w:val="both"/>
        <w:rPr>
          <w:rFonts w:ascii="Arial" w:hAnsi="Arial" w:cs="Arial"/>
          <w:sz w:val="24"/>
          <w:szCs w:val="24"/>
          <w:lang w:val="en-GB"/>
        </w:rPr>
      </w:pPr>
    </w:p>
    <w:p w14:paraId="660BB836" w14:textId="19D680B5" w:rsidR="00C1620F" w:rsidRPr="00B17C11" w:rsidRDefault="00C1620F" w:rsidP="009E6526">
      <w:pPr>
        <w:spacing w:before="120" w:after="120" w:line="360" w:lineRule="auto"/>
        <w:jc w:val="both"/>
        <w:rPr>
          <w:rFonts w:ascii="Arial" w:hAnsi="Arial" w:cs="Arial"/>
          <w:sz w:val="24"/>
          <w:szCs w:val="24"/>
          <w:lang w:val="en-GB"/>
        </w:rPr>
      </w:pPr>
      <w:r w:rsidRPr="00B17C11">
        <w:rPr>
          <w:rFonts w:ascii="Arial" w:hAnsi="Arial" w:cs="Arial"/>
          <w:sz w:val="24"/>
          <w:szCs w:val="24"/>
          <w:lang w:val="en-GB"/>
        </w:rPr>
        <w:t>SYMEONIDES S</w:t>
      </w:r>
    </w:p>
    <w:p w14:paraId="19AD126C" w14:textId="7EDE98EA" w:rsidR="00D8722C" w:rsidRPr="00B17C11" w:rsidRDefault="00D8722C" w:rsidP="00C1620F">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1984. One hundred marginal notes to the new law of possession and acquisitive prescription. </w:t>
      </w:r>
      <w:r w:rsidRPr="00B17C11">
        <w:rPr>
          <w:rFonts w:ascii="Arial" w:hAnsi="Arial" w:cs="Arial"/>
          <w:i/>
          <w:sz w:val="24"/>
          <w:szCs w:val="24"/>
          <w:lang w:val="en-GB"/>
        </w:rPr>
        <w:t xml:space="preserve">Annual Institute on Mineral Law </w:t>
      </w:r>
      <w:r w:rsidRPr="00B17C11">
        <w:rPr>
          <w:rFonts w:ascii="Arial" w:hAnsi="Arial" w:cs="Arial"/>
          <w:sz w:val="24"/>
          <w:szCs w:val="24"/>
          <w:lang w:val="en-GB"/>
        </w:rPr>
        <w:t>30:126-245.</w:t>
      </w:r>
    </w:p>
    <w:p w14:paraId="5D076B00" w14:textId="77777777" w:rsidR="00B94ED9" w:rsidRPr="00B17C11" w:rsidRDefault="00B94ED9" w:rsidP="009E6526">
      <w:pPr>
        <w:spacing w:before="120" w:after="120" w:line="360" w:lineRule="auto"/>
        <w:jc w:val="both"/>
        <w:rPr>
          <w:rFonts w:ascii="Arial" w:hAnsi="Arial" w:cs="Arial"/>
          <w:sz w:val="24"/>
          <w:szCs w:val="24"/>
          <w:lang w:val="en-GB"/>
        </w:rPr>
      </w:pPr>
    </w:p>
    <w:p w14:paraId="30F6E0BE" w14:textId="518EDFD2" w:rsidR="00B94ED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TAITZ J</w:t>
      </w:r>
    </w:p>
    <w:p w14:paraId="5D374F2B" w14:textId="00A0B971" w:rsidR="00396FF9" w:rsidRPr="00B17C11" w:rsidRDefault="00396FF9" w:rsidP="00B94ED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lastRenderedPageBreak/>
        <w:t xml:space="preserve">1981. Spoliation proceedings and the grabby-handed possessor. </w:t>
      </w:r>
      <w:r w:rsidRPr="00B17C11">
        <w:rPr>
          <w:rFonts w:ascii="Arial" w:hAnsi="Arial" w:cs="Arial"/>
          <w:i/>
          <w:sz w:val="24"/>
          <w:szCs w:val="24"/>
          <w:shd w:val="clear" w:color="auto" w:fill="FFFFFF"/>
        </w:rPr>
        <w:t xml:space="preserve">South African Law Journal </w:t>
      </w:r>
      <w:r w:rsidRPr="00B17C11">
        <w:rPr>
          <w:rFonts w:ascii="Arial" w:hAnsi="Arial" w:cs="Arial"/>
          <w:sz w:val="24"/>
          <w:szCs w:val="24"/>
          <w:shd w:val="clear" w:color="auto" w:fill="FFFFFF"/>
        </w:rPr>
        <w:t>36(1):36-41.</w:t>
      </w:r>
    </w:p>
    <w:p w14:paraId="71505CEC" w14:textId="77777777" w:rsidR="00B94ED9" w:rsidRPr="00B17C11" w:rsidRDefault="00B94ED9" w:rsidP="00B94ED9">
      <w:pPr>
        <w:spacing w:before="120" w:after="120" w:line="360" w:lineRule="auto"/>
        <w:ind w:left="720"/>
        <w:jc w:val="both"/>
        <w:rPr>
          <w:rFonts w:ascii="Arial" w:hAnsi="Arial" w:cs="Arial"/>
          <w:sz w:val="24"/>
          <w:szCs w:val="24"/>
          <w:shd w:val="clear" w:color="auto" w:fill="FFFFFF"/>
        </w:rPr>
      </w:pPr>
    </w:p>
    <w:p w14:paraId="15718DA2" w14:textId="6F368183" w:rsidR="00B94ED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THOMAS PHJ, VAN DER MERWE CG &amp; STOOP BC</w:t>
      </w:r>
    </w:p>
    <w:p w14:paraId="2DE51025" w14:textId="3309AE54" w:rsidR="00396FF9" w:rsidRPr="00B17C11" w:rsidRDefault="00396FF9" w:rsidP="00B94ED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2000. </w:t>
      </w:r>
      <w:r w:rsidRPr="00B17C11">
        <w:rPr>
          <w:rFonts w:ascii="Arial" w:hAnsi="Arial" w:cs="Arial"/>
          <w:i/>
          <w:sz w:val="24"/>
          <w:szCs w:val="24"/>
          <w:shd w:val="clear" w:color="auto" w:fill="FFFFFF"/>
        </w:rPr>
        <w:t>Historical foundations of South African private law</w:t>
      </w:r>
      <w:r w:rsidRPr="00B17C11">
        <w:rPr>
          <w:rFonts w:ascii="Arial" w:hAnsi="Arial" w:cs="Arial"/>
          <w:sz w:val="24"/>
          <w:szCs w:val="24"/>
          <w:shd w:val="clear" w:color="auto" w:fill="FFFFFF"/>
        </w:rPr>
        <w:t>. 2</w:t>
      </w:r>
      <w:r w:rsidRPr="00B17C11">
        <w:rPr>
          <w:rFonts w:ascii="Arial" w:hAnsi="Arial" w:cs="Arial"/>
          <w:sz w:val="24"/>
          <w:szCs w:val="24"/>
          <w:shd w:val="clear" w:color="auto" w:fill="FFFFFF"/>
          <w:vertAlign w:val="superscript"/>
        </w:rPr>
        <w:t>nd</w:t>
      </w:r>
      <w:r w:rsidRPr="00B17C11">
        <w:rPr>
          <w:rFonts w:ascii="Arial" w:hAnsi="Arial" w:cs="Arial"/>
          <w:sz w:val="24"/>
          <w:szCs w:val="24"/>
          <w:shd w:val="clear" w:color="auto" w:fill="FFFFFF"/>
        </w:rPr>
        <w:t xml:space="preserve"> edition. Butterworths. Durban.</w:t>
      </w:r>
    </w:p>
    <w:p w14:paraId="5201D967" w14:textId="77777777" w:rsidR="00B94ED9" w:rsidRPr="00B17C11" w:rsidRDefault="00B94ED9" w:rsidP="00B94ED9">
      <w:pPr>
        <w:spacing w:before="120" w:after="120" w:line="360" w:lineRule="auto"/>
        <w:ind w:left="720"/>
        <w:jc w:val="both"/>
        <w:rPr>
          <w:rFonts w:ascii="Arial" w:hAnsi="Arial" w:cs="Arial"/>
          <w:sz w:val="24"/>
          <w:szCs w:val="24"/>
          <w:shd w:val="clear" w:color="auto" w:fill="FFFFFF"/>
        </w:rPr>
      </w:pPr>
    </w:p>
    <w:p w14:paraId="51961C39" w14:textId="1CC2FA2F" w:rsidR="00B94ED9" w:rsidRPr="00B17C11" w:rsidRDefault="00396FF9" w:rsidP="00396FF9">
      <w:pPr>
        <w:spacing w:before="120" w:after="120" w:line="360" w:lineRule="auto"/>
        <w:jc w:val="both"/>
        <w:rPr>
          <w:rFonts w:ascii="Arial" w:hAnsi="Arial" w:cs="Arial"/>
          <w:sz w:val="24"/>
          <w:szCs w:val="24"/>
          <w:shd w:val="clear" w:color="auto" w:fill="FFFFFF"/>
        </w:rPr>
      </w:pPr>
      <w:r w:rsidRPr="00B17C11">
        <w:rPr>
          <w:rFonts w:ascii="Arial" w:hAnsi="Arial" w:cs="Arial"/>
          <w:sz w:val="24"/>
          <w:szCs w:val="24"/>
          <w:shd w:val="clear" w:color="auto" w:fill="FFFFFF"/>
        </w:rPr>
        <w:t>VAN DER MERWE CG &amp; DE WAAL MJ</w:t>
      </w:r>
    </w:p>
    <w:p w14:paraId="47A92805" w14:textId="2BFE3077" w:rsidR="00396FF9" w:rsidRPr="00B17C11" w:rsidRDefault="00396FF9" w:rsidP="00B94ED9">
      <w:pPr>
        <w:spacing w:before="120" w:after="120" w:line="360" w:lineRule="auto"/>
        <w:ind w:left="720"/>
        <w:jc w:val="both"/>
        <w:rPr>
          <w:rFonts w:ascii="Arial" w:hAnsi="Arial" w:cs="Arial"/>
          <w:sz w:val="24"/>
          <w:szCs w:val="24"/>
          <w:shd w:val="clear" w:color="auto" w:fill="FFFFFF"/>
        </w:rPr>
      </w:pPr>
      <w:r w:rsidRPr="00B17C11">
        <w:rPr>
          <w:rFonts w:ascii="Arial" w:hAnsi="Arial" w:cs="Arial"/>
          <w:sz w:val="24"/>
          <w:szCs w:val="24"/>
          <w:shd w:val="clear" w:color="auto" w:fill="FFFFFF"/>
        </w:rPr>
        <w:t xml:space="preserve">1993. </w:t>
      </w:r>
      <w:r w:rsidRPr="00B17C11">
        <w:rPr>
          <w:rFonts w:ascii="Arial" w:hAnsi="Arial" w:cs="Arial"/>
          <w:i/>
          <w:sz w:val="24"/>
          <w:szCs w:val="24"/>
          <w:shd w:val="clear" w:color="auto" w:fill="FFFFFF"/>
        </w:rPr>
        <w:t>The law of things and servitudes</w:t>
      </w:r>
      <w:r w:rsidRPr="00B17C11">
        <w:rPr>
          <w:rFonts w:ascii="Arial" w:hAnsi="Arial" w:cs="Arial"/>
          <w:sz w:val="24"/>
          <w:szCs w:val="24"/>
          <w:shd w:val="clear" w:color="auto" w:fill="FFFFFF"/>
        </w:rPr>
        <w:t>. Butterworths. Pretoria.</w:t>
      </w:r>
    </w:p>
    <w:p w14:paraId="639D8429" w14:textId="77777777" w:rsidR="00B94ED9" w:rsidRPr="00B17C11" w:rsidRDefault="00B94ED9" w:rsidP="00B94ED9">
      <w:pPr>
        <w:spacing w:before="120" w:after="120" w:line="360" w:lineRule="auto"/>
        <w:ind w:left="720"/>
        <w:jc w:val="both"/>
        <w:rPr>
          <w:rFonts w:ascii="Arial" w:hAnsi="Arial" w:cs="Arial"/>
          <w:sz w:val="24"/>
          <w:szCs w:val="24"/>
          <w:shd w:val="clear" w:color="auto" w:fill="FFFFFF"/>
        </w:rPr>
      </w:pPr>
    </w:p>
    <w:p w14:paraId="3F7113B8" w14:textId="2CE3FF40" w:rsidR="00396FF9" w:rsidRPr="00B17C11" w:rsidRDefault="00396FF9" w:rsidP="00B94ED9">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2012. The law of property (including real security). </w:t>
      </w:r>
      <w:r w:rsidRPr="00B17C11">
        <w:rPr>
          <w:rFonts w:ascii="Arial" w:hAnsi="Arial" w:cs="Arial"/>
          <w:i/>
          <w:iCs/>
          <w:sz w:val="24"/>
          <w:szCs w:val="24"/>
        </w:rPr>
        <w:t>Annual Survey of South African Law</w:t>
      </w:r>
      <w:r w:rsidRPr="00B17C11">
        <w:rPr>
          <w:rFonts w:ascii="Arial" w:hAnsi="Arial" w:cs="Arial"/>
          <w:sz w:val="24"/>
          <w:szCs w:val="24"/>
        </w:rPr>
        <w:t>:717-805.</w:t>
      </w:r>
    </w:p>
    <w:p w14:paraId="4523626D" w14:textId="77777777" w:rsidR="00B94ED9" w:rsidRPr="00B17C11" w:rsidRDefault="00B94ED9" w:rsidP="00B94ED9">
      <w:pPr>
        <w:spacing w:before="120" w:after="120" w:line="360" w:lineRule="auto"/>
        <w:ind w:left="720"/>
        <w:jc w:val="both"/>
        <w:rPr>
          <w:rFonts w:ascii="Arial" w:hAnsi="Arial" w:cs="Arial"/>
          <w:sz w:val="24"/>
          <w:szCs w:val="24"/>
        </w:rPr>
      </w:pPr>
    </w:p>
    <w:p w14:paraId="51C4E8FC" w14:textId="7F04A141"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VAN DER MERWE CG</w:t>
      </w:r>
    </w:p>
    <w:p w14:paraId="700E53C1" w14:textId="43867B24"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2014. The availability of the </w:t>
      </w:r>
      <w:proofErr w:type="spellStart"/>
      <w:r w:rsidRPr="00B17C11">
        <w:rPr>
          <w:rFonts w:ascii="Arial" w:hAnsi="Arial" w:cs="Arial"/>
          <w:i/>
          <w:iCs/>
          <w:sz w:val="24"/>
          <w:szCs w:val="24"/>
          <w:lang w:val="en-GB"/>
        </w:rPr>
        <w:t>mandament</w:t>
      </w:r>
      <w:proofErr w:type="spellEnd"/>
      <w:r w:rsidRPr="00B17C11">
        <w:rPr>
          <w:rFonts w:ascii="Arial" w:hAnsi="Arial" w:cs="Arial"/>
          <w:i/>
          <w:iCs/>
          <w:sz w:val="24"/>
          <w:szCs w:val="24"/>
          <w:lang w:val="en-GB"/>
        </w:rPr>
        <w:t xml:space="preserve"> van </w:t>
      </w:r>
      <w:proofErr w:type="spellStart"/>
      <w:r w:rsidRPr="00B17C11">
        <w:rPr>
          <w:rFonts w:ascii="Arial" w:hAnsi="Arial" w:cs="Arial"/>
          <w:i/>
          <w:iCs/>
          <w:sz w:val="24"/>
          <w:szCs w:val="24"/>
          <w:lang w:val="en-GB"/>
        </w:rPr>
        <w:t>spolie</w:t>
      </w:r>
      <w:proofErr w:type="spellEnd"/>
      <w:r w:rsidRPr="00B17C11">
        <w:rPr>
          <w:rFonts w:ascii="Arial" w:hAnsi="Arial" w:cs="Arial"/>
          <w:sz w:val="24"/>
          <w:szCs w:val="24"/>
          <w:lang w:val="en-GB"/>
        </w:rPr>
        <w:t xml:space="preserve"> when upon the subdivision of a farm into two portions and the alienation of these portions to different owners, an existing exit road is replaced. </w:t>
      </w:r>
      <w:r w:rsidRPr="00B17C11">
        <w:rPr>
          <w:rFonts w:ascii="Arial" w:hAnsi="Arial" w:cs="Arial"/>
          <w:i/>
          <w:iCs/>
          <w:sz w:val="24"/>
          <w:szCs w:val="24"/>
          <w:lang w:val="en-GB"/>
        </w:rPr>
        <w:t>Journal of the South African Law</w:t>
      </w:r>
      <w:r w:rsidRPr="00B17C11">
        <w:rPr>
          <w:rFonts w:ascii="Arial" w:hAnsi="Arial" w:cs="Arial"/>
          <w:sz w:val="24"/>
          <w:szCs w:val="24"/>
          <w:lang w:val="en-GB"/>
        </w:rPr>
        <w:t xml:space="preserve"> </w:t>
      </w:r>
      <w:r w:rsidR="003D54DB" w:rsidRPr="00B17C11">
        <w:rPr>
          <w:rFonts w:ascii="Arial" w:hAnsi="Arial" w:cs="Arial"/>
          <w:sz w:val="24"/>
          <w:szCs w:val="24"/>
          <w:lang w:val="en-GB"/>
        </w:rPr>
        <w:t>2014(</w:t>
      </w:r>
      <w:r w:rsidRPr="00B17C11">
        <w:rPr>
          <w:rFonts w:ascii="Arial" w:hAnsi="Arial" w:cs="Arial"/>
          <w:sz w:val="24"/>
          <w:szCs w:val="24"/>
          <w:lang w:val="en-GB"/>
        </w:rPr>
        <w:t>3</w:t>
      </w:r>
      <w:r w:rsidR="003D54DB" w:rsidRPr="00B17C11">
        <w:rPr>
          <w:rFonts w:ascii="Arial" w:hAnsi="Arial" w:cs="Arial"/>
          <w:sz w:val="24"/>
          <w:szCs w:val="24"/>
          <w:lang w:val="en-GB"/>
        </w:rPr>
        <w:t>)</w:t>
      </w:r>
      <w:r w:rsidRPr="00B17C11">
        <w:rPr>
          <w:rFonts w:ascii="Arial" w:hAnsi="Arial" w:cs="Arial"/>
          <w:sz w:val="24"/>
          <w:szCs w:val="24"/>
          <w:lang w:val="en-GB"/>
        </w:rPr>
        <w:t>:615-625.</w:t>
      </w:r>
    </w:p>
    <w:p w14:paraId="2D04BDBD"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6ED338B5" w14:textId="6FAB460D"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VAN DER WALT AJ &amp; PIENAAR GJ</w:t>
      </w:r>
    </w:p>
    <w:p w14:paraId="70B0121D" w14:textId="29EFC7DD"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2016. </w:t>
      </w:r>
      <w:r w:rsidRPr="00B17C11">
        <w:rPr>
          <w:rFonts w:ascii="Arial" w:hAnsi="Arial" w:cs="Arial"/>
          <w:i/>
          <w:iCs/>
          <w:sz w:val="24"/>
          <w:szCs w:val="24"/>
          <w:lang w:val="en-GB"/>
        </w:rPr>
        <w:t>Introduction to the law of property</w:t>
      </w:r>
      <w:r w:rsidRPr="00B17C11">
        <w:rPr>
          <w:rFonts w:ascii="Arial" w:hAnsi="Arial" w:cs="Arial"/>
          <w:sz w:val="24"/>
          <w:szCs w:val="24"/>
          <w:lang w:val="en-GB"/>
        </w:rPr>
        <w:t>. 7</w:t>
      </w:r>
      <w:r w:rsidRPr="00B17C11">
        <w:rPr>
          <w:rFonts w:ascii="Arial" w:hAnsi="Arial" w:cs="Arial"/>
          <w:sz w:val="24"/>
          <w:szCs w:val="24"/>
          <w:vertAlign w:val="superscript"/>
          <w:lang w:val="en-GB"/>
        </w:rPr>
        <w:t>th</w:t>
      </w:r>
      <w:r w:rsidRPr="00B17C11">
        <w:rPr>
          <w:rFonts w:ascii="Arial" w:hAnsi="Arial" w:cs="Arial"/>
          <w:sz w:val="24"/>
          <w:szCs w:val="24"/>
          <w:lang w:val="en-GB"/>
        </w:rPr>
        <w:t xml:space="preserve"> edition. Juta. Cape Town.</w:t>
      </w:r>
    </w:p>
    <w:p w14:paraId="26E76246"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63C1756C" w14:textId="18AB6247" w:rsidR="00B94ED9" w:rsidRPr="00B17C11" w:rsidRDefault="00396FF9" w:rsidP="00396FF9">
      <w:pPr>
        <w:spacing w:before="120" w:after="120" w:line="360" w:lineRule="auto"/>
        <w:jc w:val="both"/>
        <w:rPr>
          <w:rFonts w:ascii="Arial" w:hAnsi="Arial" w:cs="Arial"/>
          <w:sz w:val="24"/>
          <w:szCs w:val="24"/>
          <w:lang w:val="de-DE"/>
        </w:rPr>
      </w:pPr>
      <w:r w:rsidRPr="00B17C11">
        <w:rPr>
          <w:rFonts w:ascii="Arial" w:hAnsi="Arial" w:cs="Arial"/>
          <w:sz w:val="24"/>
          <w:szCs w:val="24"/>
          <w:lang w:val="de-DE"/>
        </w:rPr>
        <w:t>VAN DER WALT AJ &amp; SUTHERLAND PJ</w:t>
      </w:r>
    </w:p>
    <w:p w14:paraId="2DB3DE3E" w14:textId="1296D8F0"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2003. Dispossession of </w:t>
      </w:r>
      <w:proofErr w:type="spellStart"/>
      <w:r w:rsidR="003D54DB" w:rsidRPr="00B17C11">
        <w:rPr>
          <w:rFonts w:ascii="Arial" w:hAnsi="Arial" w:cs="Arial"/>
          <w:sz w:val="24"/>
          <w:szCs w:val="24"/>
          <w:lang w:val="en-GB"/>
        </w:rPr>
        <w:t>i</w:t>
      </w:r>
      <w:r w:rsidRPr="00B17C11">
        <w:rPr>
          <w:rFonts w:ascii="Arial" w:hAnsi="Arial" w:cs="Arial"/>
          <w:sz w:val="24"/>
          <w:szCs w:val="24"/>
          <w:lang w:val="en-GB"/>
        </w:rPr>
        <w:t>ncorporeals</w:t>
      </w:r>
      <w:proofErr w:type="spellEnd"/>
      <w:r w:rsidRPr="00B17C11">
        <w:rPr>
          <w:rFonts w:ascii="Arial" w:hAnsi="Arial" w:cs="Arial"/>
          <w:sz w:val="24"/>
          <w:szCs w:val="24"/>
          <w:lang w:val="en-GB"/>
        </w:rPr>
        <w:t xml:space="preserve"> or </w:t>
      </w:r>
      <w:r w:rsidR="003D54DB" w:rsidRPr="00B17C11">
        <w:rPr>
          <w:rFonts w:ascii="Arial" w:hAnsi="Arial" w:cs="Arial"/>
          <w:sz w:val="24"/>
          <w:szCs w:val="24"/>
          <w:lang w:val="en-GB"/>
        </w:rPr>
        <w:t>r</w:t>
      </w:r>
      <w:r w:rsidRPr="00B17C11">
        <w:rPr>
          <w:rFonts w:ascii="Arial" w:hAnsi="Arial" w:cs="Arial"/>
          <w:sz w:val="24"/>
          <w:szCs w:val="24"/>
          <w:lang w:val="en-GB"/>
        </w:rPr>
        <w:t xml:space="preserve">ights – Is the </w:t>
      </w:r>
      <w:proofErr w:type="spellStart"/>
      <w:r w:rsidR="003D54DB" w:rsidRPr="00B17C11">
        <w:rPr>
          <w:rFonts w:ascii="Arial" w:hAnsi="Arial" w:cs="Arial"/>
          <w:sz w:val="24"/>
          <w:szCs w:val="24"/>
          <w:lang w:val="en-GB"/>
        </w:rPr>
        <w:t>m</w:t>
      </w:r>
      <w:r w:rsidRPr="00B17C11">
        <w:rPr>
          <w:rFonts w:ascii="Arial" w:hAnsi="Arial" w:cs="Arial"/>
          <w:sz w:val="24"/>
          <w:szCs w:val="24"/>
          <w:lang w:val="en-GB"/>
        </w:rPr>
        <w:t>andament</w:t>
      </w:r>
      <w:proofErr w:type="spellEnd"/>
      <w:r w:rsidRPr="00B17C11">
        <w:rPr>
          <w:rFonts w:ascii="Arial" w:hAnsi="Arial" w:cs="Arial"/>
          <w:sz w:val="24"/>
          <w:szCs w:val="24"/>
          <w:lang w:val="en-GB"/>
        </w:rPr>
        <w:t xml:space="preserve"> </w:t>
      </w:r>
      <w:r w:rsidR="003D54DB" w:rsidRPr="00B17C11">
        <w:rPr>
          <w:rFonts w:ascii="Arial" w:hAnsi="Arial" w:cs="Arial"/>
          <w:sz w:val="24"/>
          <w:szCs w:val="24"/>
          <w:lang w:val="en-GB"/>
        </w:rPr>
        <w:t>v</w:t>
      </w:r>
      <w:r w:rsidRPr="00B17C11">
        <w:rPr>
          <w:rFonts w:ascii="Arial" w:hAnsi="Arial" w:cs="Arial"/>
          <w:sz w:val="24"/>
          <w:szCs w:val="24"/>
          <w:lang w:val="en-GB"/>
        </w:rPr>
        <w:t xml:space="preserve">an </w:t>
      </w:r>
      <w:proofErr w:type="spellStart"/>
      <w:r w:rsidR="003D54DB" w:rsidRPr="00B17C11">
        <w:rPr>
          <w:rFonts w:ascii="Arial" w:hAnsi="Arial" w:cs="Arial"/>
          <w:sz w:val="24"/>
          <w:szCs w:val="24"/>
          <w:lang w:val="en-GB"/>
        </w:rPr>
        <w:t>s</w:t>
      </w:r>
      <w:r w:rsidRPr="00B17C11">
        <w:rPr>
          <w:rFonts w:ascii="Arial" w:hAnsi="Arial" w:cs="Arial"/>
          <w:sz w:val="24"/>
          <w:szCs w:val="24"/>
          <w:lang w:val="en-GB"/>
        </w:rPr>
        <w:t>polie</w:t>
      </w:r>
      <w:proofErr w:type="spellEnd"/>
      <w:r w:rsidRPr="00B17C11">
        <w:rPr>
          <w:rFonts w:ascii="Arial" w:hAnsi="Arial" w:cs="Arial"/>
          <w:sz w:val="24"/>
          <w:szCs w:val="24"/>
          <w:lang w:val="en-GB"/>
        </w:rPr>
        <w:t xml:space="preserve"> the </w:t>
      </w:r>
      <w:r w:rsidR="003D54DB" w:rsidRPr="00B17C11">
        <w:rPr>
          <w:rFonts w:ascii="Arial" w:hAnsi="Arial" w:cs="Arial"/>
          <w:sz w:val="24"/>
          <w:szCs w:val="24"/>
          <w:lang w:val="en-GB"/>
        </w:rPr>
        <w:t>a</w:t>
      </w:r>
      <w:r w:rsidRPr="00B17C11">
        <w:rPr>
          <w:rFonts w:ascii="Arial" w:hAnsi="Arial" w:cs="Arial"/>
          <w:sz w:val="24"/>
          <w:szCs w:val="24"/>
          <w:lang w:val="en-GB"/>
        </w:rPr>
        <w:t xml:space="preserve">ppropriate </w:t>
      </w:r>
      <w:r w:rsidR="003D54DB" w:rsidRPr="00B17C11">
        <w:rPr>
          <w:rFonts w:ascii="Arial" w:hAnsi="Arial" w:cs="Arial"/>
          <w:sz w:val="24"/>
          <w:szCs w:val="24"/>
          <w:lang w:val="en-GB"/>
        </w:rPr>
        <w:t>r</w:t>
      </w:r>
      <w:r w:rsidRPr="00B17C11">
        <w:rPr>
          <w:rFonts w:ascii="Arial" w:hAnsi="Arial" w:cs="Arial"/>
          <w:sz w:val="24"/>
          <w:szCs w:val="24"/>
          <w:lang w:val="en-GB"/>
        </w:rPr>
        <w:t xml:space="preserve">emedy? </w:t>
      </w:r>
      <w:r w:rsidRPr="00B17C11">
        <w:rPr>
          <w:rFonts w:ascii="Arial" w:hAnsi="Arial" w:cs="Arial"/>
          <w:i/>
          <w:sz w:val="24"/>
          <w:szCs w:val="24"/>
          <w:lang w:val="en-GB"/>
        </w:rPr>
        <w:t>South African Mercantile Law Journal</w:t>
      </w:r>
      <w:r w:rsidRPr="00B17C11">
        <w:rPr>
          <w:rFonts w:ascii="Arial" w:hAnsi="Arial" w:cs="Arial"/>
          <w:sz w:val="24"/>
          <w:szCs w:val="24"/>
          <w:lang w:val="en-GB"/>
        </w:rPr>
        <w:t xml:space="preserve"> 15(1):95-109.</w:t>
      </w:r>
    </w:p>
    <w:p w14:paraId="36FB1845"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584EF5CE" w14:textId="01E5F385"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VAN DER WALT AJ</w:t>
      </w:r>
    </w:p>
    <w:p w14:paraId="6861C62A" w14:textId="59DEEDA0"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lastRenderedPageBreak/>
        <w:t xml:space="preserve">1983. Three cases on the </w:t>
      </w:r>
      <w:proofErr w:type="spellStart"/>
      <w:r w:rsidRPr="00B17C11">
        <w:rPr>
          <w:rFonts w:ascii="Arial" w:hAnsi="Arial" w:cs="Arial"/>
          <w:sz w:val="24"/>
          <w:szCs w:val="24"/>
          <w:lang w:val="en-GB"/>
        </w:rPr>
        <w:t>mandament</w:t>
      </w:r>
      <w:proofErr w:type="spellEnd"/>
      <w:r w:rsidRPr="00B17C11">
        <w:rPr>
          <w:rFonts w:ascii="Arial" w:hAnsi="Arial" w:cs="Arial"/>
          <w:sz w:val="24"/>
          <w:szCs w:val="24"/>
          <w:lang w:val="en-GB"/>
        </w:rPr>
        <w:t xml:space="preserve"> van </w:t>
      </w:r>
      <w:proofErr w:type="spellStart"/>
      <w:r w:rsidRPr="00B17C11">
        <w:rPr>
          <w:rFonts w:ascii="Arial" w:hAnsi="Arial" w:cs="Arial"/>
          <w:sz w:val="24"/>
          <w:szCs w:val="24"/>
          <w:lang w:val="en-GB"/>
        </w:rPr>
        <w:t>spolie</w:t>
      </w:r>
      <w:proofErr w:type="spellEnd"/>
      <w:r w:rsidRPr="00B17C11">
        <w:rPr>
          <w:rFonts w:ascii="Arial" w:hAnsi="Arial" w:cs="Arial"/>
          <w:sz w:val="24"/>
          <w:szCs w:val="24"/>
          <w:lang w:val="en-GB"/>
        </w:rPr>
        <w:t xml:space="preserve">. </w:t>
      </w:r>
      <w:r w:rsidRPr="00B17C11">
        <w:rPr>
          <w:rFonts w:ascii="Arial" w:hAnsi="Arial" w:cs="Arial"/>
          <w:i/>
          <w:iCs/>
          <w:sz w:val="24"/>
          <w:szCs w:val="24"/>
          <w:lang w:val="en-GB"/>
        </w:rPr>
        <w:t>South African Law Journal</w:t>
      </w:r>
      <w:r w:rsidRPr="00B17C11">
        <w:rPr>
          <w:rFonts w:ascii="Arial" w:hAnsi="Arial" w:cs="Arial"/>
          <w:sz w:val="24"/>
          <w:szCs w:val="24"/>
          <w:lang w:val="en-GB"/>
        </w:rPr>
        <w:t xml:space="preserve"> 100(4):689-699.</w:t>
      </w:r>
    </w:p>
    <w:p w14:paraId="647CC4E7"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09FC2AB4" w14:textId="400D1840"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1989. Die </w:t>
      </w:r>
      <w:proofErr w:type="spellStart"/>
      <w:r w:rsidRPr="00B17C11">
        <w:rPr>
          <w:rFonts w:ascii="Arial" w:hAnsi="Arial" w:cs="Arial"/>
          <w:sz w:val="24"/>
          <w:szCs w:val="24"/>
          <w:lang w:val="en-GB"/>
        </w:rPr>
        <w:t>mandament</w:t>
      </w:r>
      <w:proofErr w:type="spellEnd"/>
      <w:r w:rsidRPr="00B17C11">
        <w:rPr>
          <w:rFonts w:ascii="Arial" w:hAnsi="Arial" w:cs="Arial"/>
          <w:sz w:val="24"/>
          <w:szCs w:val="24"/>
          <w:lang w:val="en-GB"/>
        </w:rPr>
        <w:t xml:space="preserve"> van </w:t>
      </w:r>
      <w:proofErr w:type="spellStart"/>
      <w:r w:rsidRPr="00B17C11">
        <w:rPr>
          <w:rFonts w:ascii="Arial" w:hAnsi="Arial" w:cs="Arial"/>
          <w:sz w:val="24"/>
          <w:szCs w:val="24"/>
          <w:lang w:val="en-GB"/>
        </w:rPr>
        <w:t>spolie</w:t>
      </w:r>
      <w:proofErr w:type="spellEnd"/>
      <w:r w:rsidRPr="00B17C11">
        <w:rPr>
          <w:rFonts w:ascii="Arial" w:hAnsi="Arial" w:cs="Arial"/>
          <w:sz w:val="24"/>
          <w:szCs w:val="24"/>
          <w:lang w:val="en-GB"/>
        </w:rPr>
        <w:t xml:space="preserve"> </w:t>
      </w:r>
      <w:proofErr w:type="spellStart"/>
      <w:r w:rsidRPr="00B17C11">
        <w:rPr>
          <w:rFonts w:ascii="Arial" w:hAnsi="Arial" w:cs="Arial"/>
          <w:sz w:val="24"/>
          <w:szCs w:val="24"/>
          <w:lang w:val="en-GB"/>
        </w:rPr>
        <w:t>en</w:t>
      </w:r>
      <w:proofErr w:type="spellEnd"/>
      <w:r w:rsidRPr="00B17C11">
        <w:rPr>
          <w:rFonts w:ascii="Arial" w:hAnsi="Arial" w:cs="Arial"/>
          <w:sz w:val="24"/>
          <w:szCs w:val="24"/>
          <w:lang w:val="en-GB"/>
        </w:rPr>
        <w:t xml:space="preserve"> quasi-</w:t>
      </w:r>
      <w:proofErr w:type="spellStart"/>
      <w:r w:rsidRPr="00B17C11">
        <w:rPr>
          <w:rFonts w:ascii="Arial" w:hAnsi="Arial" w:cs="Arial"/>
          <w:sz w:val="24"/>
          <w:szCs w:val="24"/>
          <w:lang w:val="en-GB"/>
        </w:rPr>
        <w:t>besit</w:t>
      </w:r>
      <w:proofErr w:type="spellEnd"/>
      <w:r w:rsidRPr="00B17C11">
        <w:rPr>
          <w:rFonts w:ascii="Arial" w:hAnsi="Arial" w:cs="Arial"/>
          <w:sz w:val="24"/>
          <w:szCs w:val="24"/>
          <w:lang w:val="en-GB"/>
        </w:rPr>
        <w:t>: Bon Quelle (</w:t>
      </w:r>
      <w:proofErr w:type="spellStart"/>
      <w:r w:rsidRPr="00B17C11">
        <w:rPr>
          <w:rFonts w:ascii="Arial" w:hAnsi="Arial" w:cs="Arial"/>
          <w:sz w:val="24"/>
          <w:szCs w:val="24"/>
          <w:lang w:val="en-GB"/>
        </w:rPr>
        <w:t>Edms</w:t>
      </w:r>
      <w:proofErr w:type="spellEnd"/>
      <w:r w:rsidRPr="00B17C11">
        <w:rPr>
          <w:rFonts w:ascii="Arial" w:hAnsi="Arial" w:cs="Arial"/>
          <w:sz w:val="24"/>
          <w:szCs w:val="24"/>
          <w:lang w:val="en-GB"/>
        </w:rPr>
        <w:t xml:space="preserve">) </w:t>
      </w:r>
      <w:proofErr w:type="spellStart"/>
      <w:r w:rsidRPr="00B17C11">
        <w:rPr>
          <w:rFonts w:ascii="Arial" w:hAnsi="Arial" w:cs="Arial"/>
          <w:sz w:val="24"/>
          <w:szCs w:val="24"/>
          <w:lang w:val="en-GB"/>
        </w:rPr>
        <w:t>Bpk</w:t>
      </w:r>
      <w:proofErr w:type="spellEnd"/>
      <w:r w:rsidRPr="00B17C11">
        <w:rPr>
          <w:rFonts w:ascii="Arial" w:hAnsi="Arial" w:cs="Arial"/>
          <w:sz w:val="24"/>
          <w:szCs w:val="24"/>
          <w:lang w:val="en-GB"/>
        </w:rPr>
        <w:t xml:space="preserve"> v </w:t>
      </w:r>
      <w:proofErr w:type="spellStart"/>
      <w:r w:rsidRPr="00B17C11">
        <w:rPr>
          <w:rFonts w:ascii="Arial" w:hAnsi="Arial" w:cs="Arial"/>
          <w:sz w:val="24"/>
          <w:szCs w:val="24"/>
          <w:lang w:val="en-GB"/>
        </w:rPr>
        <w:t>Munisipaliteit</w:t>
      </w:r>
      <w:proofErr w:type="spellEnd"/>
      <w:r w:rsidRPr="00B17C11">
        <w:rPr>
          <w:rFonts w:ascii="Arial" w:hAnsi="Arial" w:cs="Arial"/>
          <w:sz w:val="24"/>
          <w:szCs w:val="24"/>
          <w:lang w:val="en-GB"/>
        </w:rPr>
        <w:t xml:space="preserve"> van Otavi 1989 1 SA 508 (A). </w:t>
      </w:r>
      <w:r w:rsidRPr="00B17C11">
        <w:rPr>
          <w:rFonts w:ascii="Arial" w:hAnsi="Arial" w:cs="Arial"/>
          <w:i/>
          <w:iCs/>
          <w:sz w:val="24"/>
          <w:szCs w:val="24"/>
          <w:lang w:val="en-GB"/>
        </w:rPr>
        <w:t>THRHR</w:t>
      </w:r>
      <w:r w:rsidRPr="00B17C11">
        <w:rPr>
          <w:rFonts w:ascii="Arial" w:hAnsi="Arial" w:cs="Arial"/>
          <w:sz w:val="24"/>
          <w:szCs w:val="24"/>
          <w:lang w:val="en-GB"/>
        </w:rPr>
        <w:t xml:space="preserve"> </w:t>
      </w:r>
      <w:r w:rsidR="00A74882" w:rsidRPr="00B17C11">
        <w:rPr>
          <w:rFonts w:ascii="Arial" w:hAnsi="Arial" w:cs="Arial"/>
          <w:sz w:val="24"/>
          <w:szCs w:val="24"/>
          <w:lang w:val="en-GB"/>
        </w:rPr>
        <w:t>52</w:t>
      </w:r>
      <w:r w:rsidRPr="00B17C11">
        <w:rPr>
          <w:rFonts w:ascii="Arial" w:hAnsi="Arial" w:cs="Arial"/>
          <w:sz w:val="24"/>
          <w:szCs w:val="24"/>
          <w:lang w:val="en-GB"/>
        </w:rPr>
        <w:t>(</w:t>
      </w:r>
      <w:r w:rsidR="00A74882" w:rsidRPr="00B17C11">
        <w:rPr>
          <w:rFonts w:ascii="Arial" w:hAnsi="Arial" w:cs="Arial"/>
          <w:sz w:val="24"/>
          <w:szCs w:val="24"/>
          <w:lang w:val="en-GB"/>
        </w:rPr>
        <w:t>3</w:t>
      </w:r>
      <w:r w:rsidRPr="00B17C11">
        <w:rPr>
          <w:rFonts w:ascii="Arial" w:hAnsi="Arial" w:cs="Arial"/>
          <w:sz w:val="24"/>
          <w:szCs w:val="24"/>
          <w:lang w:val="en-GB"/>
        </w:rPr>
        <w:t>):444-453.</w:t>
      </w:r>
    </w:p>
    <w:p w14:paraId="3A7790A2"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29FEEF05" w14:textId="17F46E98"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2002. </w:t>
      </w:r>
      <w:r w:rsidRPr="00B17C11">
        <w:rPr>
          <w:rFonts w:ascii="Arial" w:hAnsi="Arial" w:cs="Arial"/>
          <w:i/>
          <w:iCs/>
          <w:sz w:val="24"/>
          <w:szCs w:val="24"/>
          <w:lang w:val="en-GB"/>
        </w:rPr>
        <w:t>Law of property casebook for students</w:t>
      </w:r>
      <w:r w:rsidRPr="00B17C11">
        <w:rPr>
          <w:rFonts w:ascii="Arial" w:hAnsi="Arial" w:cs="Arial"/>
          <w:sz w:val="24"/>
          <w:szCs w:val="24"/>
          <w:lang w:val="en-GB"/>
        </w:rPr>
        <w:t>. 5</w:t>
      </w:r>
      <w:r w:rsidRPr="00B17C11">
        <w:rPr>
          <w:rFonts w:ascii="Arial" w:hAnsi="Arial" w:cs="Arial"/>
          <w:sz w:val="24"/>
          <w:szCs w:val="24"/>
          <w:vertAlign w:val="superscript"/>
          <w:lang w:val="en-GB"/>
        </w:rPr>
        <w:t>th</w:t>
      </w:r>
      <w:r w:rsidRPr="00B17C11">
        <w:rPr>
          <w:rFonts w:ascii="Arial" w:hAnsi="Arial" w:cs="Arial"/>
          <w:sz w:val="24"/>
          <w:szCs w:val="24"/>
          <w:lang w:val="en-GB"/>
        </w:rPr>
        <w:t xml:space="preserve"> edition. Juta. Cape Town.</w:t>
      </w:r>
    </w:p>
    <w:p w14:paraId="154F1FE9"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34244C10" w14:textId="1787F162" w:rsidR="00396FF9" w:rsidRPr="00B17C11" w:rsidRDefault="00396FF9" w:rsidP="00B94ED9">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2011. </w:t>
      </w:r>
      <w:r w:rsidRPr="00B17C11">
        <w:rPr>
          <w:rFonts w:ascii="Arial" w:hAnsi="Arial" w:cs="Arial"/>
          <w:i/>
          <w:iCs/>
          <w:sz w:val="24"/>
          <w:szCs w:val="24"/>
        </w:rPr>
        <w:t>Constitutional property law</w:t>
      </w:r>
      <w:r w:rsidRPr="00B17C11">
        <w:rPr>
          <w:rFonts w:ascii="Arial" w:hAnsi="Arial" w:cs="Arial"/>
          <w:sz w:val="24"/>
          <w:szCs w:val="24"/>
        </w:rPr>
        <w:t>. 3rd edition. Juta.</w:t>
      </w:r>
    </w:p>
    <w:p w14:paraId="2B88F37D" w14:textId="77777777" w:rsidR="00B94ED9" w:rsidRPr="00B17C11" w:rsidRDefault="00B94ED9" w:rsidP="00B94ED9">
      <w:pPr>
        <w:spacing w:before="120" w:after="120" w:line="360" w:lineRule="auto"/>
        <w:ind w:left="720"/>
        <w:jc w:val="both"/>
        <w:rPr>
          <w:rFonts w:ascii="Arial" w:hAnsi="Arial" w:cs="Arial"/>
          <w:sz w:val="24"/>
          <w:szCs w:val="24"/>
        </w:rPr>
      </w:pPr>
    </w:p>
    <w:p w14:paraId="3B8D2114" w14:textId="6DBBF1DB" w:rsidR="00B94ED9" w:rsidRPr="00B17C11" w:rsidRDefault="00396FF9" w:rsidP="00396FF9">
      <w:pPr>
        <w:spacing w:before="120" w:after="120" w:line="360" w:lineRule="auto"/>
        <w:jc w:val="both"/>
        <w:rPr>
          <w:rFonts w:ascii="Arial" w:hAnsi="Arial" w:cs="Arial"/>
          <w:sz w:val="24"/>
          <w:szCs w:val="24"/>
        </w:rPr>
      </w:pPr>
      <w:r w:rsidRPr="00B17C11">
        <w:rPr>
          <w:rFonts w:ascii="Arial" w:hAnsi="Arial" w:cs="Arial"/>
          <w:sz w:val="24"/>
          <w:szCs w:val="24"/>
        </w:rPr>
        <w:t>WALKER GP</w:t>
      </w:r>
    </w:p>
    <w:p w14:paraId="6F86D2F5" w14:textId="3FF1D535" w:rsidR="00396FF9" w:rsidRPr="00B17C11" w:rsidRDefault="00396FF9" w:rsidP="00B94ED9">
      <w:pPr>
        <w:spacing w:before="120" w:after="120" w:line="360" w:lineRule="auto"/>
        <w:ind w:left="720"/>
        <w:jc w:val="both"/>
        <w:rPr>
          <w:rFonts w:ascii="Arial" w:hAnsi="Arial" w:cs="Arial"/>
          <w:sz w:val="24"/>
          <w:szCs w:val="24"/>
        </w:rPr>
      </w:pPr>
      <w:r w:rsidRPr="00B17C11">
        <w:rPr>
          <w:rFonts w:ascii="Arial" w:hAnsi="Arial" w:cs="Arial"/>
          <w:sz w:val="24"/>
          <w:szCs w:val="24"/>
        </w:rPr>
        <w:t xml:space="preserve">2015. The right to energy: Meaning, specification and the politics of definition. </w:t>
      </w:r>
      <w:r w:rsidRPr="00B17C11">
        <w:rPr>
          <w:rFonts w:ascii="Arial" w:hAnsi="Arial" w:cs="Arial"/>
          <w:i/>
          <w:iCs/>
          <w:sz w:val="24"/>
          <w:szCs w:val="24"/>
        </w:rPr>
        <w:t xml:space="preserve">Revue, </w:t>
      </w:r>
      <w:proofErr w:type="spellStart"/>
      <w:r w:rsidRPr="00B17C11">
        <w:rPr>
          <w:rFonts w:ascii="Arial" w:hAnsi="Arial" w:cs="Arial"/>
          <w:i/>
          <w:iCs/>
          <w:sz w:val="24"/>
          <w:szCs w:val="24"/>
        </w:rPr>
        <w:t>L’Europe</w:t>
      </w:r>
      <w:proofErr w:type="spellEnd"/>
      <w:r w:rsidRPr="00B17C11">
        <w:rPr>
          <w:rFonts w:ascii="Arial" w:hAnsi="Arial" w:cs="Arial"/>
          <w:i/>
          <w:iCs/>
          <w:sz w:val="24"/>
          <w:szCs w:val="24"/>
        </w:rPr>
        <w:t xml:space="preserve"> </w:t>
      </w:r>
      <w:proofErr w:type="spellStart"/>
      <w:r w:rsidRPr="00B17C11">
        <w:rPr>
          <w:rFonts w:ascii="Arial" w:hAnsi="Arial" w:cs="Arial"/>
          <w:i/>
          <w:iCs/>
          <w:sz w:val="24"/>
          <w:szCs w:val="24"/>
        </w:rPr>
        <w:t>en</w:t>
      </w:r>
      <w:proofErr w:type="spellEnd"/>
      <w:r w:rsidRPr="00B17C11">
        <w:rPr>
          <w:rFonts w:ascii="Arial" w:hAnsi="Arial" w:cs="Arial"/>
          <w:i/>
          <w:iCs/>
          <w:sz w:val="24"/>
          <w:szCs w:val="24"/>
        </w:rPr>
        <w:t xml:space="preserve"> Formation</w:t>
      </w:r>
      <w:r w:rsidRPr="00B17C11">
        <w:rPr>
          <w:rFonts w:ascii="Arial" w:hAnsi="Arial" w:cs="Arial"/>
          <w:sz w:val="24"/>
          <w:szCs w:val="24"/>
        </w:rPr>
        <w:t xml:space="preserve"> 4:26-38.</w:t>
      </w:r>
    </w:p>
    <w:p w14:paraId="5CB315CA" w14:textId="77777777" w:rsidR="00B94ED9" w:rsidRPr="00B17C11" w:rsidRDefault="00B94ED9" w:rsidP="00B94ED9">
      <w:pPr>
        <w:spacing w:before="120" w:after="120" w:line="360" w:lineRule="auto"/>
        <w:ind w:left="720"/>
        <w:jc w:val="both"/>
        <w:rPr>
          <w:rFonts w:ascii="Arial" w:hAnsi="Arial" w:cs="Arial"/>
          <w:sz w:val="24"/>
          <w:szCs w:val="24"/>
        </w:rPr>
      </w:pPr>
    </w:p>
    <w:p w14:paraId="0BF74B0D" w14:textId="50F2F4F6"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ZLOTNICK M</w:t>
      </w:r>
    </w:p>
    <w:p w14:paraId="2257F658" w14:textId="5D57CA43" w:rsidR="00396FF9" w:rsidRPr="00B17C11" w:rsidRDefault="00396FF9" w:rsidP="00B94ED9">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1994. Possessory remedies enforcing contractual rights. </w:t>
      </w:r>
      <w:r w:rsidRPr="00B17C11">
        <w:rPr>
          <w:rFonts w:ascii="Arial" w:hAnsi="Arial" w:cs="Arial"/>
          <w:i/>
          <w:iCs/>
          <w:sz w:val="24"/>
          <w:szCs w:val="24"/>
          <w:lang w:val="en-GB"/>
        </w:rPr>
        <w:t>South African Law Journal</w:t>
      </w:r>
      <w:r w:rsidRPr="00B17C11">
        <w:rPr>
          <w:rFonts w:ascii="Arial" w:hAnsi="Arial" w:cs="Arial"/>
          <w:sz w:val="24"/>
          <w:szCs w:val="24"/>
          <w:lang w:val="en-GB"/>
        </w:rPr>
        <w:t xml:space="preserve"> 111(4):694-699.</w:t>
      </w:r>
    </w:p>
    <w:p w14:paraId="0BFD7FE3" w14:textId="77777777" w:rsidR="00B94ED9" w:rsidRPr="00B17C11" w:rsidRDefault="00B94ED9" w:rsidP="00B94ED9">
      <w:pPr>
        <w:spacing w:before="120" w:after="120" w:line="360" w:lineRule="auto"/>
        <w:ind w:left="720"/>
        <w:jc w:val="both"/>
        <w:rPr>
          <w:rFonts w:ascii="Arial" w:hAnsi="Arial" w:cs="Arial"/>
          <w:sz w:val="24"/>
          <w:szCs w:val="24"/>
          <w:lang w:val="en-GB"/>
        </w:rPr>
      </w:pPr>
    </w:p>
    <w:p w14:paraId="3E07CB3D" w14:textId="13AC6733" w:rsidR="00B94ED9" w:rsidRPr="00B17C11" w:rsidRDefault="00396FF9" w:rsidP="00396FF9">
      <w:pPr>
        <w:spacing w:before="120" w:after="120" w:line="360" w:lineRule="auto"/>
        <w:jc w:val="both"/>
        <w:rPr>
          <w:rFonts w:ascii="Arial" w:hAnsi="Arial" w:cs="Arial"/>
          <w:sz w:val="24"/>
          <w:szCs w:val="24"/>
          <w:lang w:val="en-GB"/>
        </w:rPr>
      </w:pPr>
      <w:r w:rsidRPr="00B17C11">
        <w:rPr>
          <w:rFonts w:ascii="Arial" w:hAnsi="Arial" w:cs="Arial"/>
          <w:sz w:val="24"/>
          <w:szCs w:val="24"/>
          <w:lang w:val="en-GB"/>
        </w:rPr>
        <w:t>ZULUETA FD</w:t>
      </w:r>
    </w:p>
    <w:p w14:paraId="3F806615" w14:textId="57FFBD3C" w:rsidR="00396FF9" w:rsidRPr="00B17C11" w:rsidRDefault="00396FF9" w:rsidP="0087171E">
      <w:pPr>
        <w:spacing w:before="120" w:after="120" w:line="360" w:lineRule="auto"/>
        <w:ind w:left="720"/>
        <w:jc w:val="both"/>
        <w:rPr>
          <w:rFonts w:ascii="Arial" w:hAnsi="Arial" w:cs="Arial"/>
          <w:sz w:val="24"/>
          <w:szCs w:val="24"/>
          <w:lang w:val="en-GB"/>
        </w:rPr>
      </w:pPr>
      <w:r w:rsidRPr="00B17C11">
        <w:rPr>
          <w:rFonts w:ascii="Arial" w:hAnsi="Arial" w:cs="Arial"/>
          <w:sz w:val="24"/>
          <w:szCs w:val="24"/>
          <w:lang w:val="en-GB"/>
        </w:rPr>
        <w:t xml:space="preserve">1946. </w:t>
      </w:r>
      <w:r w:rsidRPr="00B17C11">
        <w:rPr>
          <w:rFonts w:ascii="Arial" w:hAnsi="Arial" w:cs="Arial"/>
          <w:i/>
          <w:sz w:val="24"/>
          <w:szCs w:val="24"/>
          <w:lang w:val="en-GB"/>
        </w:rPr>
        <w:t>The institutes of Gaius Part I: Texts with critical notes and translation</w:t>
      </w:r>
      <w:r w:rsidRPr="00B17C11">
        <w:rPr>
          <w:rFonts w:ascii="Arial" w:hAnsi="Arial" w:cs="Arial"/>
          <w:sz w:val="24"/>
          <w:szCs w:val="24"/>
          <w:lang w:val="en-GB"/>
        </w:rPr>
        <w:t>. Oxford: Oxford University Press.</w:t>
      </w:r>
    </w:p>
    <w:p w14:paraId="3BD91004" w14:textId="77777777" w:rsidR="00396FF9" w:rsidRPr="00B17C11" w:rsidRDefault="00396FF9" w:rsidP="00396FF9">
      <w:pPr>
        <w:spacing w:before="120" w:after="120" w:line="360" w:lineRule="auto"/>
        <w:jc w:val="both"/>
        <w:rPr>
          <w:rFonts w:ascii="Arial" w:hAnsi="Arial" w:cs="Arial"/>
          <w:sz w:val="24"/>
          <w:szCs w:val="24"/>
          <w:lang w:val="en-GB"/>
        </w:rPr>
      </w:pPr>
    </w:p>
    <w:p w14:paraId="114841DF" w14:textId="77777777" w:rsidR="00396FF9" w:rsidRPr="00B17C11" w:rsidRDefault="00396FF9" w:rsidP="00396FF9">
      <w:pPr>
        <w:spacing w:before="120" w:after="120" w:line="360" w:lineRule="auto"/>
        <w:jc w:val="both"/>
        <w:rPr>
          <w:rFonts w:ascii="Arial" w:hAnsi="Arial" w:cs="Arial"/>
          <w:b/>
          <w:bCs/>
          <w:sz w:val="24"/>
          <w:szCs w:val="24"/>
          <w:lang w:val="en-GB"/>
        </w:rPr>
      </w:pPr>
      <w:r w:rsidRPr="00B17C11">
        <w:rPr>
          <w:rFonts w:ascii="Arial" w:hAnsi="Arial" w:cs="Arial"/>
          <w:b/>
          <w:bCs/>
          <w:sz w:val="24"/>
          <w:szCs w:val="24"/>
          <w:lang w:val="en-GB"/>
        </w:rPr>
        <w:t>Legislation</w:t>
      </w:r>
    </w:p>
    <w:p w14:paraId="1C13C861" w14:textId="21205FA3" w:rsidR="00396FF9" w:rsidRPr="00B17C11" w:rsidRDefault="00396FF9" w:rsidP="00396FF9">
      <w:pPr>
        <w:spacing w:before="120" w:after="120" w:line="360" w:lineRule="auto"/>
        <w:jc w:val="both"/>
        <w:rPr>
          <w:rFonts w:ascii="Arial" w:hAnsi="Arial" w:cs="Arial"/>
          <w:iCs/>
          <w:sz w:val="24"/>
          <w:szCs w:val="24"/>
          <w:lang w:val="en-GB"/>
        </w:rPr>
      </w:pPr>
      <w:r w:rsidRPr="00B17C11">
        <w:rPr>
          <w:rFonts w:ascii="Arial" w:hAnsi="Arial" w:cs="Arial"/>
          <w:i/>
          <w:sz w:val="24"/>
          <w:szCs w:val="24"/>
          <w:lang w:val="en-GB"/>
        </w:rPr>
        <w:t>The Constitution of the Republic of South Africa</w:t>
      </w:r>
      <w:r w:rsidR="00B94ED9" w:rsidRPr="00B17C11">
        <w:rPr>
          <w:rFonts w:ascii="Arial" w:hAnsi="Arial" w:cs="Arial"/>
          <w:iCs/>
          <w:sz w:val="24"/>
          <w:szCs w:val="24"/>
          <w:lang w:val="en-GB"/>
        </w:rPr>
        <w:t>,</w:t>
      </w:r>
      <w:r w:rsidRPr="00B17C11">
        <w:rPr>
          <w:rFonts w:ascii="Arial" w:hAnsi="Arial" w:cs="Arial"/>
          <w:i/>
          <w:sz w:val="24"/>
          <w:szCs w:val="24"/>
          <w:lang w:val="en-GB"/>
        </w:rPr>
        <w:t xml:space="preserve"> </w:t>
      </w:r>
      <w:r w:rsidRPr="00B17C11">
        <w:rPr>
          <w:rFonts w:ascii="Arial" w:hAnsi="Arial" w:cs="Arial"/>
          <w:iCs/>
          <w:sz w:val="24"/>
          <w:szCs w:val="24"/>
          <w:lang w:val="en-GB"/>
        </w:rPr>
        <w:t>1996</w:t>
      </w:r>
      <w:r w:rsidR="00360399" w:rsidRPr="00B17C11">
        <w:rPr>
          <w:rFonts w:ascii="Arial" w:hAnsi="Arial" w:cs="Arial"/>
          <w:iCs/>
          <w:sz w:val="24"/>
          <w:szCs w:val="24"/>
          <w:lang w:val="en-GB"/>
        </w:rPr>
        <w:t>.</w:t>
      </w:r>
    </w:p>
    <w:p w14:paraId="3DFAE5D7" w14:textId="77777777" w:rsidR="00396FF9" w:rsidRPr="00B17C11" w:rsidRDefault="00396FF9" w:rsidP="00396FF9">
      <w:pPr>
        <w:spacing w:before="120" w:after="120" w:line="360" w:lineRule="auto"/>
        <w:jc w:val="both"/>
        <w:rPr>
          <w:rFonts w:ascii="Arial" w:hAnsi="Arial" w:cs="Arial"/>
          <w:i/>
          <w:sz w:val="24"/>
          <w:szCs w:val="24"/>
          <w:lang w:val="en-GB"/>
        </w:rPr>
      </w:pPr>
    </w:p>
    <w:p w14:paraId="68566FEA" w14:textId="403536F9" w:rsidR="00396FF9" w:rsidRPr="00B17C11" w:rsidRDefault="00396FF9" w:rsidP="009E6526">
      <w:pPr>
        <w:spacing w:before="120" w:after="120" w:line="360" w:lineRule="auto"/>
        <w:jc w:val="both"/>
      </w:pPr>
      <w:r w:rsidRPr="00B17C11">
        <w:rPr>
          <w:rFonts w:ascii="Arial" w:hAnsi="Arial" w:cs="Arial"/>
          <w:b/>
          <w:bCs/>
          <w:sz w:val="24"/>
          <w:szCs w:val="24"/>
          <w:lang w:val="en-GB"/>
        </w:rPr>
        <w:t>Case Law</w:t>
      </w:r>
    </w:p>
    <w:p w14:paraId="57105E37"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ATM Solutions (Pty) Ltd v </w:t>
      </w:r>
      <w:proofErr w:type="spellStart"/>
      <w:r w:rsidRPr="00B17C11">
        <w:rPr>
          <w:rFonts w:ascii="Arial" w:hAnsi="Arial" w:cs="Arial"/>
          <w:i/>
          <w:iCs/>
          <w:sz w:val="24"/>
          <w:szCs w:val="24"/>
          <w:lang w:val="en-GB"/>
        </w:rPr>
        <w:t>Olkru</w:t>
      </w:r>
      <w:proofErr w:type="spellEnd"/>
      <w:r w:rsidRPr="00B17C11">
        <w:rPr>
          <w:rFonts w:ascii="Arial" w:hAnsi="Arial" w:cs="Arial"/>
          <w:i/>
          <w:iCs/>
          <w:sz w:val="24"/>
          <w:szCs w:val="24"/>
          <w:lang w:val="en-GB"/>
        </w:rPr>
        <w:t xml:space="preserve"> </w:t>
      </w:r>
      <w:proofErr w:type="spellStart"/>
      <w:r w:rsidRPr="00B17C11">
        <w:rPr>
          <w:rFonts w:ascii="Arial" w:hAnsi="Arial" w:cs="Arial"/>
          <w:i/>
          <w:iCs/>
          <w:sz w:val="24"/>
          <w:szCs w:val="24"/>
          <w:lang w:val="en-GB"/>
        </w:rPr>
        <w:t>Handelaars</w:t>
      </w:r>
      <w:proofErr w:type="spellEnd"/>
      <w:r w:rsidRPr="00B17C11">
        <w:rPr>
          <w:rFonts w:ascii="Arial" w:hAnsi="Arial" w:cs="Arial"/>
          <w:i/>
          <w:iCs/>
          <w:sz w:val="24"/>
          <w:szCs w:val="24"/>
          <w:lang w:val="en-GB"/>
        </w:rPr>
        <w:t xml:space="preserve"> CC and Another</w:t>
      </w:r>
      <w:r w:rsidRPr="00B17C11">
        <w:rPr>
          <w:rFonts w:ascii="Arial" w:hAnsi="Arial" w:cs="Arial"/>
          <w:sz w:val="24"/>
          <w:szCs w:val="24"/>
          <w:lang w:val="en-GB"/>
        </w:rPr>
        <w:t xml:space="preserve"> 2009 (4) SA 337 (SCA)</w:t>
      </w:r>
    </w:p>
    <w:p w14:paraId="0ABCD270" w14:textId="42220F29" w:rsidR="00536529" w:rsidRPr="00B17C11" w:rsidRDefault="00536529" w:rsidP="0058228F">
      <w:pPr>
        <w:spacing w:before="120" w:after="120" w:line="360" w:lineRule="auto"/>
        <w:ind w:left="357" w:hanging="357"/>
        <w:jc w:val="both"/>
        <w:rPr>
          <w:rFonts w:ascii="Arial" w:hAnsi="Arial" w:cs="Arial"/>
          <w:sz w:val="24"/>
          <w:szCs w:val="24"/>
          <w:lang w:val="en-GB"/>
        </w:rPr>
      </w:pPr>
      <w:proofErr w:type="spellStart"/>
      <w:r w:rsidRPr="00B17C11">
        <w:rPr>
          <w:rFonts w:ascii="Arial" w:hAnsi="Arial" w:cs="Arial"/>
          <w:i/>
          <w:iCs/>
          <w:sz w:val="24"/>
          <w:szCs w:val="24"/>
        </w:rPr>
        <w:lastRenderedPageBreak/>
        <w:t>Bantham</w:t>
      </w:r>
      <w:proofErr w:type="spellEnd"/>
      <w:r w:rsidRPr="00B17C11">
        <w:rPr>
          <w:rFonts w:ascii="Arial" w:hAnsi="Arial" w:cs="Arial"/>
          <w:i/>
          <w:iCs/>
          <w:sz w:val="24"/>
          <w:szCs w:val="24"/>
        </w:rPr>
        <w:t xml:space="preserve"> </w:t>
      </w:r>
      <w:r w:rsidRPr="00B17C11">
        <w:rPr>
          <w:rFonts w:ascii="Arial" w:hAnsi="Arial" w:cs="Arial"/>
          <w:i/>
          <w:iCs/>
          <w:sz w:val="24"/>
          <w:szCs w:val="24"/>
          <w:shd w:val="clear" w:color="auto" w:fill="FFFFFF"/>
        </w:rPr>
        <w:t>and Others v City of Johannesburg and Others</w:t>
      </w:r>
      <w:r w:rsidRPr="00B17C11">
        <w:rPr>
          <w:rFonts w:ascii="Arial" w:hAnsi="Arial" w:cs="Arial"/>
          <w:sz w:val="24"/>
          <w:szCs w:val="24"/>
          <w:shd w:val="clear" w:color="auto" w:fill="FFFFFF"/>
        </w:rPr>
        <w:t xml:space="preserve"> 2024 ZAGPJHC 706</w:t>
      </w:r>
    </w:p>
    <w:p w14:paraId="29FB47A3"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shd w:val="clear" w:color="auto" w:fill="FFFFFF"/>
        </w:rPr>
        <w:t xml:space="preserve">Bennett Pringle (Pty) Ltd v Adelaide Municipality </w:t>
      </w:r>
      <w:r w:rsidRPr="00B17C11">
        <w:rPr>
          <w:rFonts w:ascii="Arial" w:hAnsi="Arial" w:cs="Arial"/>
          <w:sz w:val="24"/>
          <w:szCs w:val="24"/>
          <w:shd w:val="clear" w:color="auto" w:fill="FFFFFF"/>
        </w:rPr>
        <w:t>1977 (1) SA 230 (E)</w:t>
      </w:r>
    </w:p>
    <w:p w14:paraId="27F80205" w14:textId="77777777" w:rsidR="00396FF9" w:rsidRPr="00B17C11" w:rsidRDefault="00396FF9" w:rsidP="0058228F">
      <w:pPr>
        <w:spacing w:before="120" w:after="120" w:line="360" w:lineRule="auto"/>
        <w:ind w:left="357" w:hanging="357"/>
        <w:jc w:val="both"/>
        <w:rPr>
          <w:rFonts w:ascii="Arial" w:hAnsi="Arial" w:cs="Arial"/>
          <w:i/>
          <w:sz w:val="24"/>
          <w:szCs w:val="24"/>
        </w:rPr>
      </w:pPr>
      <w:proofErr w:type="spellStart"/>
      <w:r w:rsidRPr="00B17C11">
        <w:rPr>
          <w:rFonts w:ascii="Arial" w:hAnsi="Arial" w:cs="Arial"/>
          <w:i/>
          <w:sz w:val="24"/>
          <w:szCs w:val="24"/>
          <w:lang w:val="en-GB"/>
        </w:rPr>
        <w:t>Blendrite</w:t>
      </w:r>
      <w:proofErr w:type="spellEnd"/>
      <w:r w:rsidRPr="00B17C11">
        <w:rPr>
          <w:rFonts w:ascii="Arial" w:hAnsi="Arial" w:cs="Arial"/>
          <w:i/>
          <w:sz w:val="24"/>
          <w:szCs w:val="24"/>
          <w:lang w:val="en-GB"/>
        </w:rPr>
        <w:t xml:space="preserve"> (Pty) Ltd and Another v </w:t>
      </w:r>
      <w:proofErr w:type="spellStart"/>
      <w:r w:rsidRPr="00B17C11">
        <w:rPr>
          <w:rFonts w:ascii="Arial" w:hAnsi="Arial" w:cs="Arial"/>
          <w:i/>
          <w:sz w:val="24"/>
          <w:szCs w:val="24"/>
          <w:lang w:val="en-GB"/>
        </w:rPr>
        <w:t>Moonisami</w:t>
      </w:r>
      <w:proofErr w:type="spellEnd"/>
      <w:r w:rsidRPr="00B17C11">
        <w:rPr>
          <w:rFonts w:ascii="Arial" w:hAnsi="Arial" w:cs="Arial"/>
          <w:i/>
          <w:sz w:val="24"/>
          <w:szCs w:val="24"/>
          <w:lang w:val="en-GB"/>
        </w:rPr>
        <w:t xml:space="preserve"> and Another </w:t>
      </w:r>
      <w:r w:rsidRPr="00B17C11">
        <w:rPr>
          <w:rFonts w:ascii="Arial" w:hAnsi="Arial" w:cs="Arial"/>
          <w:sz w:val="24"/>
          <w:szCs w:val="24"/>
          <w:lang w:val="en-GB"/>
        </w:rPr>
        <w:t>2021 (4) SA 61 (SCA).</w:t>
      </w:r>
    </w:p>
    <w:p w14:paraId="7072506E" w14:textId="77777777" w:rsidR="00396FF9" w:rsidRPr="00B17C11" w:rsidRDefault="00396FF9" w:rsidP="0058228F">
      <w:pPr>
        <w:spacing w:before="120" w:after="120" w:line="360" w:lineRule="auto"/>
        <w:ind w:left="357" w:hanging="357"/>
        <w:jc w:val="both"/>
        <w:rPr>
          <w:rFonts w:ascii="Arial" w:hAnsi="Arial" w:cs="Arial"/>
          <w:i/>
          <w:sz w:val="24"/>
          <w:szCs w:val="24"/>
          <w:shd w:val="clear" w:color="auto" w:fill="FFFFFF"/>
        </w:rPr>
      </w:pPr>
      <w:r w:rsidRPr="00B17C11">
        <w:rPr>
          <w:rFonts w:ascii="Arial" w:hAnsi="Arial" w:cs="Arial"/>
          <w:i/>
          <w:iCs/>
          <w:sz w:val="24"/>
          <w:szCs w:val="24"/>
        </w:rPr>
        <w:t>Bon Quelle (</w:t>
      </w:r>
      <w:proofErr w:type="spellStart"/>
      <w:r w:rsidRPr="00B17C11">
        <w:rPr>
          <w:rFonts w:ascii="Arial" w:hAnsi="Arial" w:cs="Arial"/>
          <w:i/>
          <w:iCs/>
          <w:sz w:val="24"/>
          <w:szCs w:val="24"/>
        </w:rPr>
        <w:t>Edms</w:t>
      </w:r>
      <w:proofErr w:type="spellEnd"/>
      <w:r w:rsidRPr="00B17C11">
        <w:rPr>
          <w:rFonts w:ascii="Arial" w:hAnsi="Arial" w:cs="Arial"/>
          <w:i/>
          <w:iCs/>
          <w:sz w:val="24"/>
          <w:szCs w:val="24"/>
        </w:rPr>
        <w:t xml:space="preserve">) </w:t>
      </w:r>
      <w:proofErr w:type="spellStart"/>
      <w:r w:rsidRPr="00B17C11">
        <w:rPr>
          <w:rFonts w:ascii="Arial" w:hAnsi="Arial" w:cs="Arial"/>
          <w:i/>
          <w:iCs/>
          <w:sz w:val="24"/>
          <w:szCs w:val="24"/>
        </w:rPr>
        <w:t>Bpk</w:t>
      </w:r>
      <w:proofErr w:type="spellEnd"/>
      <w:r w:rsidRPr="00B17C11">
        <w:rPr>
          <w:rFonts w:ascii="Arial" w:hAnsi="Arial" w:cs="Arial"/>
          <w:i/>
          <w:iCs/>
          <w:sz w:val="24"/>
          <w:szCs w:val="24"/>
        </w:rPr>
        <w:t xml:space="preserve"> v </w:t>
      </w:r>
      <w:proofErr w:type="spellStart"/>
      <w:r w:rsidRPr="00B17C11">
        <w:rPr>
          <w:rFonts w:ascii="Arial" w:hAnsi="Arial" w:cs="Arial"/>
          <w:i/>
          <w:iCs/>
          <w:sz w:val="24"/>
          <w:szCs w:val="24"/>
        </w:rPr>
        <w:t>Munisipaliteit</w:t>
      </w:r>
      <w:proofErr w:type="spellEnd"/>
      <w:r w:rsidRPr="00B17C11">
        <w:rPr>
          <w:rFonts w:ascii="Arial" w:hAnsi="Arial" w:cs="Arial"/>
          <w:i/>
          <w:iCs/>
          <w:sz w:val="24"/>
          <w:szCs w:val="24"/>
        </w:rPr>
        <w:t xml:space="preserve"> van Otavi</w:t>
      </w:r>
      <w:r w:rsidRPr="00B17C11">
        <w:rPr>
          <w:rFonts w:ascii="Arial" w:hAnsi="Arial" w:cs="Arial"/>
          <w:sz w:val="24"/>
          <w:szCs w:val="24"/>
        </w:rPr>
        <w:t xml:space="preserve"> 1989 (1) SA 508 (A)</w:t>
      </w:r>
    </w:p>
    <w:p w14:paraId="6C848B43" w14:textId="77777777" w:rsidR="00396FF9" w:rsidRPr="00B17C11" w:rsidRDefault="00396FF9" w:rsidP="0058228F">
      <w:pPr>
        <w:pStyle w:val="FootnoteText"/>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sz w:val="24"/>
          <w:szCs w:val="24"/>
          <w:shd w:val="clear" w:color="auto" w:fill="FFFFFF"/>
        </w:rPr>
        <w:t>Burnham v Neumeyer</w:t>
      </w:r>
      <w:r w:rsidRPr="00B17C11">
        <w:rPr>
          <w:rFonts w:ascii="Arial" w:hAnsi="Arial" w:cs="Arial"/>
          <w:sz w:val="24"/>
          <w:szCs w:val="24"/>
          <w:shd w:val="clear" w:color="auto" w:fill="FFFFFF"/>
        </w:rPr>
        <w:t xml:space="preserve"> 1917 TPD 630</w:t>
      </w:r>
    </w:p>
    <w:p w14:paraId="33DF7A8F"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rPr>
        <w:t xml:space="preserve">City of Cape Town v </w:t>
      </w:r>
      <w:proofErr w:type="spellStart"/>
      <w:r w:rsidRPr="00B17C11">
        <w:rPr>
          <w:rFonts w:ascii="Arial" w:hAnsi="Arial" w:cs="Arial"/>
          <w:i/>
          <w:iCs/>
          <w:sz w:val="24"/>
          <w:szCs w:val="24"/>
        </w:rPr>
        <w:t>Strumpher</w:t>
      </w:r>
      <w:proofErr w:type="spellEnd"/>
      <w:r w:rsidRPr="00B17C11">
        <w:rPr>
          <w:rFonts w:ascii="Arial" w:hAnsi="Arial" w:cs="Arial"/>
          <w:sz w:val="24"/>
          <w:szCs w:val="24"/>
        </w:rPr>
        <w:t xml:space="preserve"> 2012 (4) SA 207 (SCA)</w:t>
      </w:r>
    </w:p>
    <w:p w14:paraId="4ECF145A" w14:textId="6E1546EE" w:rsidR="0003664A" w:rsidRPr="00B17C11" w:rsidRDefault="0003664A"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lang w:val="de-DE"/>
        </w:rPr>
        <w:t>City of Ekurhuleni Metropolitan v Tshepo Gugu Trading CC and Another</w:t>
      </w:r>
      <w:r w:rsidRPr="00B17C11">
        <w:rPr>
          <w:rFonts w:ascii="Arial" w:hAnsi="Arial" w:cs="Arial"/>
          <w:sz w:val="24"/>
          <w:szCs w:val="24"/>
          <w:lang w:val="de-DE"/>
        </w:rPr>
        <w:t xml:space="preserve"> 2024 ZASCA 81</w:t>
      </w:r>
    </w:p>
    <w:p w14:paraId="1F6D851C" w14:textId="77777777" w:rsidR="00396FF9" w:rsidRPr="00B17C11" w:rsidRDefault="00396FF9" w:rsidP="0058228F">
      <w:pPr>
        <w:pStyle w:val="FootnoteText"/>
        <w:spacing w:before="120" w:after="120" w:line="360" w:lineRule="auto"/>
        <w:ind w:left="357" w:hanging="357"/>
        <w:jc w:val="both"/>
        <w:rPr>
          <w:rFonts w:ascii="Arial" w:hAnsi="Arial" w:cs="Arial"/>
          <w:sz w:val="24"/>
          <w:szCs w:val="24"/>
          <w:lang w:val="en-GB"/>
        </w:rPr>
      </w:pPr>
      <w:r w:rsidRPr="00B17C11">
        <w:rPr>
          <w:rFonts w:ascii="Arial" w:hAnsi="Arial" w:cs="Arial"/>
          <w:i/>
          <w:sz w:val="24"/>
          <w:szCs w:val="24"/>
          <w:lang w:val="en-GB"/>
        </w:rPr>
        <w:t>Coetzee v Coetzee</w:t>
      </w:r>
      <w:r w:rsidRPr="00B17C11">
        <w:rPr>
          <w:rFonts w:ascii="Arial" w:hAnsi="Arial" w:cs="Arial"/>
          <w:sz w:val="24"/>
          <w:szCs w:val="24"/>
          <w:lang w:val="en-GB"/>
        </w:rPr>
        <w:t xml:space="preserve"> 1982 (1) SA 933 (C)</w:t>
      </w:r>
    </w:p>
    <w:p w14:paraId="6E9A4113" w14:textId="0EE10257" w:rsidR="00501C5A" w:rsidRPr="00B17C11" w:rsidRDefault="00501C5A" w:rsidP="0058228F">
      <w:pPr>
        <w:pStyle w:val="FootnoteText"/>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Darries and Others v City of Johannesburg and Others</w:t>
      </w:r>
      <w:r w:rsidRPr="00B17C11">
        <w:rPr>
          <w:rFonts w:ascii="Arial" w:hAnsi="Arial" w:cs="Arial"/>
          <w:sz w:val="24"/>
          <w:szCs w:val="24"/>
          <w:lang w:val="en-GB"/>
        </w:rPr>
        <w:t xml:space="preserve"> </w:t>
      </w:r>
      <w:r w:rsidR="004E1D15" w:rsidRPr="00B17C11">
        <w:rPr>
          <w:rFonts w:ascii="Arial" w:hAnsi="Arial" w:cs="Arial"/>
          <w:sz w:val="24"/>
          <w:szCs w:val="24"/>
          <w:lang w:val="en-GB"/>
        </w:rPr>
        <w:t>[</w:t>
      </w:r>
      <w:r w:rsidRPr="00B17C11">
        <w:rPr>
          <w:rFonts w:ascii="Arial" w:hAnsi="Arial" w:cs="Arial"/>
          <w:sz w:val="24"/>
          <w:szCs w:val="24"/>
          <w:lang w:val="en-GB"/>
        </w:rPr>
        <w:t>2009</w:t>
      </w:r>
      <w:r w:rsidR="004E1D15" w:rsidRPr="00B17C11">
        <w:rPr>
          <w:rFonts w:ascii="Arial" w:hAnsi="Arial" w:cs="Arial"/>
          <w:sz w:val="24"/>
          <w:szCs w:val="24"/>
          <w:lang w:val="en-GB"/>
        </w:rPr>
        <w:t>]</w:t>
      </w:r>
      <w:r w:rsidRPr="00B17C11">
        <w:rPr>
          <w:rFonts w:ascii="Arial" w:hAnsi="Arial" w:cs="Arial"/>
          <w:sz w:val="24"/>
          <w:szCs w:val="24"/>
          <w:lang w:val="en-GB"/>
        </w:rPr>
        <w:t xml:space="preserve"> 3 All SA 277 (GSJ)</w:t>
      </w:r>
    </w:p>
    <w:p w14:paraId="393844A7"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Eskom Holdings SOC Limited v Masinda</w:t>
      </w:r>
      <w:r w:rsidRPr="00B17C11">
        <w:rPr>
          <w:rFonts w:ascii="Arial" w:hAnsi="Arial" w:cs="Arial"/>
          <w:sz w:val="24"/>
          <w:szCs w:val="24"/>
          <w:lang w:val="en-GB"/>
        </w:rPr>
        <w:t xml:space="preserve"> 2019 (5) SA 386 (SCA)</w:t>
      </w:r>
    </w:p>
    <w:p w14:paraId="54002874" w14:textId="251CD597" w:rsidR="00F17E97" w:rsidRPr="00B17C11" w:rsidRDefault="00F17E97"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Eskom Holdings SOC Limited v </w:t>
      </w:r>
      <w:proofErr w:type="spellStart"/>
      <w:r w:rsidRPr="00B17C11">
        <w:rPr>
          <w:rFonts w:ascii="Arial" w:hAnsi="Arial" w:cs="Arial"/>
          <w:i/>
          <w:iCs/>
          <w:sz w:val="24"/>
          <w:szCs w:val="24"/>
          <w:lang w:val="en-GB"/>
        </w:rPr>
        <w:t>Metchem</w:t>
      </w:r>
      <w:proofErr w:type="spellEnd"/>
      <w:r w:rsidRPr="00B17C11">
        <w:rPr>
          <w:rFonts w:ascii="Arial" w:hAnsi="Arial" w:cs="Arial"/>
          <w:i/>
          <w:iCs/>
          <w:sz w:val="24"/>
          <w:szCs w:val="24"/>
          <w:lang w:val="en-GB"/>
        </w:rPr>
        <w:t xml:space="preserve"> </w:t>
      </w:r>
      <w:proofErr w:type="spellStart"/>
      <w:r w:rsidRPr="00B17C11">
        <w:rPr>
          <w:rFonts w:ascii="Arial" w:hAnsi="Arial" w:cs="Arial"/>
          <w:i/>
          <w:iCs/>
          <w:sz w:val="24"/>
          <w:szCs w:val="24"/>
          <w:lang w:val="en-GB"/>
        </w:rPr>
        <w:t>Steelpoort</w:t>
      </w:r>
      <w:proofErr w:type="spellEnd"/>
      <w:r w:rsidRPr="00B17C11">
        <w:rPr>
          <w:rFonts w:ascii="Arial" w:hAnsi="Arial" w:cs="Arial"/>
          <w:i/>
          <w:iCs/>
          <w:sz w:val="24"/>
          <w:szCs w:val="24"/>
          <w:lang w:val="en-GB"/>
        </w:rPr>
        <w:t xml:space="preserve"> CC</w:t>
      </w:r>
      <w:r w:rsidRPr="00B17C11">
        <w:rPr>
          <w:rFonts w:ascii="Arial" w:hAnsi="Arial" w:cs="Arial"/>
          <w:sz w:val="24"/>
          <w:szCs w:val="24"/>
          <w:lang w:val="en-GB"/>
        </w:rPr>
        <w:t xml:space="preserve"> 2020 ZAGPJHC 31</w:t>
      </w:r>
    </w:p>
    <w:p w14:paraId="3EAE9495"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rPr>
        <w:t>Eskom Holdings SOC Ltd v Vaal River Development Association (Pty) Ltd and Others</w:t>
      </w:r>
      <w:r w:rsidRPr="00B17C11">
        <w:rPr>
          <w:rFonts w:ascii="Arial" w:hAnsi="Arial" w:cs="Arial"/>
          <w:sz w:val="24"/>
          <w:szCs w:val="24"/>
        </w:rPr>
        <w:t xml:space="preserve"> </w:t>
      </w:r>
      <w:r w:rsidRPr="00B17C11">
        <w:rPr>
          <w:rFonts w:ascii="Arial" w:hAnsi="Arial" w:cs="Arial"/>
          <w:sz w:val="24"/>
          <w:szCs w:val="24"/>
          <w:lang w:val="en-GB"/>
        </w:rPr>
        <w:t>2023 (4) SA 325 (CC)</w:t>
      </w:r>
    </w:p>
    <w:p w14:paraId="4A86F0C5"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rPr>
        <w:t xml:space="preserve">First National Bank of SA Ltd t/a </w:t>
      </w:r>
      <w:proofErr w:type="spellStart"/>
      <w:r w:rsidRPr="00B17C11">
        <w:rPr>
          <w:rFonts w:ascii="Arial" w:hAnsi="Arial" w:cs="Arial"/>
          <w:i/>
          <w:iCs/>
          <w:sz w:val="24"/>
          <w:szCs w:val="24"/>
        </w:rPr>
        <w:t>Wesbank</w:t>
      </w:r>
      <w:proofErr w:type="spellEnd"/>
      <w:r w:rsidRPr="00B17C11">
        <w:rPr>
          <w:rFonts w:ascii="Arial" w:hAnsi="Arial" w:cs="Arial"/>
          <w:i/>
          <w:iCs/>
          <w:sz w:val="24"/>
          <w:szCs w:val="24"/>
        </w:rPr>
        <w:t xml:space="preserve"> v Commissioner, South African Revenue Service; First National Bank of SA Ltd t/a </w:t>
      </w:r>
      <w:proofErr w:type="spellStart"/>
      <w:r w:rsidRPr="00B17C11">
        <w:rPr>
          <w:rFonts w:ascii="Arial" w:hAnsi="Arial" w:cs="Arial"/>
          <w:i/>
          <w:iCs/>
          <w:sz w:val="24"/>
          <w:szCs w:val="24"/>
        </w:rPr>
        <w:t>Wesbank</w:t>
      </w:r>
      <w:proofErr w:type="spellEnd"/>
      <w:r w:rsidRPr="00B17C11">
        <w:rPr>
          <w:rFonts w:ascii="Arial" w:hAnsi="Arial" w:cs="Arial"/>
          <w:i/>
          <w:iCs/>
          <w:sz w:val="24"/>
          <w:szCs w:val="24"/>
        </w:rPr>
        <w:t xml:space="preserve"> v Minister of Finance</w:t>
      </w:r>
      <w:r w:rsidRPr="00B17C11">
        <w:rPr>
          <w:rFonts w:ascii="Arial" w:hAnsi="Arial" w:cs="Arial"/>
          <w:sz w:val="24"/>
          <w:szCs w:val="24"/>
        </w:rPr>
        <w:t xml:space="preserve"> 2002 (4) SA 768 (CC)</w:t>
      </w:r>
    </w:p>
    <w:p w14:paraId="35CF8AD6"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rPr>
        <w:t>FirstRand Ltd t/a Rand Merchant Bank and Another v Scholtz NO and Others</w:t>
      </w:r>
      <w:r w:rsidRPr="00B17C11">
        <w:rPr>
          <w:rFonts w:ascii="Arial" w:hAnsi="Arial" w:cs="Arial"/>
          <w:sz w:val="24"/>
          <w:szCs w:val="24"/>
        </w:rPr>
        <w:t xml:space="preserve"> 2008 (2) SA 503 (SCA)</w:t>
      </w:r>
    </w:p>
    <w:p w14:paraId="61EFE804" w14:textId="34A33FFD" w:rsidR="006D35DC" w:rsidRPr="00B17C11" w:rsidRDefault="006D35DC" w:rsidP="000D41AC">
      <w:pPr>
        <w:pStyle w:val="FootnoteText"/>
        <w:spacing w:before="120" w:after="120" w:line="360" w:lineRule="auto"/>
        <w:rPr>
          <w:rFonts w:ascii="Arial" w:hAnsi="Arial" w:cs="Arial"/>
          <w:sz w:val="24"/>
          <w:szCs w:val="24"/>
          <w:shd w:val="clear" w:color="auto" w:fill="FFFFFF"/>
        </w:rPr>
      </w:pPr>
      <w:r w:rsidRPr="00B17C11">
        <w:rPr>
          <w:rFonts w:ascii="Arial" w:hAnsi="Arial" w:cs="Arial"/>
          <w:i/>
          <w:iCs/>
          <w:sz w:val="24"/>
          <w:szCs w:val="24"/>
          <w:shd w:val="clear" w:color="auto" w:fill="FFFFFF"/>
        </w:rPr>
        <w:t xml:space="preserve">Fredericks and Another v Stellenbosch Divisional Council </w:t>
      </w:r>
      <w:r w:rsidRPr="00B17C11">
        <w:rPr>
          <w:rFonts w:ascii="Arial" w:hAnsi="Arial" w:cs="Arial"/>
          <w:sz w:val="24"/>
          <w:szCs w:val="24"/>
          <w:shd w:val="clear" w:color="auto" w:fill="FFFFFF"/>
        </w:rPr>
        <w:t xml:space="preserve">1977 (3) SA 113 (C) </w:t>
      </w:r>
    </w:p>
    <w:p w14:paraId="760E0257" w14:textId="77777777" w:rsidR="00396FF9" w:rsidRPr="00B17C11" w:rsidRDefault="00396FF9" w:rsidP="000D41AC">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rPr>
        <w:t xml:space="preserve">Froman v </w:t>
      </w:r>
      <w:proofErr w:type="spellStart"/>
      <w:r w:rsidRPr="00B17C11">
        <w:rPr>
          <w:rFonts w:ascii="Arial" w:hAnsi="Arial" w:cs="Arial"/>
          <w:i/>
          <w:iCs/>
          <w:sz w:val="24"/>
          <w:szCs w:val="24"/>
        </w:rPr>
        <w:t>Herbmore</w:t>
      </w:r>
      <w:proofErr w:type="spellEnd"/>
      <w:r w:rsidRPr="00B17C11">
        <w:rPr>
          <w:rFonts w:ascii="Arial" w:hAnsi="Arial" w:cs="Arial"/>
          <w:i/>
          <w:iCs/>
          <w:sz w:val="24"/>
          <w:szCs w:val="24"/>
        </w:rPr>
        <w:t xml:space="preserve"> Timber and Hardware (Pty) Ltd</w:t>
      </w:r>
      <w:r w:rsidRPr="00B17C11">
        <w:rPr>
          <w:rFonts w:ascii="Arial" w:hAnsi="Arial" w:cs="Arial"/>
          <w:sz w:val="24"/>
          <w:szCs w:val="24"/>
        </w:rPr>
        <w:t xml:space="preserve"> [</w:t>
      </w:r>
      <w:r w:rsidRPr="00B17C11">
        <w:rPr>
          <w:rFonts w:ascii="Arial" w:hAnsi="Arial" w:cs="Arial"/>
          <w:sz w:val="24"/>
          <w:szCs w:val="24"/>
          <w:shd w:val="clear" w:color="auto" w:fill="FFFFFF"/>
        </w:rPr>
        <w:t>1984] 4 ALL SA 290 (W)</w:t>
      </w:r>
    </w:p>
    <w:p w14:paraId="6D92B146" w14:textId="77F1289C" w:rsidR="002F2D69" w:rsidRPr="00B17C11" w:rsidRDefault="002F2D69" w:rsidP="0058228F">
      <w:pPr>
        <w:spacing w:before="120" w:after="120" w:line="360" w:lineRule="auto"/>
        <w:ind w:left="357" w:hanging="357"/>
        <w:jc w:val="both"/>
        <w:rPr>
          <w:rFonts w:ascii="Arial" w:hAnsi="Arial" w:cs="Arial"/>
          <w:i/>
          <w:iCs/>
          <w:sz w:val="24"/>
          <w:szCs w:val="24"/>
        </w:rPr>
      </w:pPr>
      <w:r w:rsidRPr="00B17C11">
        <w:rPr>
          <w:rFonts w:ascii="Arial" w:hAnsi="Arial" w:cs="Arial"/>
          <w:i/>
          <w:iCs/>
          <w:sz w:val="24"/>
          <w:szCs w:val="24"/>
          <w:lang w:val="en-GB"/>
        </w:rPr>
        <w:t>G and D Refrigeration CC v Mulder</w:t>
      </w:r>
      <w:r w:rsidRPr="00B17C11">
        <w:rPr>
          <w:rFonts w:ascii="Arial" w:hAnsi="Arial" w:cs="Arial"/>
          <w:sz w:val="24"/>
          <w:szCs w:val="24"/>
          <w:lang w:val="en-GB"/>
        </w:rPr>
        <w:t xml:space="preserve"> 2016 ZALMPPHC 16</w:t>
      </w:r>
    </w:p>
    <w:p w14:paraId="127CB234" w14:textId="3E26B24B"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rPr>
        <w:t xml:space="preserve">George Municipality v Vena and Another 1989 </w:t>
      </w:r>
      <w:r w:rsidRPr="00B17C11">
        <w:rPr>
          <w:rFonts w:ascii="Arial" w:hAnsi="Arial" w:cs="Arial"/>
          <w:sz w:val="24"/>
          <w:szCs w:val="24"/>
        </w:rPr>
        <w:t>(2) SA 263 (A)</w:t>
      </w:r>
    </w:p>
    <w:p w14:paraId="54CD2C43" w14:textId="1E887E19"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Harrismith </w:t>
      </w:r>
      <w:proofErr w:type="spellStart"/>
      <w:r w:rsidRPr="00B17C11">
        <w:rPr>
          <w:rFonts w:ascii="Arial" w:hAnsi="Arial" w:cs="Arial"/>
          <w:i/>
          <w:iCs/>
          <w:sz w:val="24"/>
          <w:szCs w:val="24"/>
          <w:lang w:val="en-GB"/>
        </w:rPr>
        <w:t>Intabazwe</w:t>
      </w:r>
      <w:proofErr w:type="spellEnd"/>
      <w:r w:rsidRPr="00B17C11">
        <w:rPr>
          <w:rFonts w:ascii="Arial" w:hAnsi="Arial" w:cs="Arial"/>
          <w:i/>
          <w:iCs/>
          <w:sz w:val="24"/>
          <w:szCs w:val="24"/>
          <w:lang w:val="en-GB"/>
        </w:rPr>
        <w:t xml:space="preserve"> </w:t>
      </w:r>
      <w:proofErr w:type="spellStart"/>
      <w:r w:rsidRPr="00B17C11">
        <w:rPr>
          <w:rFonts w:ascii="Arial" w:hAnsi="Arial" w:cs="Arial"/>
          <w:i/>
          <w:iCs/>
          <w:sz w:val="24"/>
          <w:szCs w:val="24"/>
          <w:lang w:val="en-GB"/>
        </w:rPr>
        <w:t>Tsiame</w:t>
      </w:r>
      <w:proofErr w:type="spellEnd"/>
      <w:r w:rsidRPr="00B17C11">
        <w:rPr>
          <w:rFonts w:ascii="Arial" w:hAnsi="Arial" w:cs="Arial"/>
          <w:i/>
          <w:iCs/>
          <w:sz w:val="24"/>
          <w:szCs w:val="24"/>
          <w:lang w:val="en-GB"/>
        </w:rPr>
        <w:t xml:space="preserve"> Residents Association (Pty) Ltd and Others v Maluti-A</w:t>
      </w:r>
      <w:r w:rsidR="00EC4B9A" w:rsidRPr="00B17C11">
        <w:rPr>
          <w:rFonts w:ascii="Arial" w:hAnsi="Arial" w:cs="Arial"/>
          <w:i/>
          <w:iCs/>
          <w:sz w:val="24"/>
          <w:szCs w:val="24"/>
          <w:lang w:val="en-GB"/>
        </w:rPr>
        <w:t xml:space="preserve"> </w:t>
      </w:r>
      <w:proofErr w:type="spellStart"/>
      <w:r w:rsidRPr="00B17C11">
        <w:rPr>
          <w:rFonts w:ascii="Arial" w:hAnsi="Arial" w:cs="Arial"/>
          <w:i/>
          <w:iCs/>
          <w:sz w:val="24"/>
          <w:szCs w:val="24"/>
          <w:lang w:val="en-GB"/>
        </w:rPr>
        <w:t>Phofung</w:t>
      </w:r>
      <w:proofErr w:type="spellEnd"/>
      <w:r w:rsidRPr="00B17C11">
        <w:rPr>
          <w:rFonts w:ascii="Arial" w:hAnsi="Arial" w:cs="Arial"/>
          <w:i/>
          <w:iCs/>
          <w:sz w:val="24"/>
          <w:szCs w:val="24"/>
          <w:lang w:val="en-GB"/>
        </w:rPr>
        <w:t xml:space="preserve"> Local Municipality and Another </w:t>
      </w:r>
      <w:r w:rsidRPr="00B17C11">
        <w:rPr>
          <w:rFonts w:ascii="Arial" w:hAnsi="Arial" w:cs="Arial"/>
          <w:sz w:val="24"/>
          <w:szCs w:val="24"/>
          <w:lang w:val="en-GB"/>
        </w:rPr>
        <w:t>(567/2022) [2022] ZAFSHC 151</w:t>
      </w:r>
    </w:p>
    <w:p w14:paraId="5E27E918"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rPr>
        <w:t>Impala Water Users Association v Lourens NO and Others</w:t>
      </w:r>
      <w:r w:rsidRPr="00B17C11">
        <w:rPr>
          <w:rFonts w:ascii="Arial" w:hAnsi="Arial" w:cs="Arial"/>
          <w:sz w:val="24"/>
          <w:szCs w:val="24"/>
        </w:rPr>
        <w:t xml:space="preserve"> 2008 (2) SA 495 (SCA)</w:t>
      </w:r>
    </w:p>
    <w:p w14:paraId="3C2626FE" w14:textId="77777777" w:rsidR="00396FF9" w:rsidRPr="00B17C11" w:rsidRDefault="00396FF9" w:rsidP="0058228F">
      <w:pPr>
        <w:spacing w:before="120" w:after="120" w:line="360" w:lineRule="auto"/>
        <w:ind w:left="357" w:hanging="357"/>
        <w:jc w:val="both"/>
        <w:rPr>
          <w:rFonts w:ascii="Arial" w:hAnsi="Arial" w:cs="Arial"/>
          <w:i/>
          <w:sz w:val="24"/>
          <w:szCs w:val="24"/>
        </w:rPr>
      </w:pPr>
      <w:r w:rsidRPr="00B17C11">
        <w:rPr>
          <w:rFonts w:ascii="Arial" w:hAnsi="Arial" w:cs="Arial"/>
          <w:i/>
          <w:sz w:val="24"/>
          <w:szCs w:val="24"/>
        </w:rPr>
        <w:t xml:space="preserve">Ivanov v North West Gambling Board and Others </w:t>
      </w:r>
      <w:r w:rsidRPr="00B17C11">
        <w:rPr>
          <w:rFonts w:ascii="Arial" w:hAnsi="Arial" w:cs="Arial"/>
          <w:iCs/>
          <w:sz w:val="24"/>
          <w:szCs w:val="24"/>
        </w:rPr>
        <w:t>[</w:t>
      </w:r>
      <w:r w:rsidRPr="00B17C11">
        <w:rPr>
          <w:rFonts w:ascii="Arial" w:hAnsi="Arial" w:cs="Arial"/>
          <w:sz w:val="24"/>
          <w:szCs w:val="24"/>
        </w:rPr>
        <w:t>2012] 4 All SA 1 (SCA)</w:t>
      </w:r>
    </w:p>
    <w:p w14:paraId="1EB2BFFB"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sz w:val="24"/>
          <w:szCs w:val="24"/>
          <w:lang w:val="en-GB"/>
        </w:rPr>
        <w:lastRenderedPageBreak/>
        <w:t>Jansen v Madden</w:t>
      </w:r>
      <w:r w:rsidRPr="00B17C11">
        <w:rPr>
          <w:rFonts w:ascii="Arial" w:hAnsi="Arial" w:cs="Arial"/>
          <w:sz w:val="24"/>
          <w:szCs w:val="24"/>
          <w:lang w:val="en-GB"/>
        </w:rPr>
        <w:t xml:space="preserve"> [1968] 1 ALL SA 83 (GW)</w:t>
      </w:r>
    </w:p>
    <w:p w14:paraId="05DC4697" w14:textId="29ABE12E" w:rsidR="00713E68" w:rsidRPr="00B17C11" w:rsidRDefault="00713E68"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JC Impellers Proprietary Limited v Erven 1[...] </w:t>
      </w:r>
      <w:proofErr w:type="spellStart"/>
      <w:r w:rsidRPr="00B17C11">
        <w:rPr>
          <w:rFonts w:ascii="Arial" w:hAnsi="Arial" w:cs="Arial"/>
          <w:i/>
          <w:iCs/>
          <w:sz w:val="24"/>
          <w:szCs w:val="24"/>
          <w:lang w:val="en-GB"/>
        </w:rPr>
        <w:t>Wadeville</w:t>
      </w:r>
      <w:proofErr w:type="spellEnd"/>
      <w:r w:rsidRPr="00B17C11">
        <w:rPr>
          <w:rFonts w:ascii="Arial" w:hAnsi="Arial" w:cs="Arial"/>
          <w:i/>
          <w:iCs/>
          <w:sz w:val="24"/>
          <w:szCs w:val="24"/>
          <w:lang w:val="en-GB"/>
        </w:rPr>
        <w:t xml:space="preserve"> Proprietary Limited</w:t>
      </w:r>
      <w:r w:rsidRPr="00B17C11">
        <w:rPr>
          <w:rFonts w:ascii="Arial" w:hAnsi="Arial" w:cs="Arial"/>
          <w:sz w:val="24"/>
          <w:szCs w:val="24"/>
          <w:lang w:val="en-GB"/>
        </w:rPr>
        <w:t xml:space="preserve"> [2024] ZAGPJHC 1025</w:t>
      </w:r>
    </w:p>
    <w:p w14:paraId="4A7BD4A1"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rPr>
        <w:t>Joseph v City of Johannesburg</w:t>
      </w:r>
      <w:r w:rsidRPr="00B17C11">
        <w:rPr>
          <w:rFonts w:ascii="Arial" w:hAnsi="Arial" w:cs="Arial"/>
          <w:sz w:val="24"/>
          <w:szCs w:val="24"/>
        </w:rPr>
        <w:t xml:space="preserve"> 2010 (4) SA 55 (CC)</w:t>
      </w:r>
    </w:p>
    <w:p w14:paraId="0B98F32B"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rPr>
        <w:t xml:space="preserve">Kramer v Trustees Coloured Vigilance Council Grassy Park </w:t>
      </w:r>
      <w:r w:rsidRPr="00B17C11">
        <w:rPr>
          <w:rFonts w:ascii="Arial" w:hAnsi="Arial" w:cs="Arial"/>
          <w:sz w:val="24"/>
          <w:szCs w:val="24"/>
        </w:rPr>
        <w:t>1948 (1) PH</w:t>
      </w:r>
    </w:p>
    <w:p w14:paraId="05B56176" w14:textId="77777777" w:rsidR="00396FF9" w:rsidRPr="00B17C11" w:rsidRDefault="00396FF9" w:rsidP="0058228F">
      <w:pPr>
        <w:spacing w:before="120" w:after="120" w:line="360" w:lineRule="auto"/>
        <w:ind w:left="357" w:hanging="357"/>
        <w:jc w:val="both"/>
        <w:rPr>
          <w:rFonts w:ascii="Arial" w:hAnsi="Arial" w:cs="Arial"/>
          <w:sz w:val="24"/>
          <w:szCs w:val="24"/>
        </w:rPr>
      </w:pPr>
      <w:proofErr w:type="spellStart"/>
      <w:r w:rsidRPr="00B17C11">
        <w:rPr>
          <w:rFonts w:ascii="Arial" w:hAnsi="Arial" w:cs="Arial"/>
          <w:i/>
          <w:iCs/>
        </w:rPr>
        <w:t>Lateovitsa</w:t>
      </w:r>
      <w:proofErr w:type="spellEnd"/>
      <w:r w:rsidRPr="00B17C11">
        <w:rPr>
          <w:rFonts w:ascii="Arial" w:hAnsi="Arial" w:cs="Arial"/>
          <w:i/>
          <w:iCs/>
        </w:rPr>
        <w:t xml:space="preserve"> (Pty) Ltd and Others v Ekurhuleni Metropolitan Municipality and Another</w:t>
      </w:r>
      <w:r w:rsidRPr="00B17C11">
        <w:rPr>
          <w:rFonts w:ascii="Arial" w:hAnsi="Arial" w:cs="Arial"/>
        </w:rPr>
        <w:t xml:space="preserve"> [2023] ZAGPJHC 163</w:t>
      </w:r>
    </w:p>
    <w:p w14:paraId="1A689F1F"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rPr>
        <w:t>Makeshift 1190 (Pty) Ltd v Cilliers</w:t>
      </w:r>
      <w:r w:rsidRPr="00B17C11">
        <w:rPr>
          <w:rFonts w:ascii="Arial" w:hAnsi="Arial" w:cs="Arial"/>
          <w:sz w:val="24"/>
          <w:szCs w:val="24"/>
        </w:rPr>
        <w:t xml:space="preserve"> 2020 (5) SA 538 (WCC)</w:t>
      </w:r>
    </w:p>
    <w:p w14:paraId="3AAD2507" w14:textId="77777777" w:rsidR="00396FF9" w:rsidRPr="00B17C11" w:rsidRDefault="00396FF9" w:rsidP="0058228F">
      <w:pPr>
        <w:spacing w:before="120" w:after="120" w:line="360" w:lineRule="auto"/>
        <w:ind w:left="357" w:hanging="357"/>
        <w:jc w:val="both"/>
        <w:rPr>
          <w:rFonts w:ascii="Arial" w:hAnsi="Arial" w:cs="Arial"/>
          <w:i/>
          <w:sz w:val="24"/>
          <w:szCs w:val="24"/>
          <w:lang w:val="en-GB"/>
        </w:rPr>
      </w:pPr>
      <w:r w:rsidRPr="00B17C11">
        <w:rPr>
          <w:rFonts w:ascii="Arial" w:hAnsi="Arial" w:cs="Arial"/>
          <w:i/>
          <w:iCs/>
          <w:sz w:val="24"/>
          <w:szCs w:val="24"/>
        </w:rPr>
        <w:t>Mans v Marais</w:t>
      </w:r>
      <w:r w:rsidRPr="00B17C11">
        <w:rPr>
          <w:rFonts w:ascii="Arial" w:hAnsi="Arial" w:cs="Arial"/>
          <w:sz w:val="24"/>
          <w:szCs w:val="24"/>
        </w:rPr>
        <w:t xml:space="preserve"> 1932 CPD 352</w:t>
      </w:r>
    </w:p>
    <w:p w14:paraId="1F72634C"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proofErr w:type="spellStart"/>
      <w:r w:rsidRPr="00B17C11">
        <w:rPr>
          <w:rFonts w:ascii="Arial" w:hAnsi="Arial" w:cs="Arial"/>
          <w:i/>
          <w:sz w:val="24"/>
          <w:szCs w:val="24"/>
          <w:lang w:val="en-GB"/>
        </w:rPr>
        <w:t>Mbangi</w:t>
      </w:r>
      <w:proofErr w:type="spellEnd"/>
      <w:r w:rsidRPr="00B17C11">
        <w:rPr>
          <w:rFonts w:ascii="Arial" w:hAnsi="Arial" w:cs="Arial"/>
          <w:i/>
          <w:sz w:val="24"/>
          <w:szCs w:val="24"/>
          <w:lang w:val="en-GB"/>
        </w:rPr>
        <w:t xml:space="preserve"> and Others v </w:t>
      </w:r>
      <w:proofErr w:type="spellStart"/>
      <w:r w:rsidRPr="00B17C11">
        <w:rPr>
          <w:rFonts w:ascii="Arial" w:hAnsi="Arial" w:cs="Arial"/>
          <w:i/>
          <w:sz w:val="24"/>
          <w:szCs w:val="24"/>
          <w:lang w:val="en-GB"/>
        </w:rPr>
        <w:t>Dobsonville</w:t>
      </w:r>
      <w:proofErr w:type="spellEnd"/>
      <w:r w:rsidRPr="00B17C11">
        <w:rPr>
          <w:rFonts w:ascii="Arial" w:hAnsi="Arial" w:cs="Arial"/>
          <w:i/>
          <w:sz w:val="24"/>
          <w:szCs w:val="24"/>
          <w:lang w:val="en-GB"/>
        </w:rPr>
        <w:t xml:space="preserve"> City Council</w:t>
      </w:r>
      <w:r w:rsidRPr="00B17C11">
        <w:rPr>
          <w:rFonts w:ascii="Arial" w:hAnsi="Arial" w:cs="Arial"/>
          <w:sz w:val="24"/>
          <w:szCs w:val="24"/>
          <w:lang w:val="en-GB"/>
        </w:rPr>
        <w:t xml:space="preserve"> [1991] 3 ALL SA 465 (W)</w:t>
      </w:r>
    </w:p>
    <w:p w14:paraId="55AB6BCF" w14:textId="24FEA82D" w:rsidR="00713E68" w:rsidRPr="00B17C11" w:rsidRDefault="00713E68"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rPr>
        <w:t>Monteiro and Another v Diedricks</w:t>
      </w:r>
      <w:r w:rsidRPr="00B17C11">
        <w:rPr>
          <w:rFonts w:ascii="Arial" w:hAnsi="Arial" w:cs="Arial"/>
          <w:sz w:val="24"/>
          <w:szCs w:val="24"/>
        </w:rPr>
        <w:t xml:space="preserve"> [2021] 2 All SA 405 (SCA)</w:t>
      </w:r>
    </w:p>
    <w:p w14:paraId="025827B7"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Mopeli v Botha</w:t>
      </w:r>
      <w:r w:rsidRPr="00B17C11">
        <w:rPr>
          <w:rFonts w:ascii="Arial" w:hAnsi="Arial" w:cs="Arial"/>
          <w:sz w:val="24"/>
          <w:szCs w:val="24"/>
          <w:lang w:val="en-GB"/>
        </w:rPr>
        <w:t xml:space="preserve"> 1931 WLD 63</w:t>
      </w:r>
    </w:p>
    <w:p w14:paraId="0AF84770"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rPr>
        <w:t>Naidoo v Moodley</w:t>
      </w:r>
      <w:r w:rsidRPr="00B17C11">
        <w:rPr>
          <w:rFonts w:ascii="Arial" w:hAnsi="Arial" w:cs="Arial"/>
          <w:sz w:val="24"/>
          <w:szCs w:val="24"/>
        </w:rPr>
        <w:t xml:space="preserve"> [</w:t>
      </w:r>
      <w:r w:rsidRPr="00B17C11">
        <w:rPr>
          <w:rFonts w:ascii="Arial" w:hAnsi="Arial" w:cs="Arial"/>
          <w:sz w:val="24"/>
          <w:szCs w:val="24"/>
          <w:shd w:val="clear" w:color="auto" w:fill="FFFFFF"/>
        </w:rPr>
        <w:t xml:space="preserve">1982] 4 ALL SA 564 (T) </w:t>
      </w:r>
    </w:p>
    <w:p w14:paraId="71D950C1"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proofErr w:type="spellStart"/>
      <w:r w:rsidRPr="00B17C11">
        <w:rPr>
          <w:rFonts w:ascii="Arial" w:hAnsi="Arial" w:cs="Arial"/>
          <w:i/>
          <w:sz w:val="24"/>
          <w:szCs w:val="24"/>
          <w:shd w:val="clear" w:color="auto" w:fill="FFFFFF"/>
        </w:rPr>
        <w:t>Ngqukumba</w:t>
      </w:r>
      <w:proofErr w:type="spellEnd"/>
      <w:r w:rsidRPr="00B17C11">
        <w:rPr>
          <w:rFonts w:ascii="Arial" w:hAnsi="Arial" w:cs="Arial"/>
          <w:i/>
          <w:sz w:val="24"/>
          <w:szCs w:val="24"/>
          <w:shd w:val="clear" w:color="auto" w:fill="FFFFFF"/>
        </w:rPr>
        <w:t xml:space="preserve"> v Minister of Safety and Security and Others</w:t>
      </w:r>
      <w:r w:rsidRPr="00B17C11">
        <w:rPr>
          <w:rFonts w:ascii="Arial" w:hAnsi="Arial" w:cs="Arial"/>
          <w:sz w:val="24"/>
          <w:szCs w:val="24"/>
          <w:shd w:val="clear" w:color="auto" w:fill="FFFFFF"/>
        </w:rPr>
        <w:t xml:space="preserve"> 2014 (5) SA 112 (CC)</w:t>
      </w:r>
    </w:p>
    <w:p w14:paraId="38FBEE5F"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shd w:val="clear" w:color="auto" w:fill="FFFFFF"/>
        </w:rPr>
        <w:t xml:space="preserve">Nienaber v Stuckey </w:t>
      </w:r>
      <w:r w:rsidRPr="00B17C11">
        <w:rPr>
          <w:rFonts w:ascii="Arial" w:hAnsi="Arial" w:cs="Arial"/>
          <w:sz w:val="24"/>
          <w:szCs w:val="24"/>
          <w:shd w:val="clear" w:color="auto" w:fill="FFFFFF"/>
        </w:rPr>
        <w:t>1946 AD 1049</w:t>
      </w:r>
    </w:p>
    <w:p w14:paraId="33F47D37"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Nino Bonino v De Lange</w:t>
      </w:r>
      <w:r w:rsidRPr="00B17C11">
        <w:rPr>
          <w:rFonts w:ascii="Arial" w:hAnsi="Arial" w:cs="Arial"/>
          <w:sz w:val="24"/>
          <w:szCs w:val="24"/>
          <w:lang w:val="en-GB"/>
        </w:rPr>
        <w:t xml:space="preserve"> 1906 TS 120</w:t>
      </w:r>
    </w:p>
    <w:p w14:paraId="4574847E"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proofErr w:type="spellStart"/>
      <w:r w:rsidRPr="00B17C11">
        <w:rPr>
          <w:rFonts w:ascii="Arial" w:hAnsi="Arial" w:cs="Arial"/>
          <w:i/>
          <w:sz w:val="24"/>
          <w:szCs w:val="24"/>
          <w:shd w:val="clear" w:color="auto" w:fill="FFFFFF"/>
        </w:rPr>
        <w:t>Nisenbuam</w:t>
      </w:r>
      <w:proofErr w:type="spellEnd"/>
      <w:r w:rsidRPr="00B17C11">
        <w:rPr>
          <w:rFonts w:ascii="Arial" w:hAnsi="Arial" w:cs="Arial"/>
          <w:i/>
          <w:sz w:val="24"/>
          <w:szCs w:val="24"/>
          <w:shd w:val="clear" w:color="auto" w:fill="FFFFFF"/>
        </w:rPr>
        <w:t xml:space="preserve"> and </w:t>
      </w:r>
      <w:proofErr w:type="spellStart"/>
      <w:r w:rsidRPr="00B17C11">
        <w:rPr>
          <w:rFonts w:ascii="Arial" w:hAnsi="Arial" w:cs="Arial"/>
          <w:i/>
          <w:sz w:val="24"/>
          <w:szCs w:val="24"/>
          <w:shd w:val="clear" w:color="auto" w:fill="FFFFFF"/>
        </w:rPr>
        <w:t>Nisenbuam</w:t>
      </w:r>
      <w:proofErr w:type="spellEnd"/>
      <w:r w:rsidRPr="00B17C11">
        <w:rPr>
          <w:rFonts w:ascii="Arial" w:hAnsi="Arial" w:cs="Arial"/>
          <w:i/>
          <w:sz w:val="24"/>
          <w:szCs w:val="24"/>
          <w:shd w:val="clear" w:color="auto" w:fill="FFFFFF"/>
        </w:rPr>
        <w:t xml:space="preserve"> v Express buildings (Pty) Ltd</w:t>
      </w:r>
      <w:r w:rsidRPr="00B17C11">
        <w:rPr>
          <w:rFonts w:ascii="Arial" w:hAnsi="Arial" w:cs="Arial"/>
          <w:sz w:val="24"/>
          <w:szCs w:val="24"/>
          <w:shd w:val="clear" w:color="auto" w:fill="FFFFFF"/>
        </w:rPr>
        <w:t xml:space="preserve"> [1952] ALL SA 156 (W)</w:t>
      </w:r>
    </w:p>
    <w:p w14:paraId="220BA3A0" w14:textId="698D0605" w:rsidR="00396FF9" w:rsidRPr="00B17C11" w:rsidRDefault="00396FF9" w:rsidP="0058228F">
      <w:pPr>
        <w:spacing w:before="120" w:after="120" w:line="360" w:lineRule="auto"/>
        <w:ind w:left="357" w:hanging="357"/>
        <w:jc w:val="both"/>
        <w:rPr>
          <w:rFonts w:ascii="Arial" w:hAnsi="Arial" w:cs="Arial"/>
          <w:i/>
          <w:sz w:val="24"/>
          <w:szCs w:val="24"/>
          <w:lang w:val="en-GB"/>
        </w:rPr>
      </w:pPr>
      <w:proofErr w:type="spellStart"/>
      <w:r w:rsidRPr="00B17C11">
        <w:rPr>
          <w:rFonts w:ascii="Arial" w:hAnsi="Arial" w:cs="Arial"/>
          <w:i/>
          <w:sz w:val="24"/>
          <w:szCs w:val="24"/>
          <w:shd w:val="clear" w:color="auto" w:fill="FFFFFF"/>
        </w:rPr>
        <w:t>Ntshwaqele</w:t>
      </w:r>
      <w:proofErr w:type="spellEnd"/>
      <w:r w:rsidRPr="00B17C11">
        <w:rPr>
          <w:rFonts w:ascii="Arial" w:hAnsi="Arial" w:cs="Arial"/>
          <w:i/>
          <w:sz w:val="24"/>
          <w:szCs w:val="24"/>
          <w:shd w:val="clear" w:color="auto" w:fill="FFFFFF"/>
        </w:rPr>
        <w:t xml:space="preserve"> and Others v Chairman, Western Cape Regional Services Council and Others</w:t>
      </w:r>
      <w:r w:rsidRPr="00B17C11">
        <w:rPr>
          <w:rFonts w:ascii="Arial" w:hAnsi="Arial" w:cs="Arial"/>
          <w:iCs/>
          <w:sz w:val="24"/>
          <w:szCs w:val="24"/>
          <w:shd w:val="clear" w:color="auto" w:fill="FFFFFF"/>
        </w:rPr>
        <w:t xml:space="preserve"> 1988 (3) SA 218 (C)</w:t>
      </w:r>
    </w:p>
    <w:p w14:paraId="33910066"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shd w:val="clear" w:color="auto" w:fill="FFFFFF"/>
        </w:rPr>
        <w:t>Painter v Strauss</w:t>
      </w:r>
      <w:r w:rsidRPr="00B17C11">
        <w:rPr>
          <w:rFonts w:ascii="Arial" w:hAnsi="Arial" w:cs="Arial"/>
          <w:sz w:val="24"/>
          <w:szCs w:val="24"/>
          <w:shd w:val="clear" w:color="auto" w:fill="FFFFFF"/>
        </w:rPr>
        <w:t xml:space="preserve"> 1951 (3) SA 307 (O)</w:t>
      </w:r>
    </w:p>
    <w:p w14:paraId="5CC929A3" w14:textId="622CEFAA"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sz w:val="24"/>
          <w:szCs w:val="24"/>
          <w:shd w:val="clear" w:color="auto" w:fill="FFFFFF"/>
        </w:rPr>
        <w:t>Parker v Mobil Oil of Southern Africa (Pty) Ltd</w:t>
      </w:r>
      <w:r w:rsidRPr="00B17C11">
        <w:rPr>
          <w:rFonts w:ascii="Arial" w:hAnsi="Arial" w:cs="Arial"/>
          <w:sz w:val="24"/>
          <w:szCs w:val="24"/>
          <w:shd w:val="clear" w:color="auto" w:fill="FFFFFF"/>
        </w:rPr>
        <w:t xml:space="preserve"> 1979 (4) SA 336 (NC)</w:t>
      </w:r>
    </w:p>
    <w:p w14:paraId="2C4F313A" w14:textId="77777777" w:rsidR="00396FF9" w:rsidRPr="00B17C11" w:rsidRDefault="00396FF9" w:rsidP="0058228F">
      <w:pPr>
        <w:spacing w:before="120" w:after="120" w:line="360" w:lineRule="auto"/>
        <w:ind w:left="357" w:hanging="357"/>
        <w:jc w:val="both"/>
        <w:rPr>
          <w:rFonts w:ascii="Arial" w:hAnsi="Arial" w:cs="Arial"/>
          <w:b/>
          <w:bCs/>
          <w:iCs/>
          <w:sz w:val="24"/>
          <w:szCs w:val="24"/>
          <w:shd w:val="clear" w:color="auto" w:fill="FFFFFF"/>
        </w:rPr>
      </w:pPr>
      <w:r w:rsidRPr="00B17C11">
        <w:rPr>
          <w:rFonts w:ascii="Arial" w:hAnsi="Arial" w:cs="Arial"/>
          <w:i/>
          <w:iCs/>
          <w:sz w:val="24"/>
          <w:szCs w:val="24"/>
          <w:shd w:val="clear" w:color="auto" w:fill="FFFFFF"/>
        </w:rPr>
        <w:t>Plaatjie and Another v Olivier NO and Others</w:t>
      </w:r>
      <w:r w:rsidRPr="00B17C11">
        <w:rPr>
          <w:rFonts w:ascii="Arial" w:hAnsi="Arial" w:cs="Arial"/>
          <w:sz w:val="24"/>
          <w:szCs w:val="24"/>
          <w:shd w:val="clear" w:color="auto" w:fill="FFFFFF"/>
        </w:rPr>
        <w:t xml:space="preserve"> 1993(2) SA 156 (O)</w:t>
      </w:r>
    </w:p>
    <w:p w14:paraId="75203DD5" w14:textId="77777777" w:rsidR="00396FF9" w:rsidRPr="00B17C11" w:rsidRDefault="00396FF9" w:rsidP="0058228F">
      <w:pPr>
        <w:spacing w:before="120" w:after="120" w:line="360" w:lineRule="auto"/>
        <w:ind w:left="357" w:hanging="357"/>
        <w:jc w:val="both"/>
        <w:rPr>
          <w:rFonts w:ascii="Arial" w:hAnsi="Arial" w:cs="Arial"/>
          <w:sz w:val="24"/>
          <w:szCs w:val="24"/>
          <w:lang w:val="de-DE"/>
        </w:rPr>
      </w:pPr>
      <w:r w:rsidRPr="00B17C11">
        <w:rPr>
          <w:rFonts w:ascii="Arial" w:hAnsi="Arial" w:cs="Arial"/>
          <w:i/>
          <w:iCs/>
          <w:sz w:val="24"/>
          <w:szCs w:val="24"/>
          <w:lang w:val="de-DE"/>
        </w:rPr>
        <w:t>Potgieter v Du Plessis</w:t>
      </w:r>
      <w:r w:rsidRPr="00B17C11">
        <w:rPr>
          <w:rFonts w:ascii="Arial" w:hAnsi="Arial" w:cs="Arial"/>
          <w:sz w:val="24"/>
          <w:szCs w:val="24"/>
          <w:lang w:val="de-DE"/>
        </w:rPr>
        <w:t xml:space="preserve"> [1978] 2 ALL SA 173 (NC)</w:t>
      </w:r>
    </w:p>
    <w:p w14:paraId="70F10452" w14:textId="54B6183E"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sz w:val="24"/>
          <w:szCs w:val="24"/>
          <w:shd w:val="clear" w:color="auto" w:fill="FFFFFF"/>
        </w:rPr>
        <w:t>Pretorius and Another v Pretor</w:t>
      </w:r>
      <w:r w:rsidR="0075672B" w:rsidRPr="00B17C11">
        <w:rPr>
          <w:rFonts w:ascii="Arial" w:hAnsi="Arial" w:cs="Arial"/>
          <w:i/>
          <w:sz w:val="24"/>
          <w:szCs w:val="24"/>
          <w:shd w:val="clear" w:color="auto" w:fill="FFFFFF"/>
        </w:rPr>
        <w:t>iu</w:t>
      </w:r>
      <w:r w:rsidRPr="00B17C11">
        <w:rPr>
          <w:rFonts w:ascii="Arial" w:hAnsi="Arial" w:cs="Arial"/>
          <w:i/>
          <w:sz w:val="24"/>
          <w:szCs w:val="24"/>
          <w:shd w:val="clear" w:color="auto" w:fill="FFFFFF"/>
        </w:rPr>
        <w:t>s</w:t>
      </w:r>
      <w:r w:rsidRPr="00B17C11">
        <w:rPr>
          <w:rFonts w:ascii="Arial" w:hAnsi="Arial" w:cs="Arial"/>
          <w:sz w:val="24"/>
          <w:szCs w:val="24"/>
          <w:shd w:val="clear" w:color="auto" w:fill="FFFFFF"/>
        </w:rPr>
        <w:t xml:space="preserve"> 1927 TPD 178</w:t>
      </w:r>
    </w:p>
    <w:p w14:paraId="63EDC6DA" w14:textId="78EE9E06" w:rsidR="007D11B8" w:rsidRPr="00B17C11" w:rsidRDefault="007D11B8"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lang w:val="en-GB"/>
        </w:rPr>
        <w:t xml:space="preserve">Rademan v </w:t>
      </w:r>
      <w:proofErr w:type="spellStart"/>
      <w:r w:rsidRPr="00B17C11">
        <w:rPr>
          <w:rFonts w:ascii="Arial" w:hAnsi="Arial" w:cs="Arial"/>
          <w:i/>
          <w:iCs/>
          <w:sz w:val="24"/>
          <w:szCs w:val="24"/>
          <w:lang w:val="en-GB"/>
        </w:rPr>
        <w:t>Moqhaka</w:t>
      </w:r>
      <w:proofErr w:type="spellEnd"/>
      <w:r w:rsidRPr="00B17C11">
        <w:rPr>
          <w:rFonts w:ascii="Arial" w:hAnsi="Arial" w:cs="Arial"/>
          <w:i/>
          <w:iCs/>
          <w:sz w:val="24"/>
          <w:szCs w:val="24"/>
          <w:lang w:val="en-GB"/>
        </w:rPr>
        <w:t xml:space="preserve"> Local Municipality and Others</w:t>
      </w:r>
      <w:r w:rsidRPr="00B17C11">
        <w:rPr>
          <w:rFonts w:ascii="Arial" w:hAnsi="Arial" w:cs="Arial"/>
          <w:sz w:val="24"/>
          <w:szCs w:val="24"/>
          <w:lang w:val="en-GB"/>
        </w:rPr>
        <w:t xml:space="preserve"> 2013 (4) SA 225 (CC)</w:t>
      </w:r>
    </w:p>
    <w:p w14:paraId="693FA603"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sz w:val="24"/>
          <w:szCs w:val="24"/>
          <w:shd w:val="clear" w:color="auto" w:fill="FFFFFF"/>
        </w:rPr>
        <w:t>Rikhotso v Northcliff Ceramics (Pty) Ltd</w:t>
      </w:r>
      <w:r w:rsidRPr="00B17C11">
        <w:rPr>
          <w:rFonts w:ascii="Arial" w:hAnsi="Arial" w:cs="Arial"/>
          <w:sz w:val="24"/>
          <w:szCs w:val="24"/>
          <w:shd w:val="clear" w:color="auto" w:fill="FFFFFF"/>
        </w:rPr>
        <w:t xml:space="preserve"> 1996 (4) SA 524 (W)</w:t>
      </w:r>
    </w:p>
    <w:p w14:paraId="49D0B467"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proofErr w:type="spellStart"/>
      <w:r w:rsidRPr="00B17C11">
        <w:rPr>
          <w:rFonts w:ascii="Arial" w:hAnsi="Arial" w:cs="Arial"/>
          <w:i/>
          <w:iCs/>
          <w:sz w:val="24"/>
          <w:szCs w:val="24"/>
          <w:shd w:val="clear" w:color="auto" w:fill="FFFFFF"/>
        </w:rPr>
        <w:t>Rosenbuch</w:t>
      </w:r>
      <w:proofErr w:type="spellEnd"/>
      <w:r w:rsidRPr="00B17C11">
        <w:rPr>
          <w:rFonts w:ascii="Arial" w:hAnsi="Arial" w:cs="Arial"/>
          <w:i/>
          <w:iCs/>
          <w:sz w:val="24"/>
          <w:szCs w:val="24"/>
          <w:shd w:val="clear" w:color="auto" w:fill="FFFFFF"/>
        </w:rPr>
        <w:t xml:space="preserve"> v </w:t>
      </w:r>
      <w:proofErr w:type="spellStart"/>
      <w:r w:rsidRPr="00B17C11">
        <w:rPr>
          <w:rFonts w:ascii="Arial" w:hAnsi="Arial" w:cs="Arial"/>
          <w:i/>
          <w:iCs/>
          <w:sz w:val="24"/>
          <w:szCs w:val="24"/>
          <w:shd w:val="clear" w:color="auto" w:fill="FFFFFF"/>
        </w:rPr>
        <w:t>Rosenbuch</w:t>
      </w:r>
      <w:proofErr w:type="spellEnd"/>
      <w:r w:rsidRPr="00B17C11">
        <w:rPr>
          <w:rFonts w:ascii="Arial" w:hAnsi="Arial" w:cs="Arial"/>
          <w:i/>
          <w:iCs/>
          <w:sz w:val="24"/>
          <w:szCs w:val="24"/>
          <w:shd w:val="clear" w:color="auto" w:fill="FFFFFF"/>
        </w:rPr>
        <w:t xml:space="preserve"> and Another</w:t>
      </w:r>
      <w:r w:rsidRPr="00B17C11">
        <w:rPr>
          <w:rFonts w:ascii="Arial" w:hAnsi="Arial" w:cs="Arial"/>
          <w:sz w:val="24"/>
          <w:szCs w:val="24"/>
          <w:shd w:val="clear" w:color="auto" w:fill="FFFFFF"/>
        </w:rPr>
        <w:t xml:space="preserve"> [1975] 1 ALL SA 181 (W)</w:t>
      </w:r>
    </w:p>
    <w:p w14:paraId="66A5C229" w14:textId="77777777" w:rsidR="00396FF9" w:rsidRPr="00B17C11" w:rsidRDefault="00396FF9" w:rsidP="0058228F">
      <w:pPr>
        <w:pStyle w:val="FootnoteText"/>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lastRenderedPageBreak/>
        <w:t>Shapiro v South African Savings and Credit Bank</w:t>
      </w:r>
      <w:r w:rsidRPr="00B17C11">
        <w:rPr>
          <w:rFonts w:ascii="Arial" w:hAnsi="Arial" w:cs="Arial"/>
          <w:sz w:val="24"/>
          <w:szCs w:val="24"/>
          <w:lang w:val="en-GB"/>
        </w:rPr>
        <w:t xml:space="preserve"> [1949] 3 ALL SA 400 (W)</w:t>
      </w:r>
    </w:p>
    <w:p w14:paraId="3315AE37" w14:textId="70F344A4" w:rsidR="008F3E38" w:rsidRPr="00B17C11" w:rsidRDefault="008F3E38" w:rsidP="0058228F">
      <w:pPr>
        <w:pStyle w:val="FootnoteText"/>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shd w:val="clear" w:color="auto" w:fill="FFFFFF"/>
        </w:rPr>
        <w:t>Shelving Man (Pty) Ltd v Dawood and Others</w:t>
      </w:r>
      <w:r w:rsidRPr="00B17C11">
        <w:rPr>
          <w:rFonts w:ascii="Arial" w:hAnsi="Arial" w:cs="Arial"/>
          <w:sz w:val="24"/>
          <w:szCs w:val="24"/>
          <w:shd w:val="clear" w:color="auto" w:fill="FFFFFF"/>
        </w:rPr>
        <w:t xml:space="preserve"> 2015 </w:t>
      </w:r>
      <w:r w:rsidR="00A31F3A" w:rsidRPr="00B17C11">
        <w:rPr>
          <w:rFonts w:ascii="Arial" w:hAnsi="Arial" w:cs="Arial"/>
          <w:sz w:val="24"/>
          <w:szCs w:val="24"/>
          <w:shd w:val="clear" w:color="auto" w:fill="FFFFFF"/>
        </w:rPr>
        <w:t>(</w:t>
      </w:r>
      <w:r w:rsidRPr="00B17C11">
        <w:rPr>
          <w:rFonts w:ascii="Arial" w:hAnsi="Arial" w:cs="Arial"/>
          <w:sz w:val="24"/>
          <w:szCs w:val="24"/>
          <w:shd w:val="clear" w:color="auto" w:fill="FFFFFF"/>
        </w:rPr>
        <w:t>3</w:t>
      </w:r>
      <w:r w:rsidR="00A31F3A" w:rsidRPr="00B17C11">
        <w:rPr>
          <w:rFonts w:ascii="Arial" w:hAnsi="Arial" w:cs="Arial"/>
          <w:sz w:val="24"/>
          <w:szCs w:val="24"/>
          <w:shd w:val="clear" w:color="auto" w:fill="FFFFFF"/>
        </w:rPr>
        <w:t>)</w:t>
      </w:r>
      <w:r w:rsidRPr="00B17C11">
        <w:rPr>
          <w:rFonts w:ascii="Arial" w:hAnsi="Arial" w:cs="Arial"/>
          <w:sz w:val="24"/>
          <w:szCs w:val="24"/>
          <w:shd w:val="clear" w:color="auto" w:fill="FFFFFF"/>
        </w:rPr>
        <w:t xml:space="preserve"> SA 243 (KZD)</w:t>
      </w:r>
    </w:p>
    <w:p w14:paraId="00168A92" w14:textId="77777777" w:rsidR="00396FF9" w:rsidRPr="00B17C11" w:rsidRDefault="00396FF9" w:rsidP="0058228F">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shd w:val="clear" w:color="auto" w:fill="FFFFFF"/>
        </w:rPr>
        <w:t>Shoprite Checkers Ltd v Pangbourne Properties Ltd</w:t>
      </w:r>
      <w:r w:rsidRPr="00B17C11">
        <w:rPr>
          <w:rFonts w:ascii="Arial" w:hAnsi="Arial" w:cs="Arial"/>
          <w:sz w:val="24"/>
          <w:szCs w:val="24"/>
          <w:shd w:val="clear" w:color="auto" w:fill="FFFFFF"/>
        </w:rPr>
        <w:t xml:space="preserve"> 1994 (1) SA 616 (W)</w:t>
      </w:r>
    </w:p>
    <w:p w14:paraId="7BCEB730"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shd w:val="clear" w:color="auto" w:fill="FFFFFF"/>
        </w:rPr>
        <w:t>Stocks Housing v Department of Education and Culture Services and Others</w:t>
      </w:r>
      <w:r w:rsidRPr="00B17C11">
        <w:rPr>
          <w:rFonts w:ascii="Arial" w:hAnsi="Arial" w:cs="Arial"/>
          <w:sz w:val="24"/>
          <w:szCs w:val="24"/>
          <w:shd w:val="clear" w:color="auto" w:fill="FFFFFF"/>
        </w:rPr>
        <w:t xml:space="preserve"> 1999 (4) SA 231 (C)</w:t>
      </w:r>
    </w:p>
    <w:p w14:paraId="0FC7FCA0" w14:textId="77777777" w:rsidR="00DC6DCD" w:rsidRPr="00B17C11" w:rsidRDefault="00DC6DCD" w:rsidP="0058228F">
      <w:pPr>
        <w:spacing w:before="120" w:after="120" w:line="360" w:lineRule="auto"/>
        <w:ind w:left="357" w:hanging="357"/>
        <w:jc w:val="both"/>
        <w:rPr>
          <w:rFonts w:ascii="Arial" w:hAnsi="Arial" w:cs="Arial"/>
          <w:iCs/>
          <w:sz w:val="24"/>
          <w:szCs w:val="24"/>
          <w:shd w:val="clear" w:color="auto" w:fill="FFFFFF"/>
        </w:rPr>
      </w:pPr>
      <w:proofErr w:type="spellStart"/>
      <w:r w:rsidRPr="00B17C11">
        <w:rPr>
          <w:rFonts w:ascii="Arial" w:hAnsi="Arial" w:cs="Arial"/>
          <w:i/>
          <w:sz w:val="24"/>
          <w:szCs w:val="24"/>
          <w:shd w:val="clear" w:color="auto" w:fill="FFFFFF"/>
        </w:rPr>
        <w:t>Termby</w:t>
      </w:r>
      <w:proofErr w:type="spellEnd"/>
      <w:r w:rsidRPr="00B17C11">
        <w:rPr>
          <w:rFonts w:ascii="Arial" w:hAnsi="Arial" w:cs="Arial"/>
          <w:i/>
          <w:sz w:val="24"/>
          <w:szCs w:val="24"/>
          <w:shd w:val="clear" w:color="auto" w:fill="FFFFFF"/>
        </w:rPr>
        <w:t xml:space="preserve"> v </w:t>
      </w:r>
      <w:proofErr w:type="spellStart"/>
      <w:r w:rsidRPr="00B17C11">
        <w:rPr>
          <w:rFonts w:ascii="Arial" w:hAnsi="Arial" w:cs="Arial"/>
          <w:i/>
          <w:sz w:val="24"/>
          <w:szCs w:val="24"/>
          <w:shd w:val="clear" w:color="auto" w:fill="FFFFFF"/>
        </w:rPr>
        <w:t>Lippingwell</w:t>
      </w:r>
      <w:proofErr w:type="spellEnd"/>
      <w:r w:rsidRPr="00B17C11">
        <w:rPr>
          <w:rFonts w:ascii="Arial" w:hAnsi="Arial" w:cs="Arial"/>
          <w:i/>
          <w:sz w:val="24"/>
          <w:szCs w:val="24"/>
          <w:shd w:val="clear" w:color="auto" w:fill="FFFFFF"/>
        </w:rPr>
        <w:t xml:space="preserve"> </w:t>
      </w:r>
      <w:r w:rsidRPr="00B17C11">
        <w:rPr>
          <w:rFonts w:ascii="Arial" w:hAnsi="Arial" w:cs="Arial"/>
          <w:iCs/>
          <w:sz w:val="24"/>
          <w:szCs w:val="24"/>
          <w:shd w:val="clear" w:color="auto" w:fill="FFFFFF"/>
        </w:rPr>
        <w:t>1908 ORC 68</w:t>
      </w:r>
    </w:p>
    <w:p w14:paraId="44569676" w14:textId="3A3148F0"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rPr>
        <w:t xml:space="preserve">Telkom SA Ltd v </w:t>
      </w:r>
      <w:proofErr w:type="spellStart"/>
      <w:r w:rsidRPr="00B17C11">
        <w:rPr>
          <w:rFonts w:ascii="Arial" w:hAnsi="Arial" w:cs="Arial"/>
          <w:i/>
          <w:sz w:val="24"/>
          <w:szCs w:val="24"/>
        </w:rPr>
        <w:t>Xsinet</w:t>
      </w:r>
      <w:proofErr w:type="spellEnd"/>
      <w:r w:rsidRPr="00B17C11">
        <w:rPr>
          <w:rFonts w:ascii="Arial" w:hAnsi="Arial" w:cs="Arial"/>
          <w:i/>
          <w:sz w:val="24"/>
          <w:szCs w:val="24"/>
        </w:rPr>
        <w:t xml:space="preserve"> (Pty) Ltd</w:t>
      </w:r>
      <w:r w:rsidRPr="00B17C11">
        <w:rPr>
          <w:rFonts w:ascii="Arial" w:hAnsi="Arial" w:cs="Arial"/>
          <w:sz w:val="24"/>
          <w:szCs w:val="24"/>
        </w:rPr>
        <w:t xml:space="preserve"> 2003 ZASCA 35</w:t>
      </w:r>
    </w:p>
    <w:p w14:paraId="48D7153E" w14:textId="28819281"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iCs/>
          <w:sz w:val="24"/>
          <w:szCs w:val="24"/>
        </w:rPr>
        <w:t xml:space="preserve">Tigon Ltd v </w:t>
      </w:r>
      <w:proofErr w:type="spellStart"/>
      <w:r w:rsidRPr="00B17C11">
        <w:rPr>
          <w:rFonts w:ascii="Arial" w:hAnsi="Arial" w:cs="Arial"/>
          <w:i/>
          <w:iCs/>
          <w:sz w:val="24"/>
          <w:szCs w:val="24"/>
        </w:rPr>
        <w:t>Bestyet</w:t>
      </w:r>
      <w:proofErr w:type="spellEnd"/>
      <w:r w:rsidRPr="00B17C11">
        <w:rPr>
          <w:rFonts w:ascii="Arial" w:hAnsi="Arial" w:cs="Arial"/>
          <w:i/>
          <w:iCs/>
          <w:sz w:val="24"/>
          <w:szCs w:val="24"/>
        </w:rPr>
        <w:t xml:space="preserve"> Investments (Pty) Ltd </w:t>
      </w:r>
      <w:r w:rsidRPr="00B17C11">
        <w:rPr>
          <w:rFonts w:ascii="Arial" w:hAnsi="Arial" w:cs="Arial"/>
          <w:sz w:val="24"/>
          <w:szCs w:val="24"/>
        </w:rPr>
        <w:t>2001 (4) SA 634</w:t>
      </w:r>
      <w:r w:rsidR="00657610" w:rsidRPr="00B17C11">
        <w:rPr>
          <w:rFonts w:ascii="Arial" w:hAnsi="Arial" w:cs="Arial"/>
          <w:sz w:val="24"/>
          <w:szCs w:val="24"/>
        </w:rPr>
        <w:t xml:space="preserve"> (N)</w:t>
      </w:r>
    </w:p>
    <w:p w14:paraId="7E56C655" w14:textId="77777777" w:rsidR="00396FF9" w:rsidRPr="00B17C11" w:rsidRDefault="00396FF9" w:rsidP="0058228F">
      <w:pPr>
        <w:pStyle w:val="FootnoteText"/>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sz w:val="24"/>
          <w:szCs w:val="24"/>
          <w:shd w:val="clear" w:color="auto" w:fill="FFFFFF"/>
        </w:rPr>
        <w:t>Tswelopele non-profit organisation v City of Tshwane Metropolitan Municipality (Pty) Ltd</w:t>
      </w:r>
      <w:r w:rsidRPr="00B17C11">
        <w:rPr>
          <w:rFonts w:ascii="Arial" w:hAnsi="Arial" w:cs="Arial"/>
          <w:sz w:val="24"/>
          <w:szCs w:val="24"/>
          <w:shd w:val="clear" w:color="auto" w:fill="FFFFFF"/>
        </w:rPr>
        <w:t xml:space="preserve"> 1996 (4) SA 524 (W)</w:t>
      </w:r>
    </w:p>
    <w:p w14:paraId="6203B0C6" w14:textId="77777777" w:rsidR="00396FF9" w:rsidRPr="00B17C11" w:rsidRDefault="00396FF9" w:rsidP="0058228F">
      <w:pPr>
        <w:spacing w:before="120" w:after="120" w:line="360" w:lineRule="auto"/>
        <w:ind w:left="357" w:hanging="357"/>
        <w:jc w:val="both"/>
        <w:rPr>
          <w:rFonts w:ascii="Arial" w:hAnsi="Arial" w:cs="Arial"/>
          <w:iCs/>
          <w:sz w:val="24"/>
          <w:szCs w:val="24"/>
        </w:rPr>
      </w:pPr>
      <w:r w:rsidRPr="00B17C11">
        <w:rPr>
          <w:rFonts w:ascii="Arial" w:hAnsi="Arial" w:cs="Arial"/>
          <w:i/>
          <w:sz w:val="24"/>
          <w:szCs w:val="24"/>
        </w:rPr>
        <w:t xml:space="preserve">United Democratic Movement and Others v Eskom Holdings SOC Ltd and Others </w:t>
      </w:r>
      <w:r w:rsidRPr="00B17C11">
        <w:rPr>
          <w:rFonts w:ascii="Arial" w:hAnsi="Arial" w:cs="Arial"/>
          <w:iCs/>
          <w:sz w:val="24"/>
          <w:szCs w:val="24"/>
        </w:rPr>
        <w:t>[2023] ZAGPPHC 280</w:t>
      </w:r>
    </w:p>
    <w:p w14:paraId="42A18C8C"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Van </w:t>
      </w:r>
      <w:proofErr w:type="spellStart"/>
      <w:r w:rsidRPr="00B17C11">
        <w:rPr>
          <w:rFonts w:ascii="Arial" w:hAnsi="Arial" w:cs="Arial"/>
          <w:i/>
          <w:iCs/>
          <w:sz w:val="24"/>
          <w:szCs w:val="24"/>
          <w:lang w:val="en-GB"/>
        </w:rPr>
        <w:t>Kerken</w:t>
      </w:r>
      <w:proofErr w:type="spellEnd"/>
      <w:r w:rsidRPr="00B17C11">
        <w:rPr>
          <w:rFonts w:ascii="Arial" w:hAnsi="Arial" w:cs="Arial"/>
          <w:i/>
          <w:iCs/>
          <w:sz w:val="24"/>
          <w:szCs w:val="24"/>
          <w:lang w:val="en-GB"/>
        </w:rPr>
        <w:t xml:space="preserve"> v Eskom Holdings SOC Limited and Another</w:t>
      </w:r>
      <w:r w:rsidRPr="00B17C11">
        <w:rPr>
          <w:rFonts w:ascii="Arial" w:hAnsi="Arial" w:cs="Arial"/>
          <w:sz w:val="24"/>
          <w:szCs w:val="24"/>
          <w:lang w:val="en-GB"/>
        </w:rPr>
        <w:t xml:space="preserve"> 2024 ZAECMKHC 98</w:t>
      </w:r>
    </w:p>
    <w:p w14:paraId="4A99B0EC"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sz w:val="24"/>
          <w:szCs w:val="24"/>
        </w:rPr>
        <w:t>Van Wyk v Kleynhans</w:t>
      </w:r>
      <w:r w:rsidRPr="00B17C11">
        <w:rPr>
          <w:rFonts w:ascii="Arial" w:hAnsi="Arial" w:cs="Arial"/>
          <w:sz w:val="24"/>
          <w:szCs w:val="24"/>
        </w:rPr>
        <w:t xml:space="preserve"> [1969] 1 ALL SA 75 (GW)</w:t>
      </w:r>
    </w:p>
    <w:p w14:paraId="05253451" w14:textId="77777777" w:rsidR="00396FF9" w:rsidRPr="00B17C11" w:rsidRDefault="00396FF9" w:rsidP="0058228F">
      <w:pPr>
        <w:spacing w:before="120" w:after="120" w:line="360" w:lineRule="auto"/>
        <w:ind w:left="357" w:hanging="357"/>
        <w:jc w:val="both"/>
        <w:rPr>
          <w:rFonts w:ascii="Arial" w:hAnsi="Arial" w:cs="Arial"/>
          <w:sz w:val="24"/>
          <w:szCs w:val="24"/>
        </w:rPr>
      </w:pPr>
      <w:r w:rsidRPr="00B17C11">
        <w:rPr>
          <w:rFonts w:ascii="Arial" w:hAnsi="Arial" w:cs="Arial"/>
          <w:i/>
          <w:sz w:val="24"/>
          <w:szCs w:val="24"/>
          <w:lang w:val="en-GB"/>
        </w:rPr>
        <w:t>Vena and Another v George Municipality</w:t>
      </w:r>
      <w:r w:rsidRPr="00B17C11">
        <w:rPr>
          <w:rFonts w:ascii="Arial" w:hAnsi="Arial" w:cs="Arial"/>
          <w:sz w:val="24"/>
          <w:szCs w:val="24"/>
          <w:lang w:val="en-GB"/>
        </w:rPr>
        <w:t xml:space="preserve"> 1987(4) SA 29 (C)</w:t>
      </w:r>
    </w:p>
    <w:p w14:paraId="7F54AE16" w14:textId="77777777" w:rsidR="00396FF9" w:rsidRPr="00B17C11" w:rsidRDefault="00396FF9" w:rsidP="0058228F">
      <w:pPr>
        <w:spacing w:before="120" w:after="120" w:line="360" w:lineRule="auto"/>
        <w:ind w:left="357" w:hanging="357"/>
        <w:jc w:val="both"/>
        <w:rPr>
          <w:rFonts w:ascii="Arial" w:hAnsi="Arial" w:cs="Arial"/>
          <w:sz w:val="24"/>
          <w:szCs w:val="24"/>
          <w:lang w:val="en-GB"/>
        </w:rPr>
      </w:pPr>
      <w:r w:rsidRPr="00B17C11">
        <w:rPr>
          <w:rFonts w:ascii="Arial" w:hAnsi="Arial" w:cs="Arial"/>
          <w:i/>
          <w:iCs/>
          <w:sz w:val="24"/>
          <w:szCs w:val="24"/>
          <w:lang w:val="en-GB"/>
        </w:rPr>
        <w:t xml:space="preserve">Yeko v </w:t>
      </w:r>
      <w:proofErr w:type="spellStart"/>
      <w:r w:rsidRPr="00B17C11">
        <w:rPr>
          <w:rFonts w:ascii="Arial" w:hAnsi="Arial" w:cs="Arial"/>
          <w:i/>
          <w:iCs/>
          <w:sz w:val="24"/>
          <w:szCs w:val="24"/>
          <w:lang w:val="en-GB"/>
        </w:rPr>
        <w:t>Qana</w:t>
      </w:r>
      <w:proofErr w:type="spellEnd"/>
      <w:r w:rsidRPr="00B17C11">
        <w:rPr>
          <w:rFonts w:ascii="Arial" w:hAnsi="Arial" w:cs="Arial"/>
          <w:sz w:val="24"/>
          <w:szCs w:val="24"/>
          <w:lang w:val="en-GB"/>
        </w:rPr>
        <w:t xml:space="preserve"> [1973] 4 ALL SA 512(A)</w:t>
      </w:r>
    </w:p>
    <w:p w14:paraId="4134B670" w14:textId="297786E1" w:rsidR="00396FF9" w:rsidRPr="00B17C11" w:rsidRDefault="00396FF9" w:rsidP="00A45701">
      <w:pPr>
        <w:spacing w:before="120" w:after="120" w:line="360" w:lineRule="auto"/>
        <w:ind w:left="357" w:hanging="357"/>
        <w:jc w:val="both"/>
        <w:rPr>
          <w:rFonts w:ascii="Arial" w:hAnsi="Arial" w:cs="Arial"/>
          <w:sz w:val="24"/>
          <w:szCs w:val="24"/>
          <w:shd w:val="clear" w:color="auto" w:fill="FFFFFF"/>
        </w:rPr>
      </w:pPr>
      <w:r w:rsidRPr="00B17C11">
        <w:rPr>
          <w:rFonts w:ascii="Arial" w:hAnsi="Arial" w:cs="Arial"/>
          <w:i/>
          <w:iCs/>
          <w:sz w:val="24"/>
          <w:szCs w:val="24"/>
          <w:shd w:val="clear" w:color="auto" w:fill="FFFFFF"/>
        </w:rPr>
        <w:t>Zulu v Minister of Works, KwaZulu and Others</w:t>
      </w:r>
      <w:r w:rsidRPr="00B17C11">
        <w:rPr>
          <w:rFonts w:ascii="Arial" w:hAnsi="Arial" w:cs="Arial"/>
          <w:sz w:val="24"/>
          <w:szCs w:val="24"/>
          <w:shd w:val="clear" w:color="auto" w:fill="FFFFFF"/>
        </w:rPr>
        <w:t xml:space="preserve"> 1992 (1) SA 181 (D)</w:t>
      </w:r>
    </w:p>
    <w:sectPr w:rsidR="00396FF9" w:rsidRPr="00B17C11" w:rsidSect="0003527C">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C8BF5" w14:textId="77777777" w:rsidR="00EB74AE" w:rsidRDefault="00EB74AE" w:rsidP="00C72528">
      <w:pPr>
        <w:spacing w:after="0" w:line="240" w:lineRule="auto"/>
      </w:pPr>
      <w:r>
        <w:separator/>
      </w:r>
    </w:p>
  </w:endnote>
  <w:endnote w:type="continuationSeparator" w:id="0">
    <w:p w14:paraId="2553B8DF" w14:textId="77777777" w:rsidR="00EB74AE" w:rsidRDefault="00EB74AE" w:rsidP="00C725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1552007"/>
      <w:docPartObj>
        <w:docPartGallery w:val="Page Numbers (Bottom of Page)"/>
        <w:docPartUnique/>
      </w:docPartObj>
    </w:sdtPr>
    <w:sdtEndPr>
      <w:rPr>
        <w:noProof/>
      </w:rPr>
    </w:sdtEndPr>
    <w:sdtContent>
      <w:p w14:paraId="0B561721" w14:textId="26C08AD1" w:rsidR="0003527C" w:rsidRDefault="0003527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171DDE9" w14:textId="439A4539" w:rsidR="00C91566" w:rsidRDefault="00C915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437D5" w14:textId="77777777" w:rsidR="00EB74AE" w:rsidRDefault="00EB74AE" w:rsidP="00C72528">
      <w:pPr>
        <w:spacing w:after="0" w:line="240" w:lineRule="auto"/>
      </w:pPr>
      <w:r>
        <w:separator/>
      </w:r>
    </w:p>
  </w:footnote>
  <w:footnote w:type="continuationSeparator" w:id="0">
    <w:p w14:paraId="38E2BDEC" w14:textId="77777777" w:rsidR="00EB74AE" w:rsidRDefault="00EB74AE" w:rsidP="00C72528">
      <w:pPr>
        <w:spacing w:after="0" w:line="240" w:lineRule="auto"/>
      </w:pPr>
      <w:r>
        <w:continuationSeparator/>
      </w:r>
    </w:p>
  </w:footnote>
  <w:footnote w:id="1">
    <w:p w14:paraId="059FBCC2" w14:textId="77777777"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lang w:val="en-GB"/>
        </w:rPr>
        <w:t>Boggenpoel</w:t>
      </w:r>
      <w:proofErr w:type="spellEnd"/>
      <w:r w:rsidRPr="00635917">
        <w:rPr>
          <w:rFonts w:ascii="Arial" w:hAnsi="Arial" w:cs="Arial"/>
          <w:lang w:val="en-GB"/>
        </w:rPr>
        <w:t xml:space="preserve"> 2017:98.</w:t>
      </w:r>
    </w:p>
  </w:footnote>
  <w:footnote w:id="2">
    <w:p w14:paraId="5C190EF4" w14:textId="5C787CDB"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Kleyn 2013:2; Marais 2021</w:t>
      </w:r>
      <w:r w:rsidR="007D4C36">
        <w:rPr>
          <w:rFonts w:ascii="Arial" w:hAnsi="Arial" w:cs="Arial"/>
          <w:lang w:val="en-GB"/>
        </w:rPr>
        <w:t>b:</w:t>
      </w:r>
      <w:r w:rsidRPr="00635917">
        <w:rPr>
          <w:rFonts w:ascii="Arial" w:hAnsi="Arial" w:cs="Arial"/>
          <w:lang w:val="en-GB"/>
        </w:rPr>
        <w:t xml:space="preserve">216; </w:t>
      </w:r>
      <w:proofErr w:type="spellStart"/>
      <w:r w:rsidRPr="00635917">
        <w:rPr>
          <w:rFonts w:ascii="Arial" w:hAnsi="Arial" w:cs="Arial"/>
          <w:lang w:val="en-GB"/>
        </w:rPr>
        <w:t>Boggenpoel</w:t>
      </w:r>
      <w:proofErr w:type="spellEnd"/>
      <w:r w:rsidRPr="00635917">
        <w:rPr>
          <w:rFonts w:ascii="Arial" w:hAnsi="Arial" w:cs="Arial"/>
          <w:lang w:val="en-GB"/>
        </w:rPr>
        <w:t xml:space="preserve"> 2017:93 &amp;103.</w:t>
      </w:r>
    </w:p>
  </w:footnote>
  <w:footnote w:id="3">
    <w:p w14:paraId="485F947C" w14:textId="77777777"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rPr>
        <w:t>Boggenpoel</w:t>
      </w:r>
      <w:proofErr w:type="spellEnd"/>
      <w:r w:rsidRPr="00635917">
        <w:rPr>
          <w:rFonts w:ascii="Arial" w:hAnsi="Arial" w:cs="Arial"/>
        </w:rPr>
        <w:t xml:space="preserve"> 2017:97.</w:t>
      </w:r>
    </w:p>
  </w:footnote>
  <w:footnote w:id="4">
    <w:p w14:paraId="15D03DD4" w14:textId="6F018ACA"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 xml:space="preserve">Kleyn 2013:2; </w:t>
      </w:r>
      <w:proofErr w:type="spellStart"/>
      <w:r w:rsidRPr="00635917">
        <w:rPr>
          <w:rFonts w:ascii="Arial" w:hAnsi="Arial" w:cs="Arial"/>
        </w:rPr>
        <w:t>Boggenpoel</w:t>
      </w:r>
      <w:proofErr w:type="spellEnd"/>
      <w:r w:rsidRPr="00635917">
        <w:rPr>
          <w:rFonts w:ascii="Arial" w:hAnsi="Arial" w:cs="Arial"/>
        </w:rPr>
        <w:t xml:space="preserve"> 2017</w:t>
      </w:r>
      <w:r>
        <w:rPr>
          <w:rFonts w:ascii="Arial" w:hAnsi="Arial" w:cs="Arial"/>
        </w:rPr>
        <w:t>:</w:t>
      </w:r>
      <w:r w:rsidRPr="00635917">
        <w:rPr>
          <w:rFonts w:ascii="Arial" w:hAnsi="Arial" w:cs="Arial"/>
        </w:rPr>
        <w:t xml:space="preserve">101. In </w:t>
      </w:r>
      <w:r w:rsidRPr="00635917">
        <w:rPr>
          <w:rFonts w:ascii="Arial" w:hAnsi="Arial" w:cs="Arial"/>
          <w:i/>
        </w:rPr>
        <w:t xml:space="preserve">Ivanov </w:t>
      </w:r>
      <w:r w:rsidR="007E09AB">
        <w:rPr>
          <w:rFonts w:ascii="Arial" w:hAnsi="Arial" w:cs="Arial"/>
          <w:i/>
        </w:rPr>
        <w:t>v</w:t>
      </w:r>
      <w:r w:rsidRPr="00635917">
        <w:rPr>
          <w:rFonts w:ascii="Arial" w:hAnsi="Arial" w:cs="Arial"/>
          <w:i/>
        </w:rPr>
        <w:t xml:space="preserve"> North West Gambling Board and Others</w:t>
      </w:r>
      <w:r w:rsidRPr="00635917">
        <w:rPr>
          <w:rFonts w:ascii="Arial" w:hAnsi="Arial" w:cs="Arial"/>
        </w:rPr>
        <w:t>, the court defined spoliation as a wrongful deprivation of another’s right to possession (</w:t>
      </w:r>
      <w:r w:rsidRPr="00635917">
        <w:rPr>
          <w:rFonts w:ascii="Arial" w:hAnsi="Arial" w:cs="Arial"/>
          <w:i/>
        </w:rPr>
        <w:t xml:space="preserve">Ivanov v North West Gambling Board and Others </w:t>
      </w:r>
      <w:r>
        <w:rPr>
          <w:rFonts w:ascii="Arial" w:hAnsi="Arial" w:cs="Arial"/>
          <w:iCs/>
        </w:rPr>
        <w:t>[</w:t>
      </w:r>
      <w:r w:rsidRPr="00635917">
        <w:rPr>
          <w:rFonts w:ascii="Arial" w:hAnsi="Arial" w:cs="Arial"/>
        </w:rPr>
        <w:t>2012</w:t>
      </w:r>
      <w:r>
        <w:rPr>
          <w:rFonts w:ascii="Arial" w:hAnsi="Arial" w:cs="Arial"/>
        </w:rPr>
        <w:t>]</w:t>
      </w:r>
      <w:r w:rsidRPr="00635917">
        <w:rPr>
          <w:rFonts w:ascii="Arial" w:hAnsi="Arial" w:cs="Arial"/>
        </w:rPr>
        <w:t xml:space="preserve"> 4 All SA 1 (SCA):</w:t>
      </w:r>
      <w:r>
        <w:rPr>
          <w:rFonts w:ascii="Arial" w:hAnsi="Arial" w:cs="Arial"/>
        </w:rPr>
        <w:t>p</w:t>
      </w:r>
      <w:r w:rsidRPr="00635917">
        <w:rPr>
          <w:rFonts w:ascii="Arial" w:hAnsi="Arial" w:cs="Arial"/>
        </w:rPr>
        <w:t>ar 19.) In other words, spoliation would refer to any act that deprives a person his physical control of the property and the intention to derive benefits from the property, without his consent or court order.</w:t>
      </w:r>
    </w:p>
  </w:footnote>
  <w:footnote w:id="5">
    <w:p w14:paraId="70E0AD41" w14:textId="77777777"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Nino Bonino v De Lange</w:t>
      </w:r>
      <w:r w:rsidRPr="00635917">
        <w:rPr>
          <w:rFonts w:ascii="Arial" w:hAnsi="Arial" w:cs="Arial"/>
        </w:rPr>
        <w:t xml:space="preserve"> 1906 TS 120 156; Marais 2021</w:t>
      </w:r>
      <w:r>
        <w:rPr>
          <w:rFonts w:ascii="Arial" w:hAnsi="Arial" w:cs="Arial"/>
        </w:rPr>
        <w:t>b</w:t>
      </w:r>
      <w:r w:rsidRPr="00635917">
        <w:rPr>
          <w:rFonts w:ascii="Arial" w:hAnsi="Arial" w:cs="Arial"/>
        </w:rPr>
        <w:t>:218.</w:t>
      </w:r>
    </w:p>
  </w:footnote>
  <w:footnote w:id="6">
    <w:p w14:paraId="76637C23" w14:textId="036B9DD6"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Historically, the term anarchy was used to mean the secret plotting to overthrow the government/republic or the unleash of revolutionary violence. Today, it is often used to mean acting as one’s own judge and executioner without reference to any legal document, manifesto</w:t>
      </w:r>
      <w:r w:rsidR="00141179">
        <w:rPr>
          <w:rFonts w:ascii="Arial" w:hAnsi="Arial" w:cs="Arial"/>
          <w:lang w:val="en-GB"/>
        </w:rPr>
        <w:t>,</w:t>
      </w:r>
      <w:r w:rsidRPr="00635917">
        <w:rPr>
          <w:rFonts w:ascii="Arial" w:hAnsi="Arial" w:cs="Arial"/>
          <w:lang w:val="en-GB"/>
        </w:rPr>
        <w:t xml:space="preserve"> or </w:t>
      </w:r>
      <w:r w:rsidRPr="006C2208">
        <w:rPr>
          <w:rFonts w:ascii="Arial" w:hAnsi="Arial" w:cs="Arial"/>
          <w:i/>
          <w:iCs/>
          <w:lang w:val="en-GB"/>
        </w:rPr>
        <w:t>Constitution</w:t>
      </w:r>
      <w:r w:rsidRPr="00635917">
        <w:rPr>
          <w:rFonts w:ascii="Arial" w:hAnsi="Arial" w:cs="Arial"/>
          <w:lang w:val="en-GB"/>
        </w:rPr>
        <w:t xml:space="preserve"> (Nathan 2012:109-111). </w:t>
      </w:r>
      <w:r w:rsidRPr="00635917">
        <w:rPr>
          <w:rFonts w:ascii="Arial" w:hAnsi="Arial" w:cs="Arial"/>
        </w:rPr>
        <w:t>Thus, to preserve the rule of law and order, the law forbids acts of vigilantism and lawlessness by summarily restoring possession before an enquiry into the merits of the case.</w:t>
      </w:r>
    </w:p>
  </w:footnote>
  <w:footnote w:id="7">
    <w:p w14:paraId="619E4FB6" w14:textId="3D75281B" w:rsidR="00144700" w:rsidRPr="00A12EA4" w:rsidRDefault="00144700" w:rsidP="001C4ADB">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Telkom SA Ltd v </w:t>
      </w:r>
      <w:proofErr w:type="spellStart"/>
      <w:r w:rsidRPr="00635917">
        <w:rPr>
          <w:rFonts w:ascii="Arial" w:hAnsi="Arial" w:cs="Arial"/>
          <w:i/>
        </w:rPr>
        <w:t>Xsinet</w:t>
      </w:r>
      <w:proofErr w:type="spellEnd"/>
      <w:r w:rsidRPr="00635917">
        <w:rPr>
          <w:rFonts w:ascii="Arial" w:hAnsi="Arial" w:cs="Arial"/>
          <w:i/>
        </w:rPr>
        <w:t xml:space="preserve"> (Pty) Ltd</w:t>
      </w:r>
      <w:r w:rsidRPr="00635917">
        <w:rPr>
          <w:rFonts w:ascii="Arial" w:hAnsi="Arial" w:cs="Arial"/>
        </w:rPr>
        <w:t xml:space="preserve"> 2003 ZASCA 35:</w:t>
      </w:r>
      <w:r>
        <w:rPr>
          <w:rFonts w:ascii="Arial" w:hAnsi="Arial" w:cs="Arial"/>
        </w:rPr>
        <w:t>p</w:t>
      </w:r>
      <w:r w:rsidRPr="00635917">
        <w:rPr>
          <w:rFonts w:ascii="Arial" w:hAnsi="Arial" w:cs="Arial"/>
        </w:rPr>
        <w:t xml:space="preserve">ar 9. It is hard to ascribe </w:t>
      </w:r>
      <w:r w:rsidR="001D3F14">
        <w:rPr>
          <w:rFonts w:ascii="Arial" w:hAnsi="Arial" w:cs="Arial"/>
        </w:rPr>
        <w:t xml:space="preserve">one </w:t>
      </w:r>
      <w:r w:rsidR="008C67C7">
        <w:rPr>
          <w:rFonts w:ascii="Arial" w:hAnsi="Arial" w:cs="Arial"/>
        </w:rPr>
        <w:t xml:space="preserve">specific </w:t>
      </w:r>
      <w:r w:rsidR="001D3F14">
        <w:rPr>
          <w:rFonts w:ascii="Arial" w:hAnsi="Arial" w:cs="Arial"/>
        </w:rPr>
        <w:t xml:space="preserve">definition </w:t>
      </w:r>
      <w:r w:rsidR="008C67C7">
        <w:rPr>
          <w:rFonts w:ascii="Arial" w:hAnsi="Arial" w:cs="Arial"/>
        </w:rPr>
        <w:t xml:space="preserve">to </w:t>
      </w:r>
      <w:r w:rsidRPr="00635917">
        <w:rPr>
          <w:rFonts w:ascii="Arial" w:hAnsi="Arial" w:cs="Arial"/>
        </w:rPr>
        <w:t>metaphysics. However, for purposes of this study, the term metaphysics should be understood to mean what transcends the physical or the objective reality. This led to the recognition</w:t>
      </w:r>
      <w:r w:rsidR="00DA0287">
        <w:rPr>
          <w:rFonts w:ascii="Arial" w:hAnsi="Arial" w:cs="Arial"/>
        </w:rPr>
        <w:t xml:space="preserve"> of</w:t>
      </w:r>
      <w:r w:rsidRPr="00635917">
        <w:rPr>
          <w:rFonts w:ascii="Arial" w:hAnsi="Arial" w:cs="Arial"/>
        </w:rPr>
        <w:t xml:space="preserve"> incorporeal property as objects of property rights which now fall within the description of property protected </w:t>
      </w:r>
      <w:r w:rsidRPr="00167233">
        <w:rPr>
          <w:rFonts w:ascii="Arial" w:hAnsi="Arial" w:cs="Arial"/>
          <w:color w:val="000000" w:themeColor="text1"/>
        </w:rPr>
        <w:t xml:space="preserve">by the property clause. </w:t>
      </w:r>
      <w:r w:rsidR="00DA0287" w:rsidRPr="00167233">
        <w:rPr>
          <w:rFonts w:ascii="Arial" w:hAnsi="Arial" w:cs="Arial"/>
          <w:color w:val="000000" w:themeColor="text1"/>
        </w:rPr>
        <w:t>S</w:t>
      </w:r>
      <w:r w:rsidRPr="00167233">
        <w:rPr>
          <w:rFonts w:ascii="Arial" w:hAnsi="Arial" w:cs="Arial"/>
          <w:color w:val="000000" w:themeColor="text1"/>
        </w:rPr>
        <w:t xml:space="preserve">ee </w:t>
      </w:r>
      <w:proofErr w:type="spellStart"/>
      <w:r w:rsidRPr="00167233">
        <w:rPr>
          <w:rFonts w:ascii="Arial" w:hAnsi="Arial" w:cs="Arial"/>
          <w:i/>
          <w:iCs/>
          <w:color w:val="000000" w:themeColor="text1"/>
        </w:rPr>
        <w:t>Constitution</w:t>
      </w:r>
      <w:r w:rsidRPr="00167233">
        <w:rPr>
          <w:rFonts w:ascii="Arial" w:hAnsi="Arial" w:cs="Arial"/>
          <w:color w:val="000000" w:themeColor="text1"/>
        </w:rPr>
        <w:t>:sec</w:t>
      </w:r>
      <w:proofErr w:type="spellEnd"/>
      <w:r w:rsidRPr="00167233">
        <w:rPr>
          <w:rFonts w:ascii="Arial" w:hAnsi="Arial" w:cs="Arial"/>
          <w:color w:val="000000" w:themeColor="text1"/>
        </w:rPr>
        <w:t>. 25</w:t>
      </w:r>
      <w:r w:rsidR="001C4ADB" w:rsidRPr="00167233">
        <w:rPr>
          <w:rFonts w:ascii="Arial" w:hAnsi="Arial" w:cs="Arial"/>
          <w:color w:val="000000" w:themeColor="text1"/>
        </w:rPr>
        <w:t xml:space="preserve">; Pienaar 2010:35; </w:t>
      </w:r>
      <w:r w:rsidR="001C4ADB" w:rsidRPr="00167233">
        <w:rPr>
          <w:rFonts w:ascii="Arial" w:hAnsi="Arial" w:cs="Arial"/>
          <w:color w:val="000000" w:themeColor="text1"/>
          <w:lang w:val="de-DE"/>
        </w:rPr>
        <w:t>Kleyn 2013:5; Van der Walt 2011:98.</w:t>
      </w:r>
    </w:p>
  </w:footnote>
  <w:footnote w:id="8">
    <w:p w14:paraId="1164E2D8" w14:textId="77777777" w:rsidR="00144700" w:rsidRPr="00635917" w:rsidRDefault="00144700" w:rsidP="00144700">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t>Marais 2021b:</w:t>
      </w:r>
      <w:r w:rsidRPr="00635917">
        <w:rPr>
          <w:rFonts w:ascii="Arial" w:hAnsi="Arial" w:cs="Arial"/>
        </w:rPr>
        <w:t>220.</w:t>
      </w:r>
    </w:p>
  </w:footnote>
  <w:footnote w:id="9">
    <w:p w14:paraId="638265CB" w14:textId="76339709" w:rsidR="00E76BB2" w:rsidRPr="00C01621" w:rsidRDefault="00E76BB2" w:rsidP="00E76BB2">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Pr>
          <w:rFonts w:ascii="Arial" w:hAnsi="Arial" w:cs="Arial"/>
          <w:lang w:val="de-DE"/>
        </w:rPr>
        <w:tab/>
      </w:r>
      <w:r w:rsidRPr="00C01621">
        <w:rPr>
          <w:rFonts w:ascii="Arial" w:hAnsi="Arial" w:cs="Arial"/>
          <w:i/>
          <w:lang w:val="de-DE"/>
        </w:rPr>
        <w:t>Telkom SA Ltd v Xsinet (Pty) Ltd</w:t>
      </w:r>
      <w:r w:rsidRPr="00C01621">
        <w:rPr>
          <w:rFonts w:ascii="Arial" w:hAnsi="Arial" w:cs="Arial"/>
          <w:lang w:val="de-DE"/>
        </w:rPr>
        <w:t>:par. 9.</w:t>
      </w:r>
      <w:r w:rsidR="00C01621" w:rsidRPr="00C01621">
        <w:rPr>
          <w:rFonts w:ascii="Arial" w:hAnsi="Arial" w:cs="Arial"/>
          <w:lang w:val="de-DE"/>
        </w:rPr>
        <w:t xml:space="preserve"> </w:t>
      </w:r>
      <w:r w:rsidR="00C01621" w:rsidRPr="00BC20D7">
        <w:rPr>
          <w:rFonts w:ascii="Arial" w:hAnsi="Arial" w:cs="Arial"/>
          <w:i/>
          <w:iCs/>
          <w:shd w:val="clear" w:color="auto" w:fill="FFFFFF"/>
        </w:rPr>
        <w:t>Quasi</w:t>
      </w:r>
      <w:r w:rsidR="00C01621" w:rsidRPr="00BC20D7">
        <w:rPr>
          <w:rFonts w:ascii="Arial" w:hAnsi="Arial" w:cs="Arial"/>
          <w:shd w:val="clear" w:color="auto" w:fill="FFFFFF"/>
        </w:rPr>
        <w:t xml:space="preserve">-possession is a term used to refer to a real right or a personal right entitling the holder </w:t>
      </w:r>
      <w:r w:rsidR="001509A4">
        <w:rPr>
          <w:rFonts w:ascii="Arial" w:hAnsi="Arial" w:cs="Arial"/>
          <w:shd w:val="clear" w:color="auto" w:fill="FFFFFF"/>
        </w:rPr>
        <w:t>to</w:t>
      </w:r>
      <w:r w:rsidR="00C01621" w:rsidRPr="00BC20D7">
        <w:rPr>
          <w:rFonts w:ascii="Arial" w:hAnsi="Arial" w:cs="Arial"/>
          <w:shd w:val="clear" w:color="auto" w:fill="FFFFFF"/>
        </w:rPr>
        <w:t xml:space="preserve"> some kind of use or control of the property.</w:t>
      </w:r>
      <w:r w:rsidR="00BC20D7" w:rsidRPr="00BC20D7">
        <w:rPr>
          <w:rFonts w:ascii="Arial" w:hAnsi="Arial" w:cs="Arial"/>
          <w:shd w:val="clear" w:color="auto" w:fill="FFFFFF"/>
        </w:rPr>
        <w:t xml:space="preserve"> </w:t>
      </w:r>
      <w:r w:rsidR="00C01621" w:rsidRPr="00BC20D7">
        <w:rPr>
          <w:rFonts w:ascii="Arial" w:hAnsi="Arial" w:cs="Arial"/>
          <w:shd w:val="clear" w:color="auto" w:fill="FFFFFF"/>
        </w:rPr>
        <w:t xml:space="preserve">The law uses the notion of </w:t>
      </w:r>
      <w:r w:rsidR="00C01621" w:rsidRPr="00BC20D7">
        <w:rPr>
          <w:rFonts w:ascii="Arial" w:hAnsi="Arial" w:cs="Arial"/>
          <w:i/>
          <w:iCs/>
          <w:shd w:val="clear" w:color="auto" w:fill="FFFFFF"/>
        </w:rPr>
        <w:t>quasi</w:t>
      </w:r>
      <w:r w:rsidR="00C01621" w:rsidRPr="00BC20D7">
        <w:rPr>
          <w:rFonts w:ascii="Arial" w:hAnsi="Arial" w:cs="Arial"/>
          <w:shd w:val="clear" w:color="auto" w:fill="FFFFFF"/>
        </w:rPr>
        <w:t xml:space="preserve">-possession to recognise incorporeal objects that cannot be physically held or controlled, such as a </w:t>
      </w:r>
      <w:proofErr w:type="spellStart"/>
      <w:r w:rsidR="00C01621" w:rsidRPr="00BC20D7">
        <w:rPr>
          <w:rFonts w:ascii="Arial" w:hAnsi="Arial" w:cs="Arial"/>
          <w:shd w:val="clear" w:color="auto" w:fill="FFFFFF"/>
        </w:rPr>
        <w:t>servitutal</w:t>
      </w:r>
      <w:proofErr w:type="spellEnd"/>
      <w:r w:rsidR="00C01621" w:rsidRPr="00BC20D7">
        <w:rPr>
          <w:rFonts w:ascii="Arial" w:hAnsi="Arial" w:cs="Arial"/>
          <w:shd w:val="clear" w:color="auto" w:fill="FFFFFF"/>
        </w:rPr>
        <w:t xml:space="preserve"> right or an incident of possession</w:t>
      </w:r>
      <w:r w:rsidR="00BC20D7" w:rsidRPr="00BC20D7">
        <w:rPr>
          <w:rFonts w:ascii="Arial" w:hAnsi="Arial" w:cs="Arial"/>
          <w:shd w:val="clear" w:color="auto" w:fill="FFFFFF"/>
        </w:rPr>
        <w:t xml:space="preserve"> (</w:t>
      </w:r>
      <w:r w:rsidR="00BC20D7" w:rsidRPr="00BC20D7">
        <w:rPr>
          <w:rFonts w:ascii="Arial" w:hAnsi="Arial" w:cs="Arial"/>
          <w:lang w:val="de-DE"/>
        </w:rPr>
        <w:t xml:space="preserve">Boggenpoel 2017:108; </w:t>
      </w:r>
      <w:r w:rsidR="00BC20D7" w:rsidRPr="00BC20D7">
        <w:rPr>
          <w:rFonts w:ascii="Arial" w:hAnsi="Arial" w:cs="Arial"/>
          <w:lang w:val="en-GB"/>
        </w:rPr>
        <w:t xml:space="preserve">Muller </w:t>
      </w:r>
      <w:r w:rsidR="00BC20D7" w:rsidRPr="00BC20D7">
        <w:rPr>
          <w:rFonts w:ascii="Arial" w:hAnsi="Arial" w:cs="Arial"/>
          <w:i/>
          <w:lang w:val="en-GB"/>
        </w:rPr>
        <w:t>et al</w:t>
      </w:r>
      <w:r w:rsidR="00BC20D7" w:rsidRPr="00BC20D7">
        <w:rPr>
          <w:rFonts w:ascii="Arial" w:hAnsi="Arial" w:cs="Arial"/>
          <w:lang w:val="en-GB"/>
        </w:rPr>
        <w:t xml:space="preserve"> 2019b:337-338</w:t>
      </w:r>
      <w:r w:rsidR="00BC20D7" w:rsidRPr="00BC20D7">
        <w:rPr>
          <w:rFonts w:ascii="Arial" w:hAnsi="Arial" w:cs="Arial"/>
          <w:lang w:val="de-DE"/>
        </w:rPr>
        <w:t>;</w:t>
      </w:r>
      <w:r w:rsidR="00BC20D7" w:rsidRPr="00BC20D7">
        <w:rPr>
          <w:rFonts w:ascii="Arial" w:hAnsi="Arial" w:cs="Arial"/>
          <w:lang w:val="en-GB"/>
        </w:rPr>
        <w:t xml:space="preserve"> Muller </w:t>
      </w:r>
      <w:r w:rsidR="00BC20D7" w:rsidRPr="00BC20D7">
        <w:rPr>
          <w:rFonts w:ascii="Arial" w:hAnsi="Arial" w:cs="Arial"/>
          <w:i/>
          <w:lang w:val="en-GB"/>
        </w:rPr>
        <w:t>et al</w:t>
      </w:r>
      <w:r w:rsidR="00BC20D7" w:rsidRPr="00BC20D7">
        <w:rPr>
          <w:rFonts w:ascii="Arial" w:hAnsi="Arial" w:cs="Arial"/>
          <w:lang w:val="en-GB"/>
        </w:rPr>
        <w:t xml:space="preserve"> 2019a:200).</w:t>
      </w:r>
    </w:p>
  </w:footnote>
  <w:footnote w:id="10">
    <w:p w14:paraId="1C87F6AA" w14:textId="77777777" w:rsidR="00E76BB2" w:rsidRPr="007E1471" w:rsidRDefault="00E76BB2" w:rsidP="00E76BB2">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iCs/>
          <w:lang w:val="en-GB"/>
        </w:rPr>
        <w:t xml:space="preserve">Nino </w:t>
      </w:r>
      <w:proofErr w:type="spellStart"/>
      <w:r w:rsidRPr="00635917">
        <w:rPr>
          <w:rFonts w:ascii="Arial" w:hAnsi="Arial" w:cs="Arial"/>
          <w:i/>
          <w:iCs/>
          <w:lang w:val="en-GB"/>
        </w:rPr>
        <w:t>Binino</w:t>
      </w:r>
      <w:proofErr w:type="spellEnd"/>
      <w:r w:rsidRPr="00635917">
        <w:rPr>
          <w:rFonts w:ascii="Arial" w:hAnsi="Arial" w:cs="Arial"/>
          <w:i/>
          <w:iCs/>
          <w:lang w:val="en-GB"/>
        </w:rPr>
        <w:t xml:space="preserve"> v De </w:t>
      </w:r>
      <w:proofErr w:type="spellStart"/>
      <w:r w:rsidRPr="00635917">
        <w:rPr>
          <w:rFonts w:ascii="Arial" w:hAnsi="Arial" w:cs="Arial"/>
          <w:i/>
          <w:iCs/>
          <w:lang w:val="en-GB"/>
        </w:rPr>
        <w:t>Lange</w:t>
      </w:r>
      <w:r>
        <w:rPr>
          <w:rFonts w:ascii="Arial" w:hAnsi="Arial" w:cs="Arial"/>
          <w:lang w:val="en-GB"/>
        </w:rPr>
        <w:t>:par</w:t>
      </w:r>
      <w:proofErr w:type="spellEnd"/>
      <w:r>
        <w:rPr>
          <w:rFonts w:ascii="Arial" w:hAnsi="Arial" w:cs="Arial"/>
          <w:lang w:val="en-GB"/>
        </w:rPr>
        <w:t xml:space="preserve">. </w:t>
      </w:r>
      <w:r w:rsidRPr="00635917">
        <w:rPr>
          <w:rFonts w:ascii="Arial" w:hAnsi="Arial" w:cs="Arial"/>
          <w:lang w:val="en-GB"/>
        </w:rPr>
        <w:t xml:space="preserve">122. </w:t>
      </w:r>
      <w:r w:rsidRPr="007E1471">
        <w:rPr>
          <w:rFonts w:ascii="Arial" w:hAnsi="Arial" w:cs="Arial"/>
        </w:rPr>
        <w:t>See also Van der Walt 2002:263 and Kleyn 2013:5.</w:t>
      </w:r>
    </w:p>
  </w:footnote>
  <w:footnote w:id="11">
    <w:p w14:paraId="270E8A09" w14:textId="77777777" w:rsidR="00E76BB2" w:rsidRPr="007E1471" w:rsidRDefault="00E76BB2" w:rsidP="00E76BB2">
      <w:pPr>
        <w:pStyle w:val="FootnoteText"/>
        <w:ind w:left="357" w:hanging="357"/>
        <w:jc w:val="both"/>
      </w:pPr>
      <w:r w:rsidRPr="00635917">
        <w:rPr>
          <w:rStyle w:val="FootnoteReference"/>
          <w:rFonts w:ascii="Arial" w:hAnsi="Arial" w:cs="Arial"/>
        </w:rPr>
        <w:footnoteRef/>
      </w:r>
      <w:r w:rsidRPr="007E1471">
        <w:rPr>
          <w:rFonts w:ascii="Arial" w:hAnsi="Arial" w:cs="Arial"/>
        </w:rPr>
        <w:t xml:space="preserve"> </w:t>
      </w:r>
      <w:r w:rsidRPr="007E1471">
        <w:rPr>
          <w:rFonts w:ascii="Arial" w:hAnsi="Arial" w:cs="Arial"/>
        </w:rPr>
        <w:tab/>
        <w:t>Kleyn 2013:5.</w:t>
      </w:r>
    </w:p>
  </w:footnote>
  <w:footnote w:id="12">
    <w:p w14:paraId="73D25089" w14:textId="00CFDD48"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i/>
        </w:rPr>
        <w:t>Firstrand</w:t>
      </w:r>
      <w:proofErr w:type="spellEnd"/>
      <w:r w:rsidRPr="00635917">
        <w:rPr>
          <w:rFonts w:ascii="Arial" w:hAnsi="Arial" w:cs="Arial"/>
          <w:i/>
        </w:rPr>
        <w:t xml:space="preserve"> Ltd t/a Rand Merchant Bank and Another v Scholtz NO and Others</w:t>
      </w:r>
      <w:r w:rsidRPr="00635917">
        <w:rPr>
          <w:rFonts w:ascii="Arial" w:hAnsi="Arial" w:cs="Arial"/>
        </w:rPr>
        <w:t xml:space="preserve"> 2008 (2) SA 503 </w:t>
      </w:r>
      <w:proofErr w:type="spellStart"/>
      <w:r w:rsidRPr="00635917">
        <w:rPr>
          <w:rFonts w:ascii="Arial" w:hAnsi="Arial" w:cs="Arial"/>
        </w:rPr>
        <w:t>SCA</w:t>
      </w:r>
      <w:r>
        <w:rPr>
          <w:rFonts w:ascii="Arial" w:hAnsi="Arial" w:cs="Arial"/>
        </w:rPr>
        <w:t>:par</w:t>
      </w:r>
      <w:proofErr w:type="spellEnd"/>
      <w:r>
        <w:rPr>
          <w:rFonts w:ascii="Arial" w:hAnsi="Arial" w:cs="Arial"/>
        </w:rPr>
        <w:t xml:space="preserve">. </w:t>
      </w:r>
      <w:r w:rsidRPr="00635917">
        <w:rPr>
          <w:rFonts w:ascii="Arial" w:hAnsi="Arial" w:cs="Arial"/>
        </w:rPr>
        <w:t>13.</w:t>
      </w:r>
    </w:p>
  </w:footnote>
  <w:footnote w:id="13">
    <w:p w14:paraId="66688CBB"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Kleyn 2013:5.</w:t>
      </w:r>
    </w:p>
  </w:footnote>
  <w:footnote w:id="14">
    <w:p w14:paraId="53EBD09A" w14:textId="68E2F1A9" w:rsidR="00E76BB2" w:rsidRPr="00635917" w:rsidRDefault="00E76BB2" w:rsidP="00E76BB2">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rPr>
        <w:t>Freedman 2015:201</w:t>
      </w:r>
      <w:r w:rsidR="00D8722C">
        <w:rPr>
          <w:rFonts w:ascii="Arial" w:hAnsi="Arial" w:cs="Arial"/>
        </w:rPr>
        <w:t>;</w:t>
      </w:r>
      <w:r w:rsidR="002E67BC">
        <w:rPr>
          <w:rFonts w:ascii="Arial" w:hAnsi="Arial" w:cs="Arial"/>
        </w:rPr>
        <w:t xml:space="preserve"> </w:t>
      </w:r>
      <w:proofErr w:type="spellStart"/>
      <w:r w:rsidR="00D8722C">
        <w:rPr>
          <w:rFonts w:ascii="Arial" w:hAnsi="Arial" w:cs="Arial"/>
        </w:rPr>
        <w:t>Sonnekus</w:t>
      </w:r>
      <w:proofErr w:type="spellEnd"/>
      <w:r w:rsidR="00D8722C">
        <w:rPr>
          <w:rFonts w:ascii="Arial" w:hAnsi="Arial" w:cs="Arial"/>
        </w:rPr>
        <w:t xml:space="preserve"> 2007:147.</w:t>
      </w:r>
    </w:p>
  </w:footnote>
  <w:footnote w:id="15">
    <w:p w14:paraId="18AE88A7" w14:textId="77777777" w:rsidR="00E76BB2" w:rsidRPr="00635917" w:rsidRDefault="00E76BB2" w:rsidP="00E76BB2">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i/>
        </w:rPr>
        <w:t xml:space="preserve">Kramer v Trustees Coloured Vigilance Council Grassy Park </w:t>
      </w:r>
      <w:r w:rsidRPr="00635917">
        <w:rPr>
          <w:rFonts w:ascii="Arial" w:hAnsi="Arial" w:cs="Arial"/>
        </w:rPr>
        <w:t>1948 (1) PH:61.</w:t>
      </w:r>
    </w:p>
  </w:footnote>
  <w:footnote w:id="16">
    <w:p w14:paraId="7ABD26F0"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rPr>
        <w:t>Kleyn 2013:6.</w:t>
      </w:r>
    </w:p>
  </w:footnote>
  <w:footnote w:id="17">
    <w:p w14:paraId="458BAED6"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rPr>
        <w:t>Kleyn 2013:6.</w:t>
      </w:r>
    </w:p>
  </w:footnote>
  <w:footnote w:id="18">
    <w:p w14:paraId="1ABF2614"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Kleyn 2013:6</w:t>
      </w:r>
      <w:r>
        <w:rPr>
          <w:rFonts w:ascii="Arial" w:hAnsi="Arial" w:cs="Arial"/>
          <w:lang w:val="en-GB"/>
        </w:rPr>
        <w:t>, 8</w:t>
      </w:r>
      <w:r w:rsidRPr="00635917">
        <w:rPr>
          <w:rFonts w:ascii="Arial" w:hAnsi="Arial" w:cs="Arial"/>
          <w:lang w:val="en-GB"/>
        </w:rPr>
        <w:t>.</w:t>
      </w:r>
    </w:p>
  </w:footnote>
  <w:footnote w:id="19">
    <w:p w14:paraId="32249B0B"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Zulu v Minister of Works, KwaZulu and Others </w:t>
      </w:r>
      <w:r w:rsidRPr="00635917">
        <w:rPr>
          <w:rFonts w:ascii="Arial" w:hAnsi="Arial" w:cs="Arial"/>
          <w:iCs/>
        </w:rPr>
        <w:t>1992 (1) ALL SA 45 (D):</w:t>
      </w:r>
      <w:r w:rsidRPr="00635917">
        <w:rPr>
          <w:rFonts w:ascii="Arial" w:hAnsi="Arial" w:cs="Arial"/>
        </w:rPr>
        <w:t>50.</w:t>
      </w:r>
    </w:p>
  </w:footnote>
  <w:footnote w:id="20">
    <w:p w14:paraId="415CBD4D"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lang w:val="en-GB"/>
        </w:rPr>
        <w:t>Kleyn 2013:7; Marais 2021</w:t>
      </w:r>
      <w:r>
        <w:rPr>
          <w:rFonts w:ascii="Arial" w:hAnsi="Arial" w:cs="Arial"/>
          <w:lang w:val="en-GB"/>
        </w:rPr>
        <w:t>b</w:t>
      </w:r>
      <w:r w:rsidRPr="00635917">
        <w:rPr>
          <w:rFonts w:ascii="Arial" w:hAnsi="Arial" w:cs="Arial"/>
          <w:lang w:val="en-GB"/>
        </w:rPr>
        <w:t>:224.</w:t>
      </w:r>
    </w:p>
  </w:footnote>
  <w:footnote w:id="21">
    <w:p w14:paraId="5549AFE8" w14:textId="78188648" w:rsidR="00D93E2A" w:rsidRPr="00635917" w:rsidRDefault="00D93E2A" w:rsidP="00D93E2A">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Eskom Holdings SOC Limited v </w:t>
      </w:r>
      <w:proofErr w:type="spellStart"/>
      <w:r w:rsidRPr="00635917">
        <w:rPr>
          <w:rFonts w:ascii="Arial" w:hAnsi="Arial" w:cs="Arial"/>
          <w:i/>
        </w:rPr>
        <w:t>Masinda</w:t>
      </w:r>
      <w:r>
        <w:rPr>
          <w:rFonts w:ascii="Arial" w:hAnsi="Arial" w:cs="Arial"/>
        </w:rPr>
        <w:t>:par</w:t>
      </w:r>
      <w:proofErr w:type="spellEnd"/>
      <w:r>
        <w:rPr>
          <w:rFonts w:ascii="Arial" w:hAnsi="Arial" w:cs="Arial"/>
        </w:rPr>
        <w:t xml:space="preserve">. </w:t>
      </w:r>
      <w:r w:rsidRPr="00635917">
        <w:rPr>
          <w:rFonts w:ascii="Arial" w:hAnsi="Arial" w:cs="Arial"/>
        </w:rPr>
        <w:t xml:space="preserve">14. </w:t>
      </w:r>
      <w:r w:rsidRPr="00635917">
        <w:rPr>
          <w:rFonts w:ascii="Arial" w:hAnsi="Arial" w:cs="Arial"/>
          <w:i/>
        </w:rPr>
        <w:t xml:space="preserve">Makeshift 1190 (Pty) Ltd v </w:t>
      </w:r>
      <w:proofErr w:type="spellStart"/>
      <w:r w:rsidRPr="00635917">
        <w:rPr>
          <w:rFonts w:ascii="Arial" w:hAnsi="Arial" w:cs="Arial"/>
          <w:i/>
        </w:rPr>
        <w:t>Cilliers</w:t>
      </w:r>
      <w:r>
        <w:rPr>
          <w:rFonts w:ascii="Arial" w:hAnsi="Arial" w:cs="Arial"/>
        </w:rPr>
        <w:t>:par</w:t>
      </w:r>
      <w:proofErr w:type="spellEnd"/>
      <w:r>
        <w:rPr>
          <w:rFonts w:ascii="Arial" w:hAnsi="Arial" w:cs="Arial"/>
        </w:rPr>
        <w:t xml:space="preserve">. </w:t>
      </w:r>
      <w:r w:rsidRPr="00635917">
        <w:rPr>
          <w:rFonts w:ascii="Arial" w:hAnsi="Arial" w:cs="Arial"/>
        </w:rPr>
        <w:t>24</w:t>
      </w:r>
      <w:r w:rsidR="009E6526">
        <w:rPr>
          <w:rFonts w:ascii="Arial" w:hAnsi="Arial" w:cs="Arial"/>
        </w:rPr>
        <w:t>.</w:t>
      </w:r>
    </w:p>
  </w:footnote>
  <w:footnote w:id="22">
    <w:p w14:paraId="6548E5B4" w14:textId="3EF78644" w:rsidR="005424B5" w:rsidRDefault="005424B5" w:rsidP="0053136E">
      <w:pPr>
        <w:pStyle w:val="FootnoteText"/>
        <w:ind w:left="357" w:hanging="357"/>
        <w:jc w:val="both"/>
      </w:pPr>
      <w:r>
        <w:rPr>
          <w:rStyle w:val="FootnoteReference"/>
        </w:rPr>
        <w:footnoteRef/>
      </w:r>
      <w:r>
        <w:t xml:space="preserve">   </w:t>
      </w:r>
      <w:proofErr w:type="spellStart"/>
      <w:r w:rsidRPr="00635917">
        <w:rPr>
          <w:rFonts w:ascii="Arial" w:hAnsi="Arial" w:cs="Arial"/>
          <w:i/>
          <w:lang w:val="en-GB"/>
        </w:rPr>
        <w:t>Blendrite</w:t>
      </w:r>
      <w:proofErr w:type="spellEnd"/>
      <w:r w:rsidRPr="00635917">
        <w:rPr>
          <w:rFonts w:ascii="Arial" w:hAnsi="Arial" w:cs="Arial"/>
          <w:i/>
          <w:lang w:val="en-GB"/>
        </w:rPr>
        <w:t xml:space="preserve"> (Pty) Ltd and Another v </w:t>
      </w:r>
      <w:proofErr w:type="spellStart"/>
      <w:r w:rsidRPr="00635917">
        <w:rPr>
          <w:rFonts w:ascii="Arial" w:hAnsi="Arial" w:cs="Arial"/>
          <w:i/>
          <w:lang w:val="en-GB"/>
        </w:rPr>
        <w:t>Moonisami</w:t>
      </w:r>
      <w:proofErr w:type="spellEnd"/>
      <w:r w:rsidRPr="00635917">
        <w:rPr>
          <w:rFonts w:ascii="Arial" w:hAnsi="Arial" w:cs="Arial"/>
          <w:i/>
          <w:lang w:val="en-GB"/>
        </w:rPr>
        <w:t xml:space="preserve"> and Another </w:t>
      </w:r>
      <w:r w:rsidRPr="00635917">
        <w:rPr>
          <w:rFonts w:ascii="Arial" w:hAnsi="Arial" w:cs="Arial"/>
          <w:lang w:val="en-GB"/>
        </w:rPr>
        <w:t xml:space="preserve">2021 </w:t>
      </w:r>
      <w:r>
        <w:rPr>
          <w:rFonts w:ascii="Arial" w:hAnsi="Arial" w:cs="Arial"/>
          <w:lang w:val="en-GB"/>
        </w:rPr>
        <w:t>(</w:t>
      </w:r>
      <w:r w:rsidRPr="00635917">
        <w:rPr>
          <w:rFonts w:ascii="Arial" w:hAnsi="Arial" w:cs="Arial"/>
          <w:lang w:val="en-GB"/>
        </w:rPr>
        <w:t>4</w:t>
      </w:r>
      <w:r>
        <w:rPr>
          <w:rFonts w:ascii="Arial" w:hAnsi="Arial" w:cs="Arial"/>
          <w:lang w:val="en-GB"/>
        </w:rPr>
        <w:t>)</w:t>
      </w:r>
      <w:r w:rsidRPr="00635917">
        <w:rPr>
          <w:rFonts w:ascii="Arial" w:hAnsi="Arial" w:cs="Arial"/>
          <w:lang w:val="en-GB"/>
        </w:rPr>
        <w:t xml:space="preserve"> SA 61 (SCA)</w:t>
      </w:r>
      <w:r>
        <w:rPr>
          <w:rFonts w:ascii="Arial" w:hAnsi="Arial" w:cs="Arial"/>
          <w:lang w:val="en-GB"/>
        </w:rPr>
        <w:t>:par.</w:t>
      </w:r>
      <w:r w:rsidRPr="00635917">
        <w:rPr>
          <w:rFonts w:ascii="Arial" w:hAnsi="Arial" w:cs="Arial"/>
          <w:lang w:val="en-GB"/>
        </w:rPr>
        <w:t xml:space="preserve">16. </w:t>
      </w:r>
      <w:r w:rsidRPr="00635917">
        <w:rPr>
          <w:rFonts w:ascii="Arial" w:hAnsi="Arial" w:cs="Arial"/>
        </w:rPr>
        <w:t>Kleyn 2013:10.</w:t>
      </w:r>
    </w:p>
  </w:footnote>
  <w:footnote w:id="23">
    <w:p w14:paraId="7CE78C86" w14:textId="77777777" w:rsidR="00D93E2A" w:rsidRPr="00635917" w:rsidRDefault="00D93E2A" w:rsidP="00D93E2A">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Pr>
          <w:rFonts w:ascii="Arial" w:hAnsi="Arial" w:cs="Arial"/>
          <w:lang w:val="en-GB"/>
        </w:rPr>
        <w:t>Marais 2021a</w:t>
      </w:r>
      <w:r w:rsidRPr="00635917">
        <w:rPr>
          <w:rFonts w:ascii="Arial" w:hAnsi="Arial" w:cs="Arial"/>
          <w:lang w:val="en-GB"/>
        </w:rPr>
        <w:t>:102.</w:t>
      </w:r>
    </w:p>
  </w:footnote>
  <w:footnote w:id="24">
    <w:p w14:paraId="7610765A" w14:textId="77777777"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Pr>
          <w:rFonts w:ascii="Arial" w:hAnsi="Arial" w:cs="Arial"/>
          <w:lang w:val="en-GB"/>
        </w:rPr>
        <w:t>Marais 2021b</w:t>
      </w:r>
      <w:r w:rsidRPr="00635917">
        <w:rPr>
          <w:rFonts w:ascii="Arial" w:hAnsi="Arial" w:cs="Arial"/>
          <w:lang w:val="en-GB"/>
        </w:rPr>
        <w:t>:225.</w:t>
      </w:r>
    </w:p>
  </w:footnote>
  <w:footnote w:id="25">
    <w:p w14:paraId="70995A99" w14:textId="603176AC" w:rsidR="00E76BB2" w:rsidRPr="00635917" w:rsidRDefault="00E76BB2" w:rsidP="00E76BB2">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t>Marais 2021b:</w:t>
      </w:r>
      <w:r w:rsidRPr="00635917">
        <w:rPr>
          <w:rFonts w:ascii="Arial" w:hAnsi="Arial" w:cs="Arial"/>
        </w:rPr>
        <w:t>225;</w:t>
      </w:r>
      <w:r>
        <w:rPr>
          <w:rFonts w:ascii="Arial" w:hAnsi="Arial" w:cs="Arial"/>
        </w:rPr>
        <w:t xml:space="preserve"> </w:t>
      </w:r>
      <w:r w:rsidRPr="008F6501">
        <w:rPr>
          <w:rFonts w:ascii="Arial" w:hAnsi="Arial" w:cs="Arial"/>
        </w:rPr>
        <w:t xml:space="preserve">Muller </w:t>
      </w:r>
      <w:r w:rsidRPr="008F6501">
        <w:rPr>
          <w:rFonts w:ascii="Arial" w:hAnsi="Arial" w:cs="Arial"/>
          <w:i/>
        </w:rPr>
        <w:t>et al</w:t>
      </w:r>
      <w:r w:rsidRPr="008F6501">
        <w:rPr>
          <w:rFonts w:ascii="Arial" w:hAnsi="Arial" w:cs="Arial"/>
        </w:rPr>
        <w:t xml:space="preserve"> 2019</w:t>
      </w:r>
      <w:r w:rsidR="00E11AEB" w:rsidRPr="008F6501">
        <w:rPr>
          <w:rFonts w:ascii="Arial" w:hAnsi="Arial" w:cs="Arial"/>
        </w:rPr>
        <w:t>b</w:t>
      </w:r>
      <w:r w:rsidRPr="008F6501">
        <w:rPr>
          <w:rFonts w:ascii="Arial" w:hAnsi="Arial" w:cs="Arial"/>
        </w:rPr>
        <w:t>:342.</w:t>
      </w:r>
    </w:p>
  </w:footnote>
  <w:footnote w:id="26">
    <w:p w14:paraId="4635875C" w14:textId="77777777" w:rsidR="00E76BB2" w:rsidRPr="00F0768F" w:rsidRDefault="00E76BB2" w:rsidP="00E76BB2">
      <w:pPr>
        <w:pStyle w:val="FootnoteText"/>
        <w:ind w:left="357" w:hanging="357"/>
        <w:jc w:val="both"/>
        <w:rPr>
          <w:rFonts w:ascii="Arial" w:hAnsi="Arial" w:cs="Arial"/>
          <w:lang w:val="de-DE"/>
        </w:rPr>
      </w:pPr>
      <w:r w:rsidRPr="00F0768F">
        <w:rPr>
          <w:rStyle w:val="FootnoteReference"/>
          <w:rFonts w:ascii="Arial" w:hAnsi="Arial" w:cs="Arial"/>
        </w:rPr>
        <w:footnoteRef/>
      </w:r>
      <w:r w:rsidRPr="00F0768F">
        <w:rPr>
          <w:rFonts w:ascii="Arial" w:hAnsi="Arial" w:cs="Arial"/>
          <w:lang w:val="de-DE"/>
        </w:rPr>
        <w:t xml:space="preserve"> </w:t>
      </w:r>
      <w:r w:rsidRPr="00F0768F">
        <w:rPr>
          <w:rFonts w:ascii="Arial" w:hAnsi="Arial" w:cs="Arial"/>
          <w:lang w:val="de-DE"/>
        </w:rPr>
        <w:tab/>
        <w:t>Boggenpoel 2017:120.</w:t>
      </w:r>
    </w:p>
  </w:footnote>
  <w:footnote w:id="27">
    <w:p w14:paraId="0E969DEE" w14:textId="64A2964C" w:rsidR="00E76BB2" w:rsidRPr="00F0768F" w:rsidRDefault="00E76BB2" w:rsidP="00E76BB2">
      <w:pPr>
        <w:pStyle w:val="FootnoteText"/>
        <w:ind w:left="357" w:hanging="357"/>
        <w:jc w:val="both"/>
        <w:rPr>
          <w:rFonts w:ascii="Arial" w:hAnsi="Arial" w:cs="Arial"/>
          <w:lang w:val="de-DE"/>
        </w:rPr>
      </w:pPr>
      <w:r w:rsidRPr="00F0768F">
        <w:rPr>
          <w:rStyle w:val="FootnoteReference"/>
          <w:rFonts w:ascii="Arial" w:hAnsi="Arial" w:cs="Arial"/>
        </w:rPr>
        <w:footnoteRef/>
      </w:r>
      <w:r w:rsidRPr="00F0768F">
        <w:rPr>
          <w:rFonts w:ascii="Arial" w:hAnsi="Arial" w:cs="Arial"/>
          <w:lang w:val="de-DE"/>
        </w:rPr>
        <w:t xml:space="preserve"> </w:t>
      </w:r>
      <w:r w:rsidRPr="00F0768F">
        <w:rPr>
          <w:rFonts w:ascii="Arial" w:hAnsi="Arial" w:cs="Arial"/>
          <w:lang w:val="de-DE"/>
        </w:rPr>
        <w:tab/>
        <w:t xml:space="preserve">Boggenpoel 2017:120; Muller </w:t>
      </w:r>
      <w:r w:rsidRPr="00F0768F">
        <w:rPr>
          <w:rFonts w:ascii="Arial" w:hAnsi="Arial" w:cs="Arial"/>
          <w:i/>
          <w:lang w:val="de-DE"/>
        </w:rPr>
        <w:t>et al</w:t>
      </w:r>
      <w:r w:rsidRPr="00F0768F">
        <w:rPr>
          <w:rFonts w:ascii="Arial" w:hAnsi="Arial" w:cs="Arial"/>
          <w:lang w:val="de-DE"/>
        </w:rPr>
        <w:t xml:space="preserve"> 2019</w:t>
      </w:r>
      <w:r w:rsidR="00E11AEB" w:rsidRPr="00F0768F">
        <w:rPr>
          <w:rFonts w:ascii="Arial" w:hAnsi="Arial" w:cs="Arial"/>
          <w:lang w:val="de-DE"/>
        </w:rPr>
        <w:t>b</w:t>
      </w:r>
      <w:r w:rsidRPr="00F0768F">
        <w:rPr>
          <w:rFonts w:ascii="Arial" w:hAnsi="Arial" w:cs="Arial"/>
          <w:lang w:val="de-DE"/>
        </w:rPr>
        <w:t>:342.</w:t>
      </w:r>
    </w:p>
  </w:footnote>
  <w:footnote w:id="28">
    <w:p w14:paraId="788B4B27" w14:textId="2AFEE4C5" w:rsidR="0007248B" w:rsidRPr="00F0768F" w:rsidRDefault="0007248B" w:rsidP="009E6526">
      <w:pPr>
        <w:pStyle w:val="FootnoteText"/>
        <w:ind w:left="357" w:hanging="357"/>
        <w:jc w:val="both"/>
        <w:rPr>
          <w:rFonts w:ascii="Arial" w:hAnsi="Arial" w:cs="Arial"/>
          <w:lang w:val="en-GB"/>
        </w:rPr>
      </w:pPr>
      <w:r w:rsidRPr="00F0768F">
        <w:rPr>
          <w:rStyle w:val="FootnoteReference"/>
          <w:rFonts w:ascii="Arial" w:hAnsi="Arial" w:cs="Arial"/>
        </w:rPr>
        <w:footnoteRef/>
      </w:r>
      <w:r w:rsidRPr="00F0768F">
        <w:rPr>
          <w:rFonts w:ascii="Arial" w:hAnsi="Arial" w:cs="Arial"/>
        </w:rPr>
        <w:t xml:space="preserve">   </w:t>
      </w:r>
      <w:r w:rsidR="00A41882">
        <w:rPr>
          <w:rFonts w:ascii="Arial" w:hAnsi="Arial" w:cs="Arial"/>
        </w:rPr>
        <w:t xml:space="preserve"> </w:t>
      </w:r>
      <w:r w:rsidRPr="00F0768F">
        <w:rPr>
          <w:rFonts w:ascii="Arial" w:hAnsi="Arial" w:cs="Arial"/>
          <w:lang w:val="en-GB"/>
        </w:rPr>
        <w:t>Marais 2021b:224, 232.</w:t>
      </w:r>
    </w:p>
  </w:footnote>
  <w:footnote w:id="29">
    <w:p w14:paraId="73D1AA50" w14:textId="1427A320" w:rsidR="00E76BB2" w:rsidRPr="00F0768F" w:rsidRDefault="00E76BB2" w:rsidP="00E76BB2">
      <w:pPr>
        <w:pStyle w:val="FootnoteText"/>
        <w:ind w:left="357" w:hanging="357"/>
        <w:jc w:val="both"/>
        <w:rPr>
          <w:rFonts w:ascii="Arial" w:hAnsi="Arial" w:cs="Arial"/>
          <w:lang w:val="en-GB"/>
        </w:rPr>
      </w:pPr>
      <w:r w:rsidRPr="00F0768F">
        <w:rPr>
          <w:rStyle w:val="FootnoteReference"/>
          <w:rFonts w:ascii="Arial" w:hAnsi="Arial" w:cs="Arial"/>
        </w:rPr>
        <w:footnoteRef/>
      </w:r>
      <w:r w:rsidRPr="00F0768F">
        <w:rPr>
          <w:rFonts w:ascii="Arial" w:hAnsi="Arial" w:cs="Arial"/>
        </w:rPr>
        <w:t xml:space="preserve"> </w:t>
      </w:r>
      <w:r w:rsidRPr="00F0768F">
        <w:rPr>
          <w:rFonts w:ascii="Arial" w:hAnsi="Arial" w:cs="Arial"/>
        </w:rPr>
        <w:tab/>
      </w:r>
      <w:r w:rsidRPr="00F0768F">
        <w:rPr>
          <w:rFonts w:ascii="Arial" w:hAnsi="Arial" w:cs="Arial"/>
          <w:lang w:val="en-GB"/>
        </w:rPr>
        <w:t>Marais 2021b:224, 232.</w:t>
      </w:r>
      <w:r w:rsidR="00BB7210" w:rsidRPr="00F0768F">
        <w:rPr>
          <w:rFonts w:ascii="Arial" w:hAnsi="Arial" w:cs="Arial"/>
          <w:lang w:val="en-GB"/>
        </w:rPr>
        <w:t xml:space="preserve"> </w:t>
      </w:r>
    </w:p>
  </w:footnote>
  <w:footnote w:id="30">
    <w:p w14:paraId="4D7FAEB5" w14:textId="77777777" w:rsidR="00E76BB2" w:rsidRPr="00F0768F" w:rsidRDefault="00E76BB2" w:rsidP="00E76BB2">
      <w:pPr>
        <w:pStyle w:val="FootnoteText"/>
        <w:ind w:left="357" w:hanging="357"/>
        <w:jc w:val="both"/>
        <w:rPr>
          <w:rFonts w:ascii="Arial" w:hAnsi="Arial" w:cs="Arial"/>
          <w:lang w:val="en-GB"/>
        </w:rPr>
      </w:pPr>
      <w:r w:rsidRPr="00F0768F">
        <w:rPr>
          <w:rStyle w:val="FootnoteReference"/>
          <w:rFonts w:ascii="Arial" w:hAnsi="Arial" w:cs="Arial"/>
        </w:rPr>
        <w:footnoteRef/>
      </w:r>
      <w:r w:rsidRPr="00F0768F">
        <w:rPr>
          <w:rFonts w:ascii="Arial" w:hAnsi="Arial" w:cs="Arial"/>
        </w:rPr>
        <w:t xml:space="preserve"> </w:t>
      </w:r>
      <w:r w:rsidRPr="00F0768F">
        <w:rPr>
          <w:rFonts w:ascii="Arial" w:hAnsi="Arial" w:cs="Arial"/>
        </w:rPr>
        <w:tab/>
      </w:r>
      <w:r w:rsidRPr="00F0768F">
        <w:rPr>
          <w:rFonts w:ascii="Arial" w:hAnsi="Arial" w:cs="Arial"/>
          <w:lang w:val="en-GB"/>
        </w:rPr>
        <w:t>Marais 2021a:97; Marais 2021b:224.</w:t>
      </w:r>
    </w:p>
  </w:footnote>
  <w:footnote w:id="31">
    <w:p w14:paraId="5A6F5947" w14:textId="393031FB" w:rsidR="009E6526" w:rsidRPr="00F0768F" w:rsidRDefault="009E6526">
      <w:pPr>
        <w:pStyle w:val="FootnoteText"/>
        <w:rPr>
          <w:rFonts w:ascii="Arial" w:hAnsi="Arial" w:cs="Arial"/>
        </w:rPr>
      </w:pPr>
      <w:r w:rsidRPr="00F0768F">
        <w:rPr>
          <w:rStyle w:val="FootnoteReference"/>
          <w:rFonts w:ascii="Arial" w:hAnsi="Arial" w:cs="Arial"/>
        </w:rPr>
        <w:footnoteRef/>
      </w:r>
      <w:r w:rsidRPr="00F0768F">
        <w:rPr>
          <w:rFonts w:ascii="Arial" w:hAnsi="Arial" w:cs="Arial"/>
        </w:rPr>
        <w:t xml:space="preserve">   </w:t>
      </w:r>
      <w:r w:rsidR="00DF587F">
        <w:rPr>
          <w:rFonts w:ascii="Arial" w:hAnsi="Arial" w:cs="Arial"/>
        </w:rPr>
        <w:t xml:space="preserve"> </w:t>
      </w:r>
      <w:r w:rsidRPr="00F0768F">
        <w:rPr>
          <w:rFonts w:ascii="Arial" w:hAnsi="Arial" w:cs="Arial"/>
          <w:i/>
        </w:rPr>
        <w:t xml:space="preserve">Makeshift 1190 (Pty) Ltd v </w:t>
      </w:r>
      <w:proofErr w:type="spellStart"/>
      <w:r w:rsidRPr="00F0768F">
        <w:rPr>
          <w:rFonts w:ascii="Arial" w:hAnsi="Arial" w:cs="Arial"/>
          <w:i/>
        </w:rPr>
        <w:t>Cilliers</w:t>
      </w:r>
      <w:r w:rsidRPr="00F0768F">
        <w:rPr>
          <w:rFonts w:ascii="Arial" w:hAnsi="Arial" w:cs="Arial"/>
        </w:rPr>
        <w:t>:par</w:t>
      </w:r>
      <w:proofErr w:type="spellEnd"/>
      <w:r w:rsidRPr="00F0768F">
        <w:rPr>
          <w:rFonts w:ascii="Arial" w:hAnsi="Arial" w:cs="Arial"/>
        </w:rPr>
        <w:t>. 34.</w:t>
      </w:r>
    </w:p>
  </w:footnote>
  <w:footnote w:id="32">
    <w:p w14:paraId="365E221B" w14:textId="2FF484E5" w:rsidR="00E76BB2" w:rsidRPr="00F0768F" w:rsidRDefault="00E76BB2" w:rsidP="00E76BB2">
      <w:pPr>
        <w:pStyle w:val="FootnoteText"/>
        <w:ind w:left="357" w:hanging="357"/>
        <w:jc w:val="both"/>
        <w:rPr>
          <w:rFonts w:ascii="Arial" w:hAnsi="Arial" w:cs="Arial"/>
          <w:lang w:val="en-GB"/>
        </w:rPr>
      </w:pPr>
      <w:r w:rsidRPr="00F0768F">
        <w:rPr>
          <w:rStyle w:val="FootnoteReference"/>
          <w:rFonts w:ascii="Arial" w:hAnsi="Arial" w:cs="Arial"/>
        </w:rPr>
        <w:footnoteRef/>
      </w:r>
      <w:r w:rsidRPr="00F0768F">
        <w:rPr>
          <w:rFonts w:ascii="Arial" w:hAnsi="Arial" w:cs="Arial"/>
        </w:rPr>
        <w:t xml:space="preserve"> </w:t>
      </w:r>
      <w:r w:rsidR="005A3E5F" w:rsidRPr="00F0768F">
        <w:rPr>
          <w:rFonts w:ascii="Arial" w:hAnsi="Arial" w:cs="Arial"/>
        </w:rPr>
        <w:tab/>
      </w:r>
      <w:r w:rsidRPr="00F0768F">
        <w:rPr>
          <w:rFonts w:ascii="Arial" w:hAnsi="Arial" w:cs="Arial"/>
          <w:lang w:val="en-GB"/>
        </w:rPr>
        <w:t>Marais 2021a:97, 92.</w:t>
      </w:r>
    </w:p>
  </w:footnote>
  <w:footnote w:id="33">
    <w:p w14:paraId="544F432B" w14:textId="1951BA49" w:rsidR="00E76BB2" w:rsidRPr="00635917" w:rsidRDefault="00E76BB2" w:rsidP="00E76BB2">
      <w:pPr>
        <w:pStyle w:val="FootnoteText"/>
        <w:ind w:left="357" w:hanging="357"/>
        <w:jc w:val="both"/>
        <w:rPr>
          <w:lang w:val="en-GB"/>
        </w:rPr>
      </w:pPr>
      <w:r w:rsidRPr="00F0768F">
        <w:rPr>
          <w:rStyle w:val="FootnoteReference"/>
          <w:rFonts w:ascii="Arial" w:hAnsi="Arial" w:cs="Arial"/>
        </w:rPr>
        <w:footnoteRef/>
      </w:r>
      <w:r w:rsidR="00B37317" w:rsidRPr="00F0768F">
        <w:rPr>
          <w:rFonts w:ascii="Arial" w:hAnsi="Arial" w:cs="Arial"/>
        </w:rPr>
        <w:t xml:space="preserve"> </w:t>
      </w:r>
      <w:r w:rsidR="00B37317" w:rsidRPr="00F0768F">
        <w:rPr>
          <w:rFonts w:ascii="Arial" w:hAnsi="Arial" w:cs="Arial"/>
        </w:rPr>
        <w:tab/>
      </w:r>
      <w:r w:rsidRPr="00F0768F">
        <w:rPr>
          <w:rFonts w:ascii="Arial" w:hAnsi="Arial" w:cs="Arial"/>
          <w:lang w:val="en-GB"/>
        </w:rPr>
        <w:t>Marais 2021a:99.</w:t>
      </w:r>
    </w:p>
  </w:footnote>
  <w:footnote w:id="34">
    <w:p w14:paraId="1B252FCC" w14:textId="77777777" w:rsidR="003338A4" w:rsidRPr="00635917" w:rsidRDefault="003338A4" w:rsidP="003338A4">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F4017B">
        <w:rPr>
          <w:rFonts w:ascii="Arial" w:hAnsi="Arial" w:cs="Arial"/>
          <w:i/>
          <w:iCs/>
          <w:lang w:val="en-GB"/>
        </w:rPr>
        <w:t>Constitution</w:t>
      </w:r>
      <w:r>
        <w:rPr>
          <w:rFonts w:ascii="Arial" w:hAnsi="Arial" w:cs="Arial"/>
          <w:lang w:val="en-GB"/>
        </w:rPr>
        <w:t>:</w:t>
      </w:r>
      <w:r w:rsidRPr="00635917">
        <w:rPr>
          <w:rFonts w:ascii="Arial" w:hAnsi="Arial" w:cs="Arial"/>
          <w:lang w:val="en-GB"/>
        </w:rPr>
        <w:t>sec</w:t>
      </w:r>
      <w:proofErr w:type="spellEnd"/>
      <w:r>
        <w:rPr>
          <w:rFonts w:ascii="Arial" w:hAnsi="Arial" w:cs="Arial"/>
          <w:lang w:val="en-GB"/>
        </w:rPr>
        <w:t>.</w:t>
      </w:r>
      <w:r w:rsidRPr="00635917">
        <w:rPr>
          <w:rFonts w:ascii="Arial" w:hAnsi="Arial" w:cs="Arial"/>
          <w:lang w:val="en-GB"/>
        </w:rPr>
        <w:t xml:space="preserve"> 1(c). See </w:t>
      </w:r>
      <w:r>
        <w:rPr>
          <w:rFonts w:ascii="Arial" w:hAnsi="Arial" w:cs="Arial"/>
          <w:lang w:val="en-GB"/>
        </w:rPr>
        <w:t>Marais</w:t>
      </w:r>
      <w:r w:rsidRPr="00635917">
        <w:rPr>
          <w:rFonts w:ascii="Arial" w:hAnsi="Arial" w:cs="Arial"/>
          <w:lang w:val="en-GB"/>
        </w:rPr>
        <w:t xml:space="preserve"> 2021</w:t>
      </w:r>
      <w:r>
        <w:rPr>
          <w:rFonts w:ascii="Arial" w:hAnsi="Arial" w:cs="Arial"/>
          <w:lang w:val="en-GB"/>
        </w:rPr>
        <w:t>a</w:t>
      </w:r>
      <w:r w:rsidRPr="00635917">
        <w:rPr>
          <w:rFonts w:ascii="Arial" w:hAnsi="Arial" w:cs="Arial"/>
          <w:lang w:val="en-GB"/>
        </w:rPr>
        <w:t>:100.</w:t>
      </w:r>
    </w:p>
  </w:footnote>
  <w:footnote w:id="35">
    <w:p w14:paraId="7CA77521" w14:textId="05515F41" w:rsidR="003338A4" w:rsidRPr="009E6526" w:rsidRDefault="003338A4" w:rsidP="003338A4">
      <w:pPr>
        <w:pStyle w:val="FootnoteText"/>
        <w:ind w:left="357" w:hanging="357"/>
        <w:jc w:val="both"/>
        <w:rPr>
          <w:rFonts w:ascii="Arial" w:hAnsi="Arial" w:cs="Arial"/>
          <w:lang w:val="de-DE"/>
        </w:rPr>
      </w:pPr>
      <w:r w:rsidRPr="00635917">
        <w:rPr>
          <w:rStyle w:val="FootnoteReference"/>
        </w:rPr>
        <w:footnoteRef/>
      </w:r>
      <w:r w:rsidRPr="009E6526">
        <w:rPr>
          <w:lang w:val="de-DE"/>
        </w:rPr>
        <w:t xml:space="preserve"> </w:t>
      </w:r>
      <w:r w:rsidRPr="009E6526">
        <w:rPr>
          <w:lang w:val="de-DE"/>
        </w:rPr>
        <w:tab/>
      </w:r>
      <w:r w:rsidRPr="009E6526">
        <w:rPr>
          <w:rFonts w:ascii="Arial" w:hAnsi="Arial" w:cs="Arial"/>
          <w:lang w:val="de-DE"/>
        </w:rPr>
        <w:t>Boggenpoel 2017:108;</w:t>
      </w:r>
      <w:r w:rsidRPr="009E6526">
        <w:rPr>
          <w:lang w:val="de-DE"/>
        </w:rPr>
        <w:t xml:space="preserve"> </w:t>
      </w:r>
      <w:r w:rsidRPr="009E6526">
        <w:rPr>
          <w:rFonts w:ascii="Arial" w:hAnsi="Arial" w:cs="Arial"/>
          <w:lang w:val="de-DE"/>
        </w:rPr>
        <w:t xml:space="preserve">Muller </w:t>
      </w:r>
      <w:r w:rsidRPr="009E6526">
        <w:rPr>
          <w:rFonts w:ascii="Arial" w:hAnsi="Arial" w:cs="Arial"/>
          <w:i/>
          <w:lang w:val="de-DE"/>
        </w:rPr>
        <w:t>et al</w:t>
      </w:r>
      <w:r w:rsidRPr="009E6526">
        <w:rPr>
          <w:rFonts w:ascii="Arial" w:hAnsi="Arial" w:cs="Arial"/>
          <w:lang w:val="de-DE"/>
        </w:rPr>
        <w:t xml:space="preserve"> 2019</w:t>
      </w:r>
      <w:r w:rsidR="00E11AEB" w:rsidRPr="009E6526">
        <w:rPr>
          <w:rFonts w:ascii="Arial" w:hAnsi="Arial" w:cs="Arial"/>
          <w:lang w:val="de-DE"/>
        </w:rPr>
        <w:t>b</w:t>
      </w:r>
      <w:r w:rsidRPr="009E6526">
        <w:rPr>
          <w:rFonts w:ascii="Arial" w:hAnsi="Arial" w:cs="Arial"/>
          <w:lang w:val="de-DE"/>
        </w:rPr>
        <w:t xml:space="preserve">:337-338. </w:t>
      </w:r>
    </w:p>
  </w:footnote>
  <w:footnote w:id="36">
    <w:p w14:paraId="76DF63A7" w14:textId="77777777" w:rsidR="003338A4" w:rsidRPr="00635917" w:rsidRDefault="003338A4" w:rsidP="003338A4">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Makeshift 1190 (Pty) Ltd v Cilliers</w:t>
      </w:r>
      <w:r w:rsidRPr="00635917">
        <w:rPr>
          <w:rFonts w:ascii="Arial" w:hAnsi="Arial" w:cs="Arial"/>
        </w:rPr>
        <w:t xml:space="preserve"> 2020 (5) SA 538 (WCC):</w:t>
      </w:r>
      <w:r w:rsidRPr="00635917">
        <w:rPr>
          <w:rFonts w:ascii="Arial" w:hAnsi="Arial" w:cs="Arial"/>
          <w:lang w:val="en-GB"/>
        </w:rPr>
        <w:t>par 25.</w:t>
      </w:r>
    </w:p>
  </w:footnote>
  <w:footnote w:id="37">
    <w:p w14:paraId="72FEECA2" w14:textId="77777777" w:rsidR="003338A4" w:rsidRPr="00635917" w:rsidRDefault="003338A4" w:rsidP="003338A4">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Makeshift 1190 (Pty) Ltd v </w:t>
      </w:r>
      <w:proofErr w:type="spellStart"/>
      <w:r w:rsidRPr="00635917">
        <w:rPr>
          <w:rFonts w:ascii="Arial" w:hAnsi="Arial" w:cs="Arial"/>
          <w:i/>
        </w:rPr>
        <w:t>Cilliers</w:t>
      </w:r>
      <w:r w:rsidRPr="00635917">
        <w:rPr>
          <w:rFonts w:ascii="Arial" w:hAnsi="Arial" w:cs="Arial"/>
        </w:rPr>
        <w:t>:</w:t>
      </w:r>
      <w:r>
        <w:rPr>
          <w:rFonts w:ascii="Arial" w:hAnsi="Arial" w:cs="Arial"/>
        </w:rPr>
        <w:t>par</w:t>
      </w:r>
      <w:proofErr w:type="spellEnd"/>
      <w:r>
        <w:rPr>
          <w:rFonts w:ascii="Arial" w:hAnsi="Arial" w:cs="Arial"/>
        </w:rPr>
        <w:t xml:space="preserve">. </w:t>
      </w:r>
      <w:r w:rsidRPr="00635917">
        <w:rPr>
          <w:rFonts w:ascii="Arial" w:hAnsi="Arial" w:cs="Arial"/>
        </w:rPr>
        <w:t xml:space="preserve">24. See </w:t>
      </w:r>
      <w:r>
        <w:rPr>
          <w:rFonts w:ascii="Arial" w:hAnsi="Arial" w:cs="Arial"/>
          <w:lang w:val="en-GB"/>
        </w:rPr>
        <w:t>Marais 2021a</w:t>
      </w:r>
      <w:r w:rsidRPr="00635917">
        <w:rPr>
          <w:rFonts w:ascii="Arial" w:hAnsi="Arial" w:cs="Arial"/>
          <w:lang w:val="en-GB"/>
        </w:rPr>
        <w:t>:92.</w:t>
      </w:r>
    </w:p>
  </w:footnote>
  <w:footnote w:id="38">
    <w:p w14:paraId="38C90381" w14:textId="77777777" w:rsidR="003338A4" w:rsidRPr="00635917" w:rsidRDefault="003338A4" w:rsidP="003338A4">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Makeshift 1190 (Pty) Ltd v </w:t>
      </w:r>
      <w:proofErr w:type="spellStart"/>
      <w:r w:rsidRPr="00635917">
        <w:rPr>
          <w:rFonts w:ascii="Arial" w:hAnsi="Arial" w:cs="Arial"/>
          <w:i/>
        </w:rPr>
        <w:t>Cilliers</w:t>
      </w:r>
      <w:r w:rsidRPr="00635917">
        <w:rPr>
          <w:rFonts w:ascii="Arial" w:hAnsi="Arial" w:cs="Arial"/>
        </w:rPr>
        <w:t>:</w:t>
      </w:r>
      <w:r>
        <w:rPr>
          <w:rFonts w:ascii="Arial" w:hAnsi="Arial" w:cs="Arial"/>
        </w:rPr>
        <w:t>par</w:t>
      </w:r>
      <w:proofErr w:type="spellEnd"/>
      <w:r>
        <w:rPr>
          <w:rFonts w:ascii="Arial" w:hAnsi="Arial" w:cs="Arial"/>
        </w:rPr>
        <w:t xml:space="preserve">. </w:t>
      </w:r>
      <w:r w:rsidRPr="00635917">
        <w:rPr>
          <w:rFonts w:ascii="Arial" w:hAnsi="Arial" w:cs="Arial"/>
        </w:rPr>
        <w:t>38.</w:t>
      </w:r>
    </w:p>
  </w:footnote>
  <w:footnote w:id="39">
    <w:p w14:paraId="1298410F" w14:textId="77777777" w:rsidR="003338A4" w:rsidRPr="00635917" w:rsidRDefault="003338A4" w:rsidP="003338A4">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Makeshift 1190 (Pty) Ltd v </w:t>
      </w:r>
      <w:proofErr w:type="spellStart"/>
      <w:r w:rsidRPr="00635917">
        <w:rPr>
          <w:rFonts w:ascii="Arial" w:hAnsi="Arial" w:cs="Arial"/>
          <w:i/>
        </w:rPr>
        <w:t>Cilliers</w:t>
      </w:r>
      <w:r>
        <w:rPr>
          <w:rFonts w:ascii="Arial" w:hAnsi="Arial" w:cs="Arial"/>
        </w:rPr>
        <w:t>:par</w:t>
      </w:r>
      <w:proofErr w:type="spellEnd"/>
      <w:r>
        <w:rPr>
          <w:rFonts w:ascii="Arial" w:hAnsi="Arial" w:cs="Arial"/>
        </w:rPr>
        <w:t>.</w:t>
      </w:r>
      <w:r>
        <w:rPr>
          <w:rFonts w:ascii="Arial" w:hAnsi="Arial" w:cs="Arial"/>
          <w:lang w:val="en-GB"/>
        </w:rPr>
        <w:t xml:space="preserve"> </w:t>
      </w:r>
      <w:r w:rsidRPr="00635917">
        <w:rPr>
          <w:rFonts w:ascii="Arial" w:hAnsi="Arial" w:cs="Arial"/>
          <w:lang w:val="en-GB"/>
        </w:rPr>
        <w:t>33, 34, 37, 38.</w:t>
      </w:r>
    </w:p>
  </w:footnote>
  <w:footnote w:id="40">
    <w:p w14:paraId="7604A414" w14:textId="77777777" w:rsidR="003338A4" w:rsidRPr="00635917" w:rsidRDefault="003338A4" w:rsidP="003338A4">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i/>
          <w:iCs/>
        </w:rPr>
        <w:t>Lateovitsa</w:t>
      </w:r>
      <w:proofErr w:type="spellEnd"/>
      <w:r w:rsidRPr="00635917">
        <w:rPr>
          <w:rFonts w:ascii="Arial" w:hAnsi="Arial" w:cs="Arial"/>
          <w:i/>
          <w:iCs/>
        </w:rPr>
        <w:t xml:space="preserve"> (Pty) Ltd and Others v Ekurhuleni Metropolitan Municipality and Another</w:t>
      </w:r>
      <w:r w:rsidRPr="00635917">
        <w:rPr>
          <w:rFonts w:ascii="Arial" w:hAnsi="Arial" w:cs="Arial"/>
        </w:rPr>
        <w:t xml:space="preserve"> [2023] ZAGPJHC 163.</w:t>
      </w:r>
    </w:p>
  </w:footnote>
  <w:footnote w:id="41">
    <w:p w14:paraId="2B1785FC" w14:textId="77777777" w:rsidR="003338A4" w:rsidRPr="00635917" w:rsidRDefault="003338A4" w:rsidP="003338A4">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i/>
          <w:iCs/>
        </w:rPr>
        <w:t>Lateovitsa</w:t>
      </w:r>
      <w:proofErr w:type="spellEnd"/>
      <w:r w:rsidRPr="00635917">
        <w:rPr>
          <w:rFonts w:ascii="Arial" w:hAnsi="Arial" w:cs="Arial"/>
          <w:i/>
          <w:iCs/>
        </w:rPr>
        <w:t xml:space="preserve"> (Pty) Ltd and Others v Ekurhuleni Metropolitan Municipality and Another</w:t>
      </w:r>
      <w:r>
        <w:rPr>
          <w:rFonts w:ascii="Arial" w:hAnsi="Arial" w:cs="Arial"/>
          <w:lang w:val="en-GB"/>
        </w:rPr>
        <w:t xml:space="preserve">:par. </w:t>
      </w:r>
      <w:r w:rsidRPr="00635917">
        <w:rPr>
          <w:rFonts w:ascii="Arial" w:hAnsi="Arial" w:cs="Arial"/>
          <w:lang w:val="en-GB"/>
        </w:rPr>
        <w:t>14-15.</w:t>
      </w:r>
    </w:p>
  </w:footnote>
  <w:footnote w:id="42">
    <w:p w14:paraId="407BCB9F" w14:textId="77777777" w:rsidR="003338A4" w:rsidRPr="00635917" w:rsidRDefault="003338A4" w:rsidP="003338A4">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r w:rsidRPr="00635917">
        <w:rPr>
          <w:rFonts w:ascii="Arial" w:hAnsi="Arial" w:cs="Arial"/>
          <w:i/>
        </w:rPr>
        <w:t xml:space="preserve">Makeshift 1190 (Pty) Ltd v </w:t>
      </w:r>
      <w:proofErr w:type="spellStart"/>
      <w:r w:rsidRPr="00635917">
        <w:rPr>
          <w:rFonts w:ascii="Arial" w:hAnsi="Arial" w:cs="Arial"/>
          <w:i/>
        </w:rPr>
        <w:t>Cilliers</w:t>
      </w:r>
      <w:r>
        <w:rPr>
          <w:rFonts w:ascii="Arial" w:hAnsi="Arial" w:cs="Arial"/>
        </w:rPr>
        <w:t>:par</w:t>
      </w:r>
      <w:proofErr w:type="spellEnd"/>
      <w:r>
        <w:rPr>
          <w:rFonts w:ascii="Arial" w:hAnsi="Arial" w:cs="Arial"/>
        </w:rPr>
        <w:t>.</w:t>
      </w:r>
      <w:r>
        <w:rPr>
          <w:rFonts w:ascii="Arial" w:hAnsi="Arial" w:cs="Arial"/>
          <w:lang w:val="en-GB"/>
        </w:rPr>
        <w:t xml:space="preserve"> </w:t>
      </w:r>
      <w:r w:rsidRPr="00635917">
        <w:rPr>
          <w:rFonts w:ascii="Arial" w:hAnsi="Arial" w:cs="Arial"/>
          <w:lang w:val="en-GB"/>
        </w:rPr>
        <w:t>33.</w:t>
      </w:r>
    </w:p>
  </w:footnote>
  <w:footnote w:id="43">
    <w:p w14:paraId="3699FCE5" w14:textId="32377AF6"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6810">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1993:49.</w:t>
      </w:r>
    </w:p>
  </w:footnote>
  <w:footnote w:id="44">
    <w:p w14:paraId="4C87B5FB" w14:textId="34363B71" w:rsidR="004E3EF9" w:rsidRPr="007E1471" w:rsidRDefault="004E3EF9"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lang w:val="de-DE"/>
        </w:rPr>
        <w:t xml:space="preserve"> </w:t>
      </w:r>
      <w:r w:rsidR="00CF6810">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1993:49. </w:t>
      </w:r>
      <w:r w:rsidRPr="00635917">
        <w:rPr>
          <w:rFonts w:ascii="Arial" w:hAnsi="Arial" w:cs="Arial"/>
          <w:lang w:val="en-GB"/>
        </w:rPr>
        <w:t xml:space="preserve">Roman law viewed possession as a mere factual relationship between a person and a thing </w:t>
      </w:r>
      <w:r w:rsidR="00CF4EDC">
        <w:rPr>
          <w:rFonts w:ascii="Arial" w:hAnsi="Arial" w:cs="Arial"/>
          <w:lang w:val="en-GB"/>
        </w:rPr>
        <w:t>to</w:t>
      </w:r>
      <w:r w:rsidRPr="00635917">
        <w:rPr>
          <w:rFonts w:ascii="Arial" w:hAnsi="Arial" w:cs="Arial"/>
          <w:lang w:val="en-GB"/>
        </w:rPr>
        <w:t xml:space="preserve"> which the law attaches significant legal consequences (Van der Merwe &amp; </w:t>
      </w:r>
      <w:r w:rsidR="00863355">
        <w:rPr>
          <w:rFonts w:ascii="Arial" w:hAnsi="Arial" w:cs="Arial"/>
          <w:lang w:val="en-GB"/>
        </w:rPr>
        <w:t>De Waal</w:t>
      </w:r>
      <w:r w:rsidRPr="00635917">
        <w:rPr>
          <w:rFonts w:ascii="Arial" w:hAnsi="Arial" w:cs="Arial"/>
          <w:lang w:val="en-GB"/>
        </w:rPr>
        <w:t xml:space="preserve"> 1993:50). Notwithstanding the fact that this view was much debated by old writers - with Grotius and Voet maintaining that possessors obtained a real right to the thing by merely being in possession, while Van der Linden and Huber rejected it - It nonetheless still finds relevance today in South African law (Thomas </w:t>
      </w:r>
      <w:r w:rsidRPr="00635917">
        <w:rPr>
          <w:rFonts w:ascii="Arial" w:hAnsi="Arial" w:cs="Arial"/>
          <w:i/>
          <w:lang w:val="en-GB"/>
        </w:rPr>
        <w:t>et al</w:t>
      </w:r>
      <w:r w:rsidRPr="00635917">
        <w:rPr>
          <w:rFonts w:ascii="Arial" w:hAnsi="Arial" w:cs="Arial"/>
          <w:lang w:val="en-GB"/>
        </w:rPr>
        <w:t xml:space="preserve"> 2000:148; Van der Merwe &amp; </w:t>
      </w:r>
      <w:r w:rsidR="00863355">
        <w:rPr>
          <w:rFonts w:ascii="Arial" w:hAnsi="Arial" w:cs="Arial"/>
          <w:lang w:val="en-GB"/>
        </w:rPr>
        <w:t>De Waal</w:t>
      </w:r>
      <w:r w:rsidRPr="00635917">
        <w:rPr>
          <w:rFonts w:ascii="Arial" w:hAnsi="Arial" w:cs="Arial"/>
          <w:lang w:val="en-GB"/>
        </w:rPr>
        <w:t xml:space="preserve"> 1993:50). The favoured approach is that possession should rather be viewed as a supplementary to the law of property. It cannot be viewed as a right </w:t>
      </w:r>
      <w:r w:rsidR="005D6470" w:rsidRPr="00635917">
        <w:rPr>
          <w:rFonts w:ascii="Arial" w:hAnsi="Arial" w:cs="Arial"/>
          <w:lang w:val="en-GB"/>
        </w:rPr>
        <w:t>because</w:t>
      </w:r>
      <w:r w:rsidRPr="00635917">
        <w:rPr>
          <w:rFonts w:ascii="Arial" w:hAnsi="Arial" w:cs="Arial"/>
          <w:lang w:val="en-GB"/>
        </w:rPr>
        <w:t xml:space="preserve"> it is an entitlement flowing from the right, which not only implies a real right. It is also important to note that only a lawful possessor has a right. An unlawful possession cannot entitle a person to a right. This adds to why the spoliation remedy only protects possession and not the right itself. Otherwise, the protection of the unlawful possessor would imply the existence of an unlawful right, which amounts to a contradiction in terms </w:t>
      </w:r>
      <w:r w:rsidRPr="007E1471">
        <w:rPr>
          <w:rFonts w:ascii="Arial" w:hAnsi="Arial" w:cs="Arial"/>
        </w:rPr>
        <w:t xml:space="preserve">(Van der Merwe &amp; </w:t>
      </w:r>
      <w:r w:rsidR="00863355" w:rsidRPr="007E1471">
        <w:rPr>
          <w:rFonts w:ascii="Arial" w:hAnsi="Arial" w:cs="Arial"/>
        </w:rPr>
        <w:t>De Waal</w:t>
      </w:r>
      <w:r w:rsidRPr="007E1471">
        <w:rPr>
          <w:rFonts w:ascii="Arial" w:hAnsi="Arial" w:cs="Arial"/>
        </w:rPr>
        <w:t xml:space="preserve"> 1993:50; Muller </w:t>
      </w:r>
      <w:r w:rsidRPr="007E1471">
        <w:rPr>
          <w:rFonts w:ascii="Arial" w:hAnsi="Arial" w:cs="Arial"/>
          <w:i/>
          <w:iCs/>
        </w:rPr>
        <w:t>et al</w:t>
      </w:r>
      <w:r w:rsidRPr="007E1471">
        <w:rPr>
          <w:rFonts w:ascii="Arial" w:hAnsi="Arial" w:cs="Arial"/>
        </w:rPr>
        <w:t xml:space="preserve"> 2019</w:t>
      </w:r>
      <w:r w:rsidR="00D4172A" w:rsidRPr="007E1471">
        <w:rPr>
          <w:rFonts w:ascii="Arial" w:hAnsi="Arial" w:cs="Arial"/>
        </w:rPr>
        <w:t>b</w:t>
      </w:r>
      <w:r w:rsidRPr="007E1471">
        <w:rPr>
          <w:rFonts w:ascii="Arial" w:hAnsi="Arial" w:cs="Arial"/>
        </w:rPr>
        <w:t>:310).</w:t>
      </w:r>
    </w:p>
  </w:footnote>
  <w:footnote w:id="45">
    <w:p w14:paraId="0D5D4164" w14:textId="17F64F28"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6810">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1993:49.</w:t>
      </w:r>
    </w:p>
  </w:footnote>
  <w:footnote w:id="46">
    <w:p w14:paraId="4DA25FAF" w14:textId="2D17361B" w:rsidR="004E3EF9" w:rsidRPr="00635917" w:rsidRDefault="004E3EF9" w:rsidP="005A3E5F">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5A3E5F">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1993:50.</w:t>
      </w:r>
    </w:p>
  </w:footnote>
  <w:footnote w:id="47">
    <w:p w14:paraId="693DABEA" w14:textId="77A9A6AF" w:rsidR="004E3EF9" w:rsidRPr="00635917" w:rsidRDefault="004E3EF9" w:rsidP="005A3E5F">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863355">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1993:50.</w:t>
      </w:r>
    </w:p>
  </w:footnote>
  <w:footnote w:id="48">
    <w:p w14:paraId="7DF92D0F" w14:textId="426C732C" w:rsidR="004E3EF9" w:rsidRPr="00CC5CF8" w:rsidRDefault="004E3EF9" w:rsidP="005A3E5F">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863355">
        <w:rPr>
          <w:rFonts w:ascii="Arial" w:hAnsi="Arial" w:cs="Arial"/>
          <w:lang w:val="de-DE"/>
        </w:rPr>
        <w:tab/>
      </w:r>
      <w:r w:rsidRPr="00635917">
        <w:rPr>
          <w:rFonts w:ascii="Arial" w:hAnsi="Arial" w:cs="Arial"/>
          <w:lang w:val="de-DE"/>
        </w:rPr>
        <w:t xml:space="preserve">Van der Merwe &amp; </w:t>
      </w:r>
      <w:r w:rsidR="00863355" w:rsidRPr="00CC5CF8">
        <w:rPr>
          <w:rFonts w:ascii="Arial" w:hAnsi="Arial" w:cs="Arial"/>
          <w:lang w:val="de-DE"/>
        </w:rPr>
        <w:t>De Waal</w:t>
      </w:r>
      <w:r w:rsidRPr="00CC5CF8">
        <w:rPr>
          <w:rFonts w:ascii="Arial" w:hAnsi="Arial" w:cs="Arial"/>
          <w:lang w:val="de-DE"/>
        </w:rPr>
        <w:t xml:space="preserve"> 1993:53; Marais 2022:293 &amp; 297.</w:t>
      </w:r>
    </w:p>
  </w:footnote>
  <w:footnote w:id="49">
    <w:p w14:paraId="37A0792D" w14:textId="3B1164FE"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 xml:space="preserve"> 2016 ZALMPPHC 16.</w:t>
      </w:r>
    </w:p>
  </w:footnote>
  <w:footnote w:id="50">
    <w:p w14:paraId="225592E2" w14:textId="54A635A1"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00A55D70" w:rsidRPr="007E1471">
        <w:rPr>
          <w:rFonts w:ascii="Arial" w:hAnsi="Arial" w:cs="Arial"/>
          <w:i/>
          <w:iCs/>
          <w:lang w:val="de-DE"/>
        </w:rPr>
        <w:t>:</w:t>
      </w:r>
      <w:r w:rsidRPr="007E1471">
        <w:rPr>
          <w:rFonts w:ascii="Arial" w:hAnsi="Arial" w:cs="Arial"/>
          <w:lang w:val="de-DE"/>
        </w:rPr>
        <w:t xml:space="preserve"> par</w:t>
      </w:r>
      <w:r w:rsidR="00A55D70" w:rsidRPr="007E1471">
        <w:rPr>
          <w:rFonts w:ascii="Arial" w:hAnsi="Arial" w:cs="Arial"/>
          <w:lang w:val="de-DE"/>
        </w:rPr>
        <w:t>.</w:t>
      </w:r>
      <w:r w:rsidRPr="007E1471">
        <w:rPr>
          <w:rFonts w:ascii="Arial" w:hAnsi="Arial" w:cs="Arial"/>
          <w:lang w:val="de-DE"/>
        </w:rPr>
        <w:t xml:space="preserve"> 3.</w:t>
      </w:r>
    </w:p>
  </w:footnote>
  <w:footnote w:id="51">
    <w:p w14:paraId="47F0B248" w14:textId="7A79E8C6"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5D70" w:rsidRPr="007E1471">
        <w:rPr>
          <w:rFonts w:ascii="Arial" w:hAnsi="Arial" w:cs="Arial"/>
          <w:lang w:val="de-DE"/>
        </w:rPr>
        <w:t>.</w:t>
      </w:r>
      <w:r w:rsidRPr="007E1471">
        <w:rPr>
          <w:rFonts w:ascii="Arial" w:hAnsi="Arial" w:cs="Arial"/>
          <w:lang w:val="de-DE"/>
        </w:rPr>
        <w:t xml:space="preserve"> 4.</w:t>
      </w:r>
    </w:p>
  </w:footnote>
  <w:footnote w:id="52">
    <w:p w14:paraId="77F44740" w14:textId="0A70B133"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5D70" w:rsidRPr="007E1471">
        <w:rPr>
          <w:rFonts w:ascii="Arial" w:hAnsi="Arial" w:cs="Arial"/>
          <w:lang w:val="de-DE"/>
        </w:rPr>
        <w:t>.</w:t>
      </w:r>
      <w:r w:rsidRPr="007E1471">
        <w:rPr>
          <w:rFonts w:ascii="Arial" w:hAnsi="Arial" w:cs="Arial"/>
          <w:lang w:val="de-DE"/>
        </w:rPr>
        <w:t xml:space="preserve"> 5.</w:t>
      </w:r>
    </w:p>
  </w:footnote>
  <w:footnote w:id="53">
    <w:p w14:paraId="715E4CF2" w14:textId="0DAFFFE3"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5D70" w:rsidRPr="007E1471">
        <w:rPr>
          <w:rFonts w:ascii="Arial" w:hAnsi="Arial" w:cs="Arial"/>
          <w:lang w:val="de-DE"/>
        </w:rPr>
        <w:t>.</w:t>
      </w:r>
      <w:r w:rsidRPr="007E1471">
        <w:rPr>
          <w:rFonts w:ascii="Arial" w:hAnsi="Arial" w:cs="Arial"/>
          <w:lang w:val="de-DE"/>
        </w:rPr>
        <w:t xml:space="preserve"> 7.</w:t>
      </w:r>
    </w:p>
  </w:footnote>
  <w:footnote w:id="54">
    <w:p w14:paraId="49BAD2EE" w14:textId="0D4C3130" w:rsidR="00543FA4" w:rsidRPr="007E1471" w:rsidRDefault="00543FA4" w:rsidP="005A3E5F">
      <w:pPr>
        <w:pStyle w:val="FootnoteText"/>
        <w:ind w:left="357" w:hanging="357"/>
        <w:rPr>
          <w:rFonts w:ascii="Arial" w:hAnsi="Arial" w:cs="Arial"/>
          <w:lang w:val="de-DE"/>
        </w:rPr>
      </w:pPr>
      <w:r w:rsidRPr="00A55D70">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5D70" w:rsidRPr="007E1471">
        <w:rPr>
          <w:rFonts w:ascii="Arial" w:hAnsi="Arial" w:cs="Arial"/>
          <w:lang w:val="de-DE"/>
        </w:rPr>
        <w:t>.</w:t>
      </w:r>
      <w:r w:rsidRPr="007E1471">
        <w:rPr>
          <w:rFonts w:ascii="Arial" w:hAnsi="Arial" w:cs="Arial"/>
          <w:lang w:val="de-DE"/>
        </w:rPr>
        <w:t xml:space="preserve"> 8.</w:t>
      </w:r>
    </w:p>
  </w:footnote>
  <w:footnote w:id="55">
    <w:p w14:paraId="1F3AC769" w14:textId="53F878B3" w:rsidR="00543FA4" w:rsidRPr="007E1471" w:rsidRDefault="00543FA4" w:rsidP="005A3E5F">
      <w:pPr>
        <w:pStyle w:val="FootnoteText"/>
        <w:ind w:left="357" w:hanging="357"/>
        <w:rPr>
          <w:lang w:val="de-DE"/>
        </w:rPr>
      </w:pPr>
      <w:r w:rsidRPr="00A56F65">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00A56F65" w:rsidRPr="007E1471">
        <w:rPr>
          <w:rFonts w:ascii="Arial" w:hAnsi="Arial" w:cs="Arial"/>
          <w:i/>
          <w:iCs/>
          <w:lang w:val="de-DE"/>
        </w:rPr>
        <w:t>:</w:t>
      </w:r>
      <w:r w:rsidRPr="007E1471">
        <w:rPr>
          <w:rFonts w:ascii="Arial" w:hAnsi="Arial" w:cs="Arial"/>
          <w:lang w:val="de-DE"/>
        </w:rPr>
        <w:t>paras</w:t>
      </w:r>
      <w:r w:rsidR="00A56F65" w:rsidRPr="007E1471">
        <w:rPr>
          <w:rFonts w:ascii="Arial" w:hAnsi="Arial" w:cs="Arial"/>
          <w:lang w:val="de-DE"/>
        </w:rPr>
        <w:t>.</w:t>
      </w:r>
      <w:r w:rsidRPr="007E1471">
        <w:rPr>
          <w:rFonts w:ascii="Arial" w:hAnsi="Arial" w:cs="Arial"/>
          <w:lang w:val="de-DE"/>
        </w:rPr>
        <w:t xml:space="preserve"> 9 &amp;17</w:t>
      </w:r>
      <w:r w:rsidR="00E8536A" w:rsidRPr="00A365AD">
        <w:rPr>
          <w:rFonts w:ascii="Arial" w:hAnsi="Arial" w:cs="Arial"/>
          <w:lang w:val="de-DE"/>
        </w:rPr>
        <w:t>; (</w:t>
      </w:r>
      <w:r w:rsidR="00554F76" w:rsidRPr="009E6526">
        <w:rPr>
          <w:rFonts w:ascii="Arial" w:hAnsi="Arial" w:cs="Arial"/>
          <w:lang w:val="de-DE"/>
        </w:rPr>
        <w:t xml:space="preserve">Badenhost PJ, Pienaar JM, &amp; Mostert H: 2003. </w:t>
      </w:r>
      <w:r w:rsidR="00E8536A" w:rsidRPr="009E6526">
        <w:rPr>
          <w:rFonts w:ascii="Arial" w:hAnsi="Arial" w:cs="Arial"/>
          <w:i/>
          <w:iCs/>
          <w:shd w:val="clear" w:color="auto" w:fill="FFFFFF"/>
        </w:rPr>
        <w:t>The Law of Property</w:t>
      </w:r>
      <w:r w:rsidR="00554F76" w:rsidRPr="009E6526">
        <w:rPr>
          <w:rFonts w:ascii="Arial" w:hAnsi="Arial" w:cs="Arial"/>
          <w:shd w:val="clear" w:color="auto" w:fill="FFFFFF"/>
        </w:rPr>
        <w:t xml:space="preserve">. </w:t>
      </w:r>
      <w:r w:rsidR="00E8536A" w:rsidRPr="009E6526">
        <w:rPr>
          <w:rFonts w:ascii="Arial" w:hAnsi="Arial" w:cs="Arial"/>
          <w:shd w:val="clear" w:color="auto" w:fill="FFFFFF"/>
        </w:rPr>
        <w:t>4</w:t>
      </w:r>
      <w:r w:rsidR="00E8536A" w:rsidRPr="009E6526">
        <w:rPr>
          <w:rFonts w:ascii="Arial" w:hAnsi="Arial" w:cs="Arial"/>
          <w:shd w:val="clear" w:color="auto" w:fill="FFFFFF"/>
          <w:vertAlign w:val="superscript"/>
        </w:rPr>
        <w:t>th</w:t>
      </w:r>
      <w:r w:rsidR="00E8536A" w:rsidRPr="009E6526">
        <w:rPr>
          <w:rFonts w:ascii="Arial" w:hAnsi="Arial" w:cs="Arial"/>
          <w:shd w:val="clear" w:color="auto" w:fill="FFFFFF"/>
        </w:rPr>
        <w:t xml:space="preserve"> ed</w:t>
      </w:r>
      <w:r w:rsidR="00554F76" w:rsidRPr="009E6526">
        <w:rPr>
          <w:rFonts w:ascii="Arial" w:hAnsi="Arial" w:cs="Arial"/>
          <w:shd w:val="clear" w:color="auto" w:fill="FFFFFF"/>
        </w:rPr>
        <w:t>ition. LexisNexis. Durban</w:t>
      </w:r>
      <w:r w:rsidR="00554F76" w:rsidRPr="009E6526">
        <w:rPr>
          <w:rFonts w:ascii="Arial" w:hAnsi="Arial" w:cs="Arial"/>
          <w:lang w:val="de-DE"/>
        </w:rPr>
        <w:t>)</w:t>
      </w:r>
    </w:p>
  </w:footnote>
  <w:footnote w:id="56">
    <w:p w14:paraId="2D00BD8B" w14:textId="04F9C7DF" w:rsidR="00543FA4" w:rsidRPr="007E1471" w:rsidRDefault="00543FA4" w:rsidP="005A3E5F">
      <w:pPr>
        <w:pStyle w:val="FootnoteText"/>
        <w:ind w:left="357" w:hanging="357"/>
        <w:rPr>
          <w:rFonts w:ascii="Arial" w:hAnsi="Arial" w:cs="Arial"/>
          <w:lang w:val="de-DE"/>
        </w:rPr>
      </w:pPr>
      <w:r w:rsidRPr="00A56F65">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00F90430" w:rsidRPr="007E1471">
        <w:rPr>
          <w:rFonts w:ascii="Arial" w:hAnsi="Arial" w:cs="Arial"/>
          <w:i/>
          <w:iCs/>
          <w:lang w:val="de-DE"/>
        </w:rPr>
        <w:t xml:space="preserve">G </w:t>
      </w:r>
      <w:r w:rsidRPr="007E1471">
        <w:rPr>
          <w:rFonts w:ascii="Arial" w:hAnsi="Arial" w:cs="Arial"/>
          <w:i/>
          <w:iCs/>
          <w:lang w:val="de-DE"/>
        </w:rPr>
        <w:t>and D Refrigeration CC v Mulder</w:t>
      </w:r>
      <w:r w:rsidRPr="007E1471">
        <w:rPr>
          <w:rFonts w:ascii="Arial" w:hAnsi="Arial" w:cs="Arial"/>
          <w:lang w:val="de-DE"/>
        </w:rPr>
        <w:t>:par</w:t>
      </w:r>
      <w:r w:rsidR="00A56F65" w:rsidRPr="007E1471">
        <w:rPr>
          <w:rFonts w:ascii="Arial" w:hAnsi="Arial" w:cs="Arial"/>
          <w:lang w:val="de-DE"/>
        </w:rPr>
        <w:t>.</w:t>
      </w:r>
      <w:r w:rsidRPr="007E1471">
        <w:rPr>
          <w:rFonts w:ascii="Arial" w:hAnsi="Arial" w:cs="Arial"/>
          <w:lang w:val="de-DE"/>
        </w:rPr>
        <w:t xml:space="preserve"> 21.</w:t>
      </w:r>
    </w:p>
  </w:footnote>
  <w:footnote w:id="57">
    <w:p w14:paraId="10745265" w14:textId="7819E857" w:rsidR="00543FA4" w:rsidRPr="007E1471" w:rsidRDefault="00543FA4" w:rsidP="005A3E5F">
      <w:pPr>
        <w:pStyle w:val="FootnoteText"/>
        <w:ind w:left="357" w:hanging="357"/>
        <w:rPr>
          <w:rFonts w:ascii="Arial" w:hAnsi="Arial" w:cs="Arial"/>
          <w:lang w:val="de-DE"/>
        </w:rPr>
      </w:pPr>
      <w:r w:rsidRPr="00A56F65">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6F65" w:rsidRPr="007E1471">
        <w:rPr>
          <w:rFonts w:ascii="Arial" w:hAnsi="Arial" w:cs="Arial"/>
          <w:lang w:val="de-DE"/>
        </w:rPr>
        <w:t>.</w:t>
      </w:r>
      <w:r w:rsidRPr="007E1471">
        <w:rPr>
          <w:rFonts w:ascii="Arial" w:hAnsi="Arial" w:cs="Arial"/>
          <w:lang w:val="de-DE"/>
        </w:rPr>
        <w:t xml:space="preserve"> 22.</w:t>
      </w:r>
    </w:p>
  </w:footnote>
  <w:footnote w:id="58">
    <w:p w14:paraId="59899873" w14:textId="6D23F38E" w:rsidR="00543FA4" w:rsidRPr="007E1471" w:rsidRDefault="00543FA4" w:rsidP="005A3E5F">
      <w:pPr>
        <w:pStyle w:val="FootnoteText"/>
        <w:ind w:left="357" w:hanging="357"/>
        <w:rPr>
          <w:rFonts w:ascii="Arial" w:hAnsi="Arial" w:cs="Arial"/>
          <w:lang w:val="de-DE"/>
        </w:rPr>
      </w:pPr>
      <w:r w:rsidRPr="00A56F65">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6F65" w:rsidRPr="007E1471">
        <w:rPr>
          <w:rFonts w:ascii="Arial" w:hAnsi="Arial" w:cs="Arial"/>
          <w:lang w:val="de-DE"/>
        </w:rPr>
        <w:t>.</w:t>
      </w:r>
      <w:r w:rsidRPr="007E1471">
        <w:rPr>
          <w:rFonts w:ascii="Arial" w:hAnsi="Arial" w:cs="Arial"/>
          <w:lang w:val="de-DE"/>
        </w:rPr>
        <w:t xml:space="preserve"> 28.</w:t>
      </w:r>
    </w:p>
  </w:footnote>
  <w:footnote w:id="59">
    <w:p w14:paraId="0EAA509E" w14:textId="589018B2" w:rsidR="00543FA4" w:rsidRPr="007E1471" w:rsidRDefault="00543FA4" w:rsidP="005A3E5F">
      <w:pPr>
        <w:pStyle w:val="FootnoteText"/>
        <w:ind w:left="357" w:hanging="357"/>
        <w:rPr>
          <w:rFonts w:ascii="Arial" w:hAnsi="Arial" w:cs="Arial"/>
          <w:lang w:val="de-DE"/>
        </w:rPr>
      </w:pPr>
      <w:r w:rsidRPr="00A56F65">
        <w:rPr>
          <w:rStyle w:val="FootnoteReference"/>
          <w:rFonts w:ascii="Arial" w:hAnsi="Arial" w:cs="Arial"/>
        </w:rPr>
        <w:footnoteRef/>
      </w:r>
      <w:r w:rsidRPr="007E1471">
        <w:rPr>
          <w:rFonts w:ascii="Arial" w:hAnsi="Arial" w:cs="Arial"/>
          <w:lang w:val="de-DE"/>
        </w:rPr>
        <w:t xml:space="preserve"> </w:t>
      </w:r>
      <w:r w:rsidR="005A3E5F" w:rsidRPr="007E1471">
        <w:rPr>
          <w:rFonts w:ascii="Arial" w:hAnsi="Arial" w:cs="Arial"/>
          <w:lang w:val="de-DE"/>
        </w:rPr>
        <w:tab/>
      </w:r>
      <w:r w:rsidRPr="007E1471">
        <w:rPr>
          <w:rFonts w:ascii="Arial" w:hAnsi="Arial" w:cs="Arial"/>
          <w:i/>
          <w:iCs/>
          <w:lang w:val="de-DE"/>
        </w:rPr>
        <w:t>G and D Refrigeration CC v Mulder</w:t>
      </w:r>
      <w:r w:rsidRPr="007E1471">
        <w:rPr>
          <w:rFonts w:ascii="Arial" w:hAnsi="Arial" w:cs="Arial"/>
          <w:lang w:val="de-DE"/>
        </w:rPr>
        <w:t>:par</w:t>
      </w:r>
      <w:r w:rsidR="00A56F65" w:rsidRPr="007E1471">
        <w:rPr>
          <w:rFonts w:ascii="Arial" w:hAnsi="Arial" w:cs="Arial"/>
          <w:lang w:val="de-DE"/>
        </w:rPr>
        <w:t>.</w:t>
      </w:r>
      <w:r w:rsidRPr="007E1471">
        <w:rPr>
          <w:rFonts w:ascii="Arial" w:hAnsi="Arial" w:cs="Arial"/>
          <w:lang w:val="de-DE"/>
        </w:rPr>
        <w:t xml:space="preserve"> 24.</w:t>
      </w:r>
    </w:p>
  </w:footnote>
  <w:footnote w:id="60">
    <w:p w14:paraId="5B429EB8" w14:textId="42A402FF" w:rsidR="004E3EF9" w:rsidRPr="00CC5CF8" w:rsidRDefault="004E3EF9" w:rsidP="005A3E5F">
      <w:pPr>
        <w:pStyle w:val="FootnoteText"/>
        <w:ind w:left="357" w:hanging="357"/>
        <w:jc w:val="both"/>
        <w:rPr>
          <w:rFonts w:ascii="Arial" w:hAnsi="Arial" w:cs="Arial"/>
          <w:lang w:val="de-DE"/>
        </w:rPr>
      </w:pPr>
      <w:r w:rsidRPr="00CC5CF8">
        <w:rPr>
          <w:rStyle w:val="FootnoteReference"/>
          <w:rFonts w:ascii="Arial" w:hAnsi="Arial" w:cs="Arial"/>
        </w:rPr>
        <w:footnoteRef/>
      </w:r>
      <w:r w:rsidR="00863355" w:rsidRPr="00CC5CF8">
        <w:rPr>
          <w:rFonts w:ascii="Arial" w:hAnsi="Arial" w:cs="Arial"/>
          <w:lang w:val="de-DE"/>
        </w:rPr>
        <w:t xml:space="preserve"> </w:t>
      </w:r>
      <w:r w:rsidR="00863355" w:rsidRPr="00CC5CF8">
        <w:rPr>
          <w:rFonts w:ascii="Arial" w:hAnsi="Arial" w:cs="Arial"/>
          <w:lang w:val="de-DE"/>
        </w:rPr>
        <w:tab/>
      </w:r>
      <w:r w:rsidRPr="00CC5CF8">
        <w:rPr>
          <w:rFonts w:ascii="Arial" w:hAnsi="Arial" w:cs="Arial"/>
          <w:lang w:val="de-DE"/>
        </w:rPr>
        <w:t xml:space="preserve">Van der Merwe &amp; </w:t>
      </w:r>
      <w:r w:rsidR="00863355" w:rsidRPr="00CC5CF8">
        <w:rPr>
          <w:rFonts w:ascii="Arial" w:hAnsi="Arial" w:cs="Arial"/>
          <w:lang w:val="de-DE"/>
        </w:rPr>
        <w:t>De Waal</w:t>
      </w:r>
      <w:r w:rsidRPr="00CC5CF8">
        <w:rPr>
          <w:rFonts w:ascii="Arial" w:hAnsi="Arial" w:cs="Arial"/>
          <w:lang w:val="de-DE"/>
        </w:rPr>
        <w:t xml:space="preserve"> 1993:51; Muller </w:t>
      </w:r>
      <w:r w:rsidRPr="00CC5CF8">
        <w:rPr>
          <w:rFonts w:ascii="Arial" w:hAnsi="Arial" w:cs="Arial"/>
          <w:i/>
          <w:iCs/>
          <w:lang w:val="de-DE"/>
        </w:rPr>
        <w:t>et al</w:t>
      </w:r>
      <w:r w:rsidRPr="00CC5CF8">
        <w:rPr>
          <w:rFonts w:ascii="Arial" w:hAnsi="Arial" w:cs="Arial"/>
          <w:lang w:val="de-DE"/>
        </w:rPr>
        <w:t xml:space="preserve"> 2019</w:t>
      </w:r>
      <w:r w:rsidR="00D4172A" w:rsidRPr="00CC5CF8">
        <w:rPr>
          <w:rFonts w:ascii="Arial" w:hAnsi="Arial" w:cs="Arial"/>
          <w:lang w:val="de-DE"/>
        </w:rPr>
        <w:t>b</w:t>
      </w:r>
      <w:r w:rsidRPr="00CC5CF8">
        <w:rPr>
          <w:rFonts w:ascii="Arial" w:hAnsi="Arial" w:cs="Arial"/>
          <w:lang w:val="de-DE"/>
        </w:rPr>
        <w:t>:310.</w:t>
      </w:r>
    </w:p>
  </w:footnote>
  <w:footnote w:id="61">
    <w:p w14:paraId="25CFE5DE" w14:textId="3D62DA93" w:rsidR="004E3EF9" w:rsidRPr="00CC5CF8" w:rsidRDefault="004E3EF9" w:rsidP="00E63179">
      <w:pPr>
        <w:pStyle w:val="FootnoteText"/>
        <w:ind w:left="357" w:hanging="357"/>
        <w:jc w:val="both"/>
        <w:rPr>
          <w:rFonts w:ascii="Arial" w:hAnsi="Arial" w:cs="Arial"/>
          <w:lang w:val="en-GB"/>
        </w:rPr>
      </w:pPr>
      <w:r w:rsidRPr="00CC5CF8">
        <w:rPr>
          <w:rStyle w:val="FootnoteReference"/>
          <w:rFonts w:ascii="Arial" w:hAnsi="Arial" w:cs="Arial"/>
        </w:rPr>
        <w:footnoteRef/>
      </w:r>
      <w:r w:rsidRPr="00CC5CF8">
        <w:rPr>
          <w:rFonts w:ascii="Arial" w:hAnsi="Arial" w:cs="Arial"/>
        </w:rPr>
        <w:t xml:space="preserve"> </w:t>
      </w:r>
      <w:r w:rsidR="00863355" w:rsidRPr="00CC5CF8">
        <w:rPr>
          <w:rFonts w:ascii="Arial" w:hAnsi="Arial" w:cs="Arial"/>
        </w:rPr>
        <w:tab/>
      </w:r>
      <w:r w:rsidRPr="00CC5CF8">
        <w:rPr>
          <w:rFonts w:ascii="Arial" w:hAnsi="Arial" w:cs="Arial"/>
          <w:lang w:val="en-GB"/>
        </w:rPr>
        <w:t xml:space="preserve">Thomas </w:t>
      </w:r>
      <w:r w:rsidRPr="00CC5CF8">
        <w:rPr>
          <w:rFonts w:ascii="Arial" w:hAnsi="Arial" w:cs="Arial"/>
          <w:i/>
          <w:lang w:val="en-GB"/>
        </w:rPr>
        <w:t>et al</w:t>
      </w:r>
      <w:r w:rsidRPr="00CC5CF8">
        <w:rPr>
          <w:rFonts w:ascii="Arial" w:hAnsi="Arial" w:cs="Arial"/>
          <w:lang w:val="en-GB"/>
        </w:rPr>
        <w:t xml:space="preserve"> 2000:149-152. During the Roman Republic period (509 -</w:t>
      </w:r>
      <w:r w:rsidR="00CF2FE2" w:rsidRPr="00CC5CF8">
        <w:rPr>
          <w:rFonts w:ascii="Arial" w:hAnsi="Arial" w:cs="Arial"/>
          <w:lang w:val="en-GB"/>
        </w:rPr>
        <w:t xml:space="preserve"> </w:t>
      </w:r>
      <w:r w:rsidRPr="00CC5CF8">
        <w:rPr>
          <w:rFonts w:ascii="Arial" w:hAnsi="Arial" w:cs="Arial"/>
          <w:lang w:val="en-GB"/>
        </w:rPr>
        <w:t>27 BC), the land was vested in the Roman public and persons who exercised possession over such lands were unable to resort to normal proprietary remedies when possession was lost.</w:t>
      </w:r>
    </w:p>
  </w:footnote>
  <w:footnote w:id="62">
    <w:p w14:paraId="33B23424" w14:textId="6B28DEB0" w:rsidR="004E3EF9" w:rsidRPr="00CC5CF8" w:rsidRDefault="004E3EF9" w:rsidP="00E63179">
      <w:pPr>
        <w:pStyle w:val="FootnoteText"/>
        <w:ind w:left="357" w:hanging="357"/>
        <w:jc w:val="both"/>
        <w:rPr>
          <w:rFonts w:ascii="Arial" w:hAnsi="Arial" w:cs="Arial"/>
          <w:lang w:val="de-DE"/>
        </w:rPr>
      </w:pPr>
      <w:r w:rsidRPr="00CC5CF8">
        <w:rPr>
          <w:rStyle w:val="FootnoteReference"/>
          <w:rFonts w:ascii="Arial" w:hAnsi="Arial" w:cs="Arial"/>
        </w:rPr>
        <w:footnoteRef/>
      </w:r>
      <w:r w:rsidRPr="00CC5CF8">
        <w:rPr>
          <w:rFonts w:ascii="Arial" w:hAnsi="Arial" w:cs="Arial"/>
          <w:lang w:val="de-DE"/>
        </w:rPr>
        <w:t xml:space="preserve"> </w:t>
      </w:r>
      <w:r w:rsidR="00863355" w:rsidRPr="00CC5CF8">
        <w:rPr>
          <w:rFonts w:ascii="Arial" w:hAnsi="Arial" w:cs="Arial"/>
          <w:lang w:val="de-DE"/>
        </w:rPr>
        <w:tab/>
      </w:r>
      <w:r w:rsidRPr="00CC5CF8">
        <w:rPr>
          <w:rFonts w:ascii="Arial" w:hAnsi="Arial" w:cs="Arial"/>
          <w:lang w:val="de-DE"/>
        </w:rPr>
        <w:t xml:space="preserve">Van der Merwe &amp; </w:t>
      </w:r>
      <w:r w:rsidR="00863355" w:rsidRPr="00CC5CF8">
        <w:rPr>
          <w:rFonts w:ascii="Arial" w:hAnsi="Arial" w:cs="Arial"/>
          <w:lang w:val="de-DE"/>
        </w:rPr>
        <w:t>De Waal</w:t>
      </w:r>
      <w:r w:rsidRPr="00CC5CF8">
        <w:rPr>
          <w:rFonts w:ascii="Arial" w:hAnsi="Arial" w:cs="Arial"/>
          <w:lang w:val="de-DE"/>
        </w:rPr>
        <w:t xml:space="preserve"> 1993:51.</w:t>
      </w:r>
    </w:p>
  </w:footnote>
  <w:footnote w:id="63">
    <w:p w14:paraId="56870F49" w14:textId="4DA398A5" w:rsidR="004E3EF9" w:rsidRPr="00635917" w:rsidRDefault="004E3EF9" w:rsidP="00E63179">
      <w:pPr>
        <w:pStyle w:val="FootnoteText"/>
        <w:ind w:left="357" w:hanging="357"/>
        <w:jc w:val="both"/>
        <w:rPr>
          <w:rFonts w:ascii="Arial" w:hAnsi="Arial" w:cs="Arial"/>
          <w:lang w:val="en-GB"/>
        </w:rPr>
      </w:pPr>
      <w:r w:rsidRPr="00CC5CF8">
        <w:rPr>
          <w:rStyle w:val="FootnoteReference"/>
          <w:rFonts w:ascii="Arial" w:hAnsi="Arial" w:cs="Arial"/>
        </w:rPr>
        <w:footnoteRef/>
      </w:r>
      <w:r w:rsidRPr="00CC5CF8">
        <w:rPr>
          <w:rFonts w:ascii="Arial" w:hAnsi="Arial" w:cs="Arial"/>
        </w:rPr>
        <w:t xml:space="preserve"> </w:t>
      </w:r>
      <w:r w:rsidR="00863355" w:rsidRPr="00CC5CF8">
        <w:rPr>
          <w:rFonts w:ascii="Arial" w:hAnsi="Arial" w:cs="Arial"/>
        </w:rPr>
        <w:tab/>
      </w:r>
      <w:proofErr w:type="spellStart"/>
      <w:r w:rsidRPr="00CC5CF8">
        <w:rPr>
          <w:rFonts w:ascii="Arial" w:hAnsi="Arial" w:cs="Arial"/>
          <w:lang w:val="en-GB"/>
        </w:rPr>
        <w:t>Hahlo</w:t>
      </w:r>
      <w:proofErr w:type="spellEnd"/>
      <w:r w:rsidRPr="00CC5CF8">
        <w:rPr>
          <w:rFonts w:ascii="Arial" w:hAnsi="Arial" w:cs="Arial"/>
          <w:lang w:val="en-GB"/>
        </w:rPr>
        <w:t xml:space="preserve"> 1954-1955:725.</w:t>
      </w:r>
    </w:p>
  </w:footnote>
  <w:footnote w:id="64">
    <w:p w14:paraId="166244EE" w14:textId="3DD69047"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863355">
        <w:rPr>
          <w:rFonts w:ascii="Arial" w:hAnsi="Arial" w:cs="Arial"/>
        </w:rPr>
        <w:tab/>
      </w:r>
      <w:r w:rsidRPr="00635917">
        <w:rPr>
          <w:rFonts w:ascii="Arial" w:hAnsi="Arial" w:cs="Arial"/>
          <w:lang w:val="en-GB"/>
        </w:rPr>
        <w:t>Lee 1931:2.</w:t>
      </w:r>
    </w:p>
  </w:footnote>
  <w:footnote w:id="65">
    <w:p w14:paraId="52FB1708" w14:textId="41C6B11B"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CF2FE2">
        <w:rPr>
          <w:rFonts w:ascii="Arial" w:hAnsi="Arial" w:cs="Arial"/>
        </w:rPr>
        <w:tab/>
      </w:r>
      <w:r w:rsidRPr="00635917">
        <w:rPr>
          <w:rFonts w:ascii="Arial" w:hAnsi="Arial" w:cs="Arial"/>
          <w:lang w:val="en-GB"/>
        </w:rPr>
        <w:t>Lee1931:5. Even where there was conflict between the law of separate provinces in the Netherlands, the South African courts were advised to and have generally followed the law of the province of Holland.</w:t>
      </w:r>
    </w:p>
  </w:footnote>
  <w:footnote w:id="66">
    <w:p w14:paraId="05AF6D12" w14:textId="3CEFB4A0"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Hahlo 1954-1955:727.</w:t>
      </w:r>
    </w:p>
  </w:footnote>
  <w:footnote w:id="67">
    <w:p w14:paraId="35F7F2E1" w14:textId="52F14035"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Taitz 1981:37.</w:t>
      </w:r>
    </w:p>
  </w:footnote>
  <w:footnote w:id="68">
    <w:p w14:paraId="042D6314" w14:textId="2FE19063"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Lee 1931:165.</w:t>
      </w:r>
    </w:p>
  </w:footnote>
  <w:footnote w:id="69">
    <w:p w14:paraId="5C3EB8BA" w14:textId="7B6CFB9B" w:rsidR="004E3EF9" w:rsidRPr="00635917" w:rsidRDefault="004E3EF9" w:rsidP="00E63179">
      <w:pPr>
        <w:pStyle w:val="FootnoteText"/>
        <w:ind w:left="357" w:hanging="357"/>
        <w:jc w:val="both"/>
        <w:rPr>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Lee 1931:166.</w:t>
      </w:r>
    </w:p>
  </w:footnote>
  <w:footnote w:id="70">
    <w:p w14:paraId="6D4195D4" w14:textId="1EFD5AC1"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Lee 1931:167.</w:t>
      </w:r>
    </w:p>
  </w:footnote>
  <w:footnote w:id="71">
    <w:p w14:paraId="081DD331" w14:textId="0C39022E"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1993:66; Kleyn 2013:4.</w:t>
      </w:r>
    </w:p>
  </w:footnote>
  <w:footnote w:id="72">
    <w:p w14:paraId="7B3BA4F0" w14:textId="021558C9"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1993:66; Kleyn 2013:14</w:t>
      </w:r>
    </w:p>
  </w:footnote>
  <w:footnote w:id="73">
    <w:p w14:paraId="3A33767C" w14:textId="07FBC1BB"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 xml:space="preserve">Harker 1988:193; Van der Merwe &amp; </w:t>
      </w:r>
      <w:r w:rsidR="00863355">
        <w:rPr>
          <w:rFonts w:ascii="Arial" w:hAnsi="Arial" w:cs="Arial"/>
          <w:lang w:val="de-DE"/>
        </w:rPr>
        <w:t>De Waal</w:t>
      </w:r>
      <w:r w:rsidRPr="00635917">
        <w:rPr>
          <w:rFonts w:ascii="Arial" w:hAnsi="Arial" w:cs="Arial"/>
          <w:lang w:val="de-DE"/>
        </w:rPr>
        <w:t xml:space="preserve"> 1993:66.</w:t>
      </w:r>
    </w:p>
  </w:footnote>
  <w:footnote w:id="74">
    <w:p w14:paraId="63555114" w14:textId="0963CC1B"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F2FE2">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1993:66.</w:t>
      </w:r>
    </w:p>
  </w:footnote>
  <w:footnote w:id="75">
    <w:p w14:paraId="5B146AE5" w14:textId="4E534A4A"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074F84">
        <w:rPr>
          <w:rFonts w:ascii="Arial" w:hAnsi="Arial" w:cs="Arial"/>
          <w:lang w:val="de-DE"/>
        </w:rPr>
        <w:tab/>
      </w:r>
      <w:r w:rsidRPr="00635917">
        <w:rPr>
          <w:rFonts w:ascii="Arial" w:hAnsi="Arial" w:cs="Arial"/>
          <w:lang w:val="de-DE"/>
        </w:rPr>
        <w:t>Harker 1988</w:t>
      </w:r>
      <w:r w:rsidR="00074F84">
        <w:rPr>
          <w:rFonts w:ascii="Arial" w:hAnsi="Arial" w:cs="Arial"/>
          <w:lang w:val="de-DE"/>
        </w:rPr>
        <w:t>:</w:t>
      </w:r>
      <w:r w:rsidRPr="00635917">
        <w:rPr>
          <w:rFonts w:ascii="Arial" w:hAnsi="Arial" w:cs="Arial"/>
          <w:lang w:val="de-DE"/>
        </w:rPr>
        <w:t xml:space="preserve">193; Van der Merwe &amp; </w:t>
      </w:r>
      <w:r w:rsidR="00863355">
        <w:rPr>
          <w:rFonts w:ascii="Arial" w:hAnsi="Arial" w:cs="Arial"/>
          <w:lang w:val="de-DE"/>
        </w:rPr>
        <w:t>De Waal</w:t>
      </w:r>
      <w:r w:rsidRPr="00635917">
        <w:rPr>
          <w:rFonts w:ascii="Arial" w:hAnsi="Arial" w:cs="Arial"/>
          <w:lang w:val="de-DE"/>
        </w:rPr>
        <w:t xml:space="preserve"> 1993:66.</w:t>
      </w:r>
    </w:p>
  </w:footnote>
  <w:footnote w:id="76">
    <w:p w14:paraId="3955ABFB" w14:textId="59A1CACA"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074F84">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1993:66; Taitz 1981</w:t>
      </w:r>
      <w:r w:rsidR="00074F84">
        <w:rPr>
          <w:rFonts w:ascii="Arial" w:hAnsi="Arial" w:cs="Arial"/>
          <w:lang w:val="de-DE"/>
        </w:rPr>
        <w:t>:</w:t>
      </w:r>
      <w:r w:rsidRPr="00635917">
        <w:rPr>
          <w:rFonts w:ascii="Arial" w:hAnsi="Arial" w:cs="Arial"/>
          <w:lang w:val="de-DE"/>
        </w:rPr>
        <w:t>37; Kleyn 201</w:t>
      </w:r>
      <w:r w:rsidR="00CC5020">
        <w:rPr>
          <w:rFonts w:ascii="Arial" w:hAnsi="Arial" w:cs="Arial"/>
          <w:lang w:val="de-DE"/>
        </w:rPr>
        <w:t>3</w:t>
      </w:r>
      <w:r w:rsidRPr="00635917">
        <w:rPr>
          <w:rFonts w:ascii="Arial" w:hAnsi="Arial" w:cs="Arial"/>
          <w:lang w:val="de-DE"/>
        </w:rPr>
        <w:t>:4.</w:t>
      </w:r>
    </w:p>
  </w:footnote>
  <w:footnote w:id="77">
    <w:p w14:paraId="26B39F64" w14:textId="5640C867"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074F84">
        <w:rPr>
          <w:rFonts w:ascii="Arial" w:hAnsi="Arial" w:cs="Arial"/>
          <w:lang w:val="de-DE"/>
        </w:rPr>
        <w:tab/>
      </w:r>
      <w:r w:rsidRPr="00635917">
        <w:rPr>
          <w:rFonts w:ascii="Arial" w:hAnsi="Arial" w:cs="Arial"/>
          <w:lang w:val="de-DE"/>
        </w:rPr>
        <w:t>Harker 1988</w:t>
      </w:r>
      <w:r w:rsidR="00074F84">
        <w:rPr>
          <w:rFonts w:ascii="Arial" w:hAnsi="Arial" w:cs="Arial"/>
          <w:lang w:val="de-DE"/>
        </w:rPr>
        <w:t>:</w:t>
      </w:r>
      <w:r w:rsidRPr="00635917">
        <w:rPr>
          <w:rFonts w:ascii="Arial" w:hAnsi="Arial" w:cs="Arial"/>
          <w:lang w:val="de-DE"/>
        </w:rPr>
        <w:t>193.</w:t>
      </w:r>
    </w:p>
  </w:footnote>
  <w:footnote w:id="78">
    <w:p w14:paraId="53F685AF" w14:textId="2913C5E8" w:rsidR="004E3EF9" w:rsidRPr="0074255B" w:rsidRDefault="004E3EF9" w:rsidP="00E63179">
      <w:pPr>
        <w:pStyle w:val="FootnoteText"/>
        <w:ind w:left="357" w:hanging="357"/>
        <w:jc w:val="both"/>
        <w:rPr>
          <w:lang w:val="de-DE"/>
        </w:rPr>
      </w:pPr>
      <w:r w:rsidRPr="0074255B">
        <w:rPr>
          <w:rStyle w:val="FootnoteReference"/>
          <w:rFonts w:ascii="Arial" w:hAnsi="Arial" w:cs="Arial"/>
        </w:rPr>
        <w:footnoteRef/>
      </w:r>
      <w:r w:rsidRPr="0074255B">
        <w:rPr>
          <w:rFonts w:ascii="Arial" w:hAnsi="Arial" w:cs="Arial"/>
          <w:lang w:val="de-DE"/>
        </w:rPr>
        <w:t xml:space="preserve"> </w:t>
      </w:r>
      <w:r w:rsidR="00074F84" w:rsidRPr="0074255B">
        <w:rPr>
          <w:rFonts w:ascii="Arial" w:hAnsi="Arial" w:cs="Arial"/>
          <w:lang w:val="de-DE"/>
        </w:rPr>
        <w:tab/>
      </w:r>
      <w:r w:rsidRPr="0074255B">
        <w:rPr>
          <w:rFonts w:ascii="Arial" w:hAnsi="Arial" w:cs="Arial"/>
          <w:lang w:val="de-DE"/>
        </w:rPr>
        <w:t>Hahlo 1954-1955</w:t>
      </w:r>
      <w:r w:rsidR="00074F84" w:rsidRPr="0074255B">
        <w:rPr>
          <w:rFonts w:ascii="Arial" w:hAnsi="Arial" w:cs="Arial"/>
          <w:lang w:val="de-DE"/>
        </w:rPr>
        <w:t>:</w:t>
      </w:r>
      <w:r w:rsidRPr="0074255B">
        <w:rPr>
          <w:rFonts w:ascii="Arial" w:hAnsi="Arial" w:cs="Arial"/>
          <w:lang w:val="de-DE"/>
        </w:rPr>
        <w:t xml:space="preserve">727; Van der Merwe &amp; </w:t>
      </w:r>
      <w:r w:rsidR="00863355" w:rsidRPr="0074255B">
        <w:rPr>
          <w:rFonts w:ascii="Arial" w:hAnsi="Arial" w:cs="Arial"/>
          <w:lang w:val="de-DE"/>
        </w:rPr>
        <w:t>De Waal</w:t>
      </w:r>
      <w:r w:rsidRPr="0074255B">
        <w:rPr>
          <w:rFonts w:ascii="Arial" w:hAnsi="Arial" w:cs="Arial"/>
          <w:lang w:val="de-DE"/>
        </w:rPr>
        <w:t xml:space="preserve"> 1993</w:t>
      </w:r>
      <w:r w:rsidR="00074F84" w:rsidRPr="0074255B">
        <w:rPr>
          <w:rFonts w:ascii="Arial" w:hAnsi="Arial" w:cs="Arial"/>
          <w:lang w:val="de-DE"/>
        </w:rPr>
        <w:t>:</w:t>
      </w:r>
      <w:r w:rsidRPr="0074255B">
        <w:rPr>
          <w:rFonts w:ascii="Arial" w:hAnsi="Arial" w:cs="Arial"/>
          <w:lang w:val="de-DE"/>
        </w:rPr>
        <w:t xml:space="preserve">71; Muller </w:t>
      </w:r>
      <w:r w:rsidRPr="0074255B">
        <w:rPr>
          <w:rFonts w:ascii="Arial" w:hAnsi="Arial" w:cs="Arial"/>
          <w:i/>
          <w:iCs/>
          <w:lang w:val="de-DE"/>
        </w:rPr>
        <w:t>et al</w:t>
      </w:r>
      <w:r w:rsidRPr="0074255B">
        <w:rPr>
          <w:rFonts w:ascii="Arial" w:hAnsi="Arial" w:cs="Arial"/>
          <w:lang w:val="de-DE"/>
        </w:rPr>
        <w:t xml:space="preserve"> 2019</w:t>
      </w:r>
      <w:r w:rsidR="00D4172A" w:rsidRPr="0074255B">
        <w:rPr>
          <w:rFonts w:ascii="Arial" w:hAnsi="Arial" w:cs="Arial"/>
          <w:lang w:val="de-DE"/>
        </w:rPr>
        <w:t>b</w:t>
      </w:r>
      <w:r w:rsidRPr="0074255B">
        <w:rPr>
          <w:rFonts w:ascii="Arial" w:hAnsi="Arial" w:cs="Arial"/>
          <w:lang w:val="de-DE"/>
        </w:rPr>
        <w:t>:328.</w:t>
      </w:r>
    </w:p>
  </w:footnote>
  <w:footnote w:id="79">
    <w:p w14:paraId="337379EB" w14:textId="769C23E1" w:rsidR="004E3EF9" w:rsidRPr="00635917"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4255B">
        <w:rPr>
          <w:rFonts w:ascii="Arial" w:hAnsi="Arial" w:cs="Arial"/>
          <w:lang w:val="de-DE"/>
        </w:rPr>
        <w:t xml:space="preserve"> </w:t>
      </w:r>
      <w:r w:rsidR="00074F84" w:rsidRPr="0074255B">
        <w:rPr>
          <w:rFonts w:ascii="Arial" w:hAnsi="Arial" w:cs="Arial"/>
          <w:lang w:val="de-DE"/>
        </w:rPr>
        <w:tab/>
      </w:r>
      <w:r w:rsidRPr="0074255B">
        <w:rPr>
          <w:rFonts w:ascii="Arial" w:hAnsi="Arial" w:cs="Arial"/>
          <w:lang w:val="de-DE"/>
        </w:rPr>
        <w:t xml:space="preserve">Van der Merwe &amp; </w:t>
      </w:r>
      <w:r w:rsidR="00863355" w:rsidRPr="0074255B">
        <w:rPr>
          <w:rFonts w:ascii="Arial" w:hAnsi="Arial" w:cs="Arial"/>
          <w:lang w:val="de-DE"/>
        </w:rPr>
        <w:t>De Waal</w:t>
      </w:r>
      <w:r w:rsidRPr="0074255B">
        <w:rPr>
          <w:rFonts w:ascii="Arial" w:hAnsi="Arial" w:cs="Arial"/>
          <w:lang w:val="de-DE"/>
        </w:rPr>
        <w:t xml:space="preserve"> 1993:72; Muller </w:t>
      </w:r>
      <w:r w:rsidRPr="0074255B">
        <w:rPr>
          <w:rFonts w:ascii="Arial" w:hAnsi="Arial" w:cs="Arial"/>
          <w:i/>
          <w:lang w:val="de-DE"/>
        </w:rPr>
        <w:t>et al</w:t>
      </w:r>
      <w:r w:rsidRPr="0074255B">
        <w:rPr>
          <w:rFonts w:ascii="Arial" w:hAnsi="Arial" w:cs="Arial"/>
          <w:lang w:val="de-DE"/>
        </w:rPr>
        <w:t xml:space="preserve"> 2019</w:t>
      </w:r>
      <w:r w:rsidR="00D4172A" w:rsidRPr="0074255B">
        <w:rPr>
          <w:rFonts w:ascii="Arial" w:hAnsi="Arial" w:cs="Arial"/>
          <w:lang w:val="de-DE"/>
        </w:rPr>
        <w:t>a</w:t>
      </w:r>
      <w:r w:rsidR="00074F84" w:rsidRPr="0074255B">
        <w:rPr>
          <w:rFonts w:ascii="Arial" w:hAnsi="Arial" w:cs="Arial"/>
          <w:lang w:val="de-DE"/>
        </w:rPr>
        <w:t>:</w:t>
      </w:r>
      <w:r w:rsidRPr="0074255B">
        <w:rPr>
          <w:rFonts w:ascii="Arial" w:hAnsi="Arial" w:cs="Arial"/>
          <w:lang w:val="de-DE"/>
        </w:rPr>
        <w:t>199.</w:t>
      </w:r>
    </w:p>
  </w:footnote>
  <w:footnote w:id="80">
    <w:p w14:paraId="7019030F" w14:textId="5041B9DC"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074F84">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1993:72.</w:t>
      </w:r>
    </w:p>
  </w:footnote>
  <w:footnote w:id="81">
    <w:p w14:paraId="0A975CB9" w14:textId="54D5EC87"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074F84">
        <w:rPr>
          <w:rFonts w:ascii="Arial" w:hAnsi="Arial" w:cs="Arial"/>
        </w:rPr>
        <w:tab/>
      </w:r>
      <w:proofErr w:type="spellStart"/>
      <w:r w:rsidRPr="00635917">
        <w:rPr>
          <w:rFonts w:ascii="Arial" w:hAnsi="Arial" w:cs="Arial"/>
          <w:i/>
          <w:lang w:val="en-GB"/>
        </w:rPr>
        <w:t>Mbangi</w:t>
      </w:r>
      <w:proofErr w:type="spellEnd"/>
      <w:r w:rsidRPr="00635917">
        <w:rPr>
          <w:rFonts w:ascii="Arial" w:hAnsi="Arial" w:cs="Arial"/>
          <w:i/>
          <w:lang w:val="en-GB"/>
        </w:rPr>
        <w:t xml:space="preserve"> and Others v </w:t>
      </w:r>
      <w:proofErr w:type="spellStart"/>
      <w:r w:rsidRPr="00635917">
        <w:rPr>
          <w:rFonts w:ascii="Arial" w:hAnsi="Arial" w:cs="Arial"/>
          <w:i/>
          <w:lang w:val="en-GB"/>
        </w:rPr>
        <w:t>Dobsonville</w:t>
      </w:r>
      <w:proofErr w:type="spellEnd"/>
      <w:r w:rsidRPr="00635917">
        <w:rPr>
          <w:rFonts w:ascii="Arial" w:hAnsi="Arial" w:cs="Arial"/>
          <w:i/>
          <w:lang w:val="en-GB"/>
        </w:rPr>
        <w:t xml:space="preserve"> City Council</w:t>
      </w:r>
      <w:r w:rsidRPr="00635917">
        <w:rPr>
          <w:rFonts w:ascii="Arial" w:hAnsi="Arial" w:cs="Arial"/>
          <w:lang w:val="en-GB"/>
        </w:rPr>
        <w:t xml:space="preserve"> </w:t>
      </w:r>
      <w:r w:rsidR="002C3D55">
        <w:rPr>
          <w:rFonts w:ascii="Arial" w:hAnsi="Arial" w:cs="Arial"/>
          <w:lang w:val="en-GB"/>
        </w:rPr>
        <w:t>[</w:t>
      </w:r>
      <w:r w:rsidRPr="00635917">
        <w:rPr>
          <w:rFonts w:ascii="Arial" w:hAnsi="Arial" w:cs="Arial"/>
          <w:lang w:val="en-GB"/>
        </w:rPr>
        <w:t>1991</w:t>
      </w:r>
      <w:r w:rsidR="002C3D55">
        <w:rPr>
          <w:rFonts w:ascii="Arial" w:hAnsi="Arial" w:cs="Arial"/>
          <w:lang w:val="en-GB"/>
        </w:rPr>
        <w:t>]</w:t>
      </w:r>
      <w:r w:rsidRPr="00635917">
        <w:rPr>
          <w:rFonts w:ascii="Arial" w:hAnsi="Arial" w:cs="Arial"/>
          <w:lang w:val="en-GB"/>
        </w:rPr>
        <w:t xml:space="preserve"> 3 ALL SA 465 (W).</w:t>
      </w:r>
    </w:p>
  </w:footnote>
  <w:footnote w:id="82">
    <w:p w14:paraId="6BCCEBDD" w14:textId="2881CFA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C3D55">
        <w:rPr>
          <w:rFonts w:ascii="Arial" w:hAnsi="Arial" w:cs="Arial"/>
        </w:rPr>
        <w:tab/>
      </w:r>
      <w:proofErr w:type="spellStart"/>
      <w:r w:rsidRPr="00635917">
        <w:rPr>
          <w:rFonts w:ascii="Arial" w:hAnsi="Arial" w:cs="Arial"/>
          <w:i/>
          <w:lang w:val="en-GB"/>
        </w:rPr>
        <w:t>Mbangi</w:t>
      </w:r>
      <w:proofErr w:type="spellEnd"/>
      <w:r w:rsidRPr="00635917">
        <w:rPr>
          <w:rFonts w:ascii="Arial" w:hAnsi="Arial" w:cs="Arial"/>
          <w:i/>
          <w:lang w:val="en-GB"/>
        </w:rPr>
        <w:t xml:space="preserve"> and Others v </w:t>
      </w:r>
      <w:proofErr w:type="spellStart"/>
      <w:r w:rsidRPr="00635917">
        <w:rPr>
          <w:rFonts w:ascii="Arial" w:hAnsi="Arial" w:cs="Arial"/>
          <w:i/>
          <w:lang w:val="en-GB"/>
        </w:rPr>
        <w:t>Dobsonville</w:t>
      </w:r>
      <w:proofErr w:type="spellEnd"/>
      <w:r w:rsidRPr="00635917">
        <w:rPr>
          <w:rFonts w:ascii="Arial" w:hAnsi="Arial" w:cs="Arial"/>
          <w:i/>
          <w:lang w:val="en-GB"/>
        </w:rPr>
        <w:t xml:space="preserve"> City Council</w:t>
      </w:r>
      <w:r w:rsidR="00074F84">
        <w:rPr>
          <w:rFonts w:ascii="Arial" w:hAnsi="Arial" w:cs="Arial"/>
          <w:lang w:val="en-GB"/>
        </w:rPr>
        <w:t>:</w:t>
      </w:r>
      <w:r w:rsidRPr="00635917">
        <w:rPr>
          <w:rFonts w:ascii="Arial" w:hAnsi="Arial" w:cs="Arial"/>
          <w:lang w:val="en-GB"/>
        </w:rPr>
        <w:t>471.</w:t>
      </w:r>
    </w:p>
  </w:footnote>
  <w:footnote w:id="83">
    <w:p w14:paraId="7DC70584" w14:textId="26E858DD" w:rsidR="00475560" w:rsidRPr="00536529" w:rsidRDefault="00475560">
      <w:pPr>
        <w:pStyle w:val="FootnoteText"/>
      </w:pPr>
      <w:r>
        <w:rPr>
          <w:rStyle w:val="FootnoteReference"/>
        </w:rPr>
        <w:footnoteRef/>
      </w:r>
      <w:r>
        <w:t xml:space="preserve">     </w:t>
      </w:r>
      <w:proofErr w:type="spellStart"/>
      <w:r w:rsidRPr="00A12EA4">
        <w:rPr>
          <w:rFonts w:ascii="Arial" w:hAnsi="Arial" w:cs="Arial"/>
          <w:i/>
          <w:iCs/>
        </w:rPr>
        <w:t>Bantham</w:t>
      </w:r>
      <w:proofErr w:type="spellEnd"/>
      <w:r w:rsidRPr="00A12EA4">
        <w:rPr>
          <w:rFonts w:ascii="Arial" w:hAnsi="Arial" w:cs="Arial"/>
          <w:i/>
          <w:iCs/>
        </w:rPr>
        <w:t xml:space="preserve"> </w:t>
      </w:r>
      <w:r w:rsidR="00536529" w:rsidRPr="00A12EA4">
        <w:rPr>
          <w:rFonts w:ascii="Arial" w:hAnsi="Arial" w:cs="Arial"/>
          <w:i/>
          <w:iCs/>
          <w:shd w:val="clear" w:color="auto" w:fill="FFFFFF"/>
        </w:rPr>
        <w:t>and Others v City of Johannesburg and Others</w:t>
      </w:r>
      <w:r w:rsidR="00536529" w:rsidRPr="00A12EA4">
        <w:rPr>
          <w:rFonts w:ascii="Arial" w:hAnsi="Arial" w:cs="Arial"/>
          <w:shd w:val="clear" w:color="auto" w:fill="FFFFFF"/>
        </w:rPr>
        <w:t xml:space="preserve"> 2024 ZAGPJHC 706:par. 22.</w:t>
      </w:r>
    </w:p>
  </w:footnote>
  <w:footnote w:id="84">
    <w:p w14:paraId="2051CCEF" w14:textId="67FB9995" w:rsidR="00536529" w:rsidRDefault="00536529">
      <w:pPr>
        <w:pStyle w:val="FootnoteText"/>
      </w:pPr>
      <w:r>
        <w:rPr>
          <w:rStyle w:val="FootnoteReference"/>
        </w:rPr>
        <w:footnoteRef/>
      </w:r>
      <w:r>
        <w:t xml:space="preserve">     </w:t>
      </w:r>
      <w:proofErr w:type="spellStart"/>
      <w:r w:rsidRPr="00E2115F">
        <w:rPr>
          <w:rFonts w:ascii="Arial" w:hAnsi="Arial" w:cs="Arial"/>
          <w:i/>
          <w:iCs/>
        </w:rPr>
        <w:t>Bantham</w:t>
      </w:r>
      <w:proofErr w:type="spellEnd"/>
      <w:r w:rsidRPr="00E2115F">
        <w:rPr>
          <w:rFonts w:ascii="Arial" w:hAnsi="Arial" w:cs="Arial"/>
          <w:i/>
          <w:iCs/>
        </w:rPr>
        <w:t xml:space="preserve"> </w:t>
      </w:r>
      <w:r w:rsidRPr="00E2115F">
        <w:rPr>
          <w:rFonts w:ascii="Arial" w:hAnsi="Arial" w:cs="Arial"/>
          <w:i/>
          <w:iCs/>
          <w:shd w:val="clear" w:color="auto" w:fill="FFFFFF"/>
        </w:rPr>
        <w:t>and Others v City of Johannesburg and Others</w:t>
      </w:r>
      <w:r w:rsidRPr="00E2115F">
        <w:rPr>
          <w:rFonts w:ascii="Arial" w:hAnsi="Arial" w:cs="Arial"/>
          <w:shd w:val="clear" w:color="auto" w:fill="FFFFFF"/>
        </w:rPr>
        <w:t xml:space="preserve"> 2024 ZAGPJHC 706:par. 2</w:t>
      </w:r>
      <w:r>
        <w:rPr>
          <w:rFonts w:ascii="Arial" w:hAnsi="Arial" w:cs="Arial"/>
          <w:shd w:val="clear" w:color="auto" w:fill="FFFFFF"/>
        </w:rPr>
        <w:t>7</w:t>
      </w:r>
      <w:r w:rsidRPr="00E2115F">
        <w:rPr>
          <w:rFonts w:ascii="Arial" w:hAnsi="Arial" w:cs="Arial"/>
          <w:shd w:val="clear" w:color="auto" w:fill="FFFFFF"/>
        </w:rPr>
        <w:t>.</w:t>
      </w:r>
    </w:p>
  </w:footnote>
  <w:footnote w:id="85">
    <w:p w14:paraId="2F816224" w14:textId="17072C0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C3D55">
        <w:rPr>
          <w:rFonts w:ascii="Arial" w:hAnsi="Arial" w:cs="Arial"/>
        </w:rPr>
        <w:tab/>
      </w:r>
      <w:proofErr w:type="spellStart"/>
      <w:r w:rsidRPr="00635917">
        <w:rPr>
          <w:rFonts w:ascii="Arial" w:hAnsi="Arial" w:cs="Arial"/>
          <w:i/>
          <w:iCs/>
          <w:lang w:val="en-GB"/>
        </w:rPr>
        <w:t>Mbangi</w:t>
      </w:r>
      <w:proofErr w:type="spellEnd"/>
      <w:r w:rsidRPr="00635917">
        <w:rPr>
          <w:rFonts w:ascii="Arial" w:hAnsi="Arial" w:cs="Arial"/>
          <w:i/>
          <w:iCs/>
          <w:lang w:val="en-GB"/>
        </w:rPr>
        <w:t xml:space="preserve"> and Others v </w:t>
      </w:r>
      <w:proofErr w:type="spellStart"/>
      <w:r w:rsidRPr="00635917">
        <w:rPr>
          <w:rFonts w:ascii="Arial" w:hAnsi="Arial" w:cs="Arial"/>
          <w:i/>
          <w:iCs/>
          <w:lang w:val="en-GB"/>
        </w:rPr>
        <w:t>Dobsonville</w:t>
      </w:r>
      <w:proofErr w:type="spellEnd"/>
      <w:r w:rsidRPr="00635917">
        <w:rPr>
          <w:rFonts w:ascii="Arial" w:hAnsi="Arial" w:cs="Arial"/>
          <w:i/>
          <w:iCs/>
          <w:lang w:val="en-GB"/>
        </w:rPr>
        <w:t xml:space="preserve"> City Council</w:t>
      </w:r>
      <w:r w:rsidR="00074F84">
        <w:rPr>
          <w:rFonts w:ascii="Arial" w:hAnsi="Arial" w:cs="Arial"/>
          <w:lang w:val="en-GB"/>
        </w:rPr>
        <w:t>:</w:t>
      </w:r>
      <w:r w:rsidRPr="00635917">
        <w:rPr>
          <w:rFonts w:ascii="Arial" w:hAnsi="Arial" w:cs="Arial"/>
          <w:lang w:val="en-GB"/>
        </w:rPr>
        <w:t>471.</w:t>
      </w:r>
    </w:p>
  </w:footnote>
  <w:footnote w:id="86">
    <w:p w14:paraId="119EC570" w14:textId="0931EEE4"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C3D55">
        <w:rPr>
          <w:rFonts w:ascii="Arial" w:hAnsi="Arial" w:cs="Arial"/>
        </w:rPr>
        <w:tab/>
      </w:r>
      <w:proofErr w:type="spellStart"/>
      <w:r w:rsidRPr="00635917">
        <w:rPr>
          <w:rFonts w:ascii="Arial" w:hAnsi="Arial" w:cs="Arial"/>
          <w:i/>
          <w:iCs/>
          <w:lang w:val="en-GB"/>
        </w:rPr>
        <w:t>Mbangi</w:t>
      </w:r>
      <w:proofErr w:type="spellEnd"/>
      <w:r w:rsidRPr="00635917">
        <w:rPr>
          <w:rFonts w:ascii="Arial" w:hAnsi="Arial" w:cs="Arial"/>
          <w:i/>
          <w:iCs/>
          <w:lang w:val="en-GB"/>
        </w:rPr>
        <w:t xml:space="preserve"> and Others v </w:t>
      </w:r>
      <w:proofErr w:type="spellStart"/>
      <w:r w:rsidRPr="00635917">
        <w:rPr>
          <w:rFonts w:ascii="Arial" w:hAnsi="Arial" w:cs="Arial"/>
          <w:i/>
          <w:iCs/>
          <w:lang w:val="en-GB"/>
        </w:rPr>
        <w:t>Dobsonville</w:t>
      </w:r>
      <w:proofErr w:type="spellEnd"/>
      <w:r w:rsidRPr="00635917">
        <w:rPr>
          <w:rFonts w:ascii="Arial" w:hAnsi="Arial" w:cs="Arial"/>
          <w:i/>
          <w:iCs/>
          <w:lang w:val="en-GB"/>
        </w:rPr>
        <w:t xml:space="preserve"> City Council</w:t>
      </w:r>
      <w:r w:rsidR="00074F84">
        <w:rPr>
          <w:rFonts w:ascii="Arial" w:hAnsi="Arial" w:cs="Arial"/>
          <w:lang w:val="en-GB"/>
        </w:rPr>
        <w:t>:</w:t>
      </w:r>
      <w:r w:rsidRPr="00635917">
        <w:rPr>
          <w:rFonts w:ascii="Arial" w:hAnsi="Arial" w:cs="Arial"/>
          <w:lang w:val="en-GB"/>
        </w:rPr>
        <w:t>472.</w:t>
      </w:r>
    </w:p>
  </w:footnote>
  <w:footnote w:id="87">
    <w:p w14:paraId="130922AC" w14:textId="00BB3235"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C3D55">
        <w:rPr>
          <w:rFonts w:ascii="Arial" w:hAnsi="Arial" w:cs="Arial"/>
        </w:rPr>
        <w:tab/>
      </w:r>
      <w:proofErr w:type="spellStart"/>
      <w:r w:rsidRPr="00635917">
        <w:rPr>
          <w:rFonts w:ascii="Arial" w:hAnsi="Arial" w:cs="Arial"/>
          <w:i/>
          <w:lang w:val="en-GB"/>
        </w:rPr>
        <w:t>Mbangi</w:t>
      </w:r>
      <w:proofErr w:type="spellEnd"/>
      <w:r w:rsidRPr="00635917">
        <w:rPr>
          <w:rFonts w:ascii="Arial" w:hAnsi="Arial" w:cs="Arial"/>
          <w:i/>
          <w:lang w:val="en-GB"/>
        </w:rPr>
        <w:t xml:space="preserve"> and Others v </w:t>
      </w:r>
      <w:proofErr w:type="spellStart"/>
      <w:r w:rsidRPr="00635917">
        <w:rPr>
          <w:rFonts w:ascii="Arial" w:hAnsi="Arial" w:cs="Arial"/>
          <w:i/>
          <w:lang w:val="en-GB"/>
        </w:rPr>
        <w:t>Dobsonville</w:t>
      </w:r>
      <w:proofErr w:type="spellEnd"/>
      <w:r w:rsidRPr="00635917">
        <w:rPr>
          <w:rFonts w:ascii="Arial" w:hAnsi="Arial" w:cs="Arial"/>
          <w:i/>
          <w:lang w:val="en-GB"/>
        </w:rPr>
        <w:t xml:space="preserve"> City Council</w:t>
      </w:r>
      <w:r w:rsidR="00074F84">
        <w:rPr>
          <w:rFonts w:ascii="Arial" w:hAnsi="Arial" w:cs="Arial"/>
          <w:lang w:val="en-GB"/>
        </w:rPr>
        <w:t>:</w:t>
      </w:r>
      <w:r w:rsidRPr="00635917">
        <w:rPr>
          <w:rFonts w:ascii="Arial" w:hAnsi="Arial" w:cs="Arial"/>
          <w:lang w:val="en-GB"/>
        </w:rPr>
        <w:t>471. To Illustrate this point, the court supposes that if a housebreaker occupied a bed space at 09:00 and at 12:00 the owner immediately divests him from the bed space, then the granting of the spoliation order against the owner would only facilitate acts of self-help.</w:t>
      </w:r>
    </w:p>
  </w:footnote>
  <w:footnote w:id="88">
    <w:p w14:paraId="6083D0D0" w14:textId="154E01F2"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2C3D55">
        <w:rPr>
          <w:rFonts w:ascii="Arial" w:hAnsi="Arial" w:cs="Arial"/>
          <w:sz w:val="20"/>
          <w:szCs w:val="20"/>
          <w:lang w:val="de-DE"/>
        </w:rPr>
        <w:tab/>
      </w:r>
      <w:r w:rsidRPr="0074255B">
        <w:rPr>
          <w:rFonts w:ascii="Arial" w:hAnsi="Arial" w:cs="Arial"/>
          <w:sz w:val="20"/>
          <w:szCs w:val="20"/>
          <w:lang w:val="de-DE"/>
        </w:rPr>
        <w:t xml:space="preserve">Muller </w:t>
      </w:r>
      <w:r w:rsidRPr="0074255B">
        <w:rPr>
          <w:rFonts w:ascii="Arial" w:hAnsi="Arial" w:cs="Arial"/>
          <w:i/>
          <w:sz w:val="20"/>
          <w:szCs w:val="20"/>
          <w:lang w:val="de-DE"/>
        </w:rPr>
        <w:t>et al</w:t>
      </w:r>
      <w:r w:rsidRPr="0074255B">
        <w:rPr>
          <w:rFonts w:ascii="Arial" w:hAnsi="Arial" w:cs="Arial"/>
          <w:sz w:val="20"/>
          <w:szCs w:val="20"/>
          <w:lang w:val="de-DE"/>
        </w:rPr>
        <w:t xml:space="preserve"> 2019</w:t>
      </w:r>
      <w:r w:rsidR="0074255B" w:rsidRPr="0074255B">
        <w:rPr>
          <w:rFonts w:ascii="Arial" w:hAnsi="Arial" w:cs="Arial"/>
          <w:sz w:val="20"/>
          <w:szCs w:val="20"/>
          <w:lang w:val="de-DE"/>
        </w:rPr>
        <w:t>a</w:t>
      </w:r>
      <w:r w:rsidR="00074F84" w:rsidRPr="0074255B">
        <w:rPr>
          <w:rFonts w:ascii="Arial" w:hAnsi="Arial" w:cs="Arial"/>
          <w:sz w:val="20"/>
          <w:szCs w:val="20"/>
          <w:lang w:val="de-DE"/>
        </w:rPr>
        <w:t>:</w:t>
      </w:r>
      <w:r w:rsidRPr="0074255B">
        <w:rPr>
          <w:rFonts w:ascii="Arial" w:hAnsi="Arial" w:cs="Arial"/>
          <w:sz w:val="20"/>
          <w:szCs w:val="20"/>
          <w:lang w:val="de-DE"/>
        </w:rPr>
        <w:t>199.</w:t>
      </w:r>
    </w:p>
  </w:footnote>
  <w:footnote w:id="89">
    <w:p w14:paraId="3BEE9B79" w14:textId="46425CCD"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2C3D55">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p>
  </w:footnote>
  <w:footnote w:id="90">
    <w:p w14:paraId="4BCF379D" w14:textId="7AEEF1F2"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2C3D55">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p>
  </w:footnote>
  <w:footnote w:id="91">
    <w:p w14:paraId="679566E3" w14:textId="3BC4CA13"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2C3D55">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p>
  </w:footnote>
  <w:footnote w:id="92">
    <w:p w14:paraId="6998FF09" w14:textId="67161962"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2C3D55">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r w:rsidR="006F2D67">
        <w:rPr>
          <w:rFonts w:ascii="Arial" w:hAnsi="Arial" w:cs="Arial"/>
          <w:sz w:val="20"/>
          <w:szCs w:val="20"/>
          <w:lang w:val="de-DE"/>
        </w:rPr>
        <w:t xml:space="preserve"> </w:t>
      </w:r>
      <w:r w:rsidR="0003664A" w:rsidRPr="0003664A">
        <w:rPr>
          <w:rFonts w:ascii="Arial" w:hAnsi="Arial" w:cs="Arial"/>
          <w:sz w:val="20"/>
          <w:szCs w:val="20"/>
        </w:rPr>
        <w:t xml:space="preserve">This was highlighted by the court in the </w:t>
      </w:r>
      <w:r w:rsidR="0003664A" w:rsidRPr="0003664A">
        <w:rPr>
          <w:rFonts w:ascii="Arial" w:hAnsi="Arial" w:cs="Arial"/>
          <w:i/>
          <w:iCs/>
          <w:sz w:val="20"/>
          <w:szCs w:val="20"/>
        </w:rPr>
        <w:t>City of Ekurhuleni Metropolitan v Tshepo Gugu Trading CC and Another</w:t>
      </w:r>
      <w:r w:rsidR="0003664A" w:rsidRPr="0003664A">
        <w:rPr>
          <w:rFonts w:ascii="Arial" w:hAnsi="Arial" w:cs="Arial"/>
          <w:sz w:val="20"/>
          <w:szCs w:val="20"/>
        </w:rPr>
        <w:t xml:space="preserve"> 2024 ZASCA 81, when the municipality dismantled and removed the respondent's billboard, which had been erected contrary to municipal by-laws. Wepener J found that this action constituted spoliation, as the respondent was unlawfully dispossessed of its possession without due process. However, the Supreme Court of Appeal had to determine whether the municipality took the law into its own hands when it dismantled and deprived the respondent of possession of the billboard. In responding to this question, the SCA examined the court order granted by Victor J in favour of the municipality. It was found that in terms of the court order, the respondent was required to submit a regularisation application in compliance with the by-laws and acknowledge that the installation of the billboard on the municipality site was unlawful. The order further indicated that non-compliance by the respondent would entitle the municipality to remove the billboard from its site. Due to the failure on the part of the respondent to comply with the terms of the court order, the SCA found that the municipality acted within the confines of the law and was justified in taking steps to dismantle the billboard</w:t>
      </w:r>
      <w:r w:rsidR="0003664A">
        <w:rPr>
          <w:rFonts w:ascii="Arial" w:hAnsi="Arial" w:cs="Arial"/>
          <w:sz w:val="20"/>
          <w:szCs w:val="20"/>
        </w:rPr>
        <w:t xml:space="preserve"> </w:t>
      </w:r>
      <w:r w:rsidR="00AC7EF5">
        <w:rPr>
          <w:rFonts w:ascii="Arial" w:hAnsi="Arial" w:cs="Arial"/>
          <w:sz w:val="20"/>
          <w:szCs w:val="20"/>
        </w:rPr>
        <w:t>(</w:t>
      </w:r>
      <w:r w:rsidR="00AC7EF5" w:rsidRPr="00E2115F">
        <w:rPr>
          <w:rFonts w:ascii="Arial" w:hAnsi="Arial" w:cs="Arial"/>
          <w:i/>
          <w:iCs/>
          <w:sz w:val="20"/>
          <w:szCs w:val="20"/>
          <w:lang w:val="de-DE"/>
        </w:rPr>
        <w:t>City of Ekurhuleni Metropolitan v Tshepo Gugu Trading CC and Another</w:t>
      </w:r>
      <w:r w:rsidR="00AC7EF5">
        <w:rPr>
          <w:rFonts w:ascii="Arial" w:hAnsi="Arial" w:cs="Arial"/>
          <w:sz w:val="20"/>
          <w:szCs w:val="20"/>
          <w:lang w:val="de-DE"/>
        </w:rPr>
        <w:t xml:space="preserve"> 2024 ZASCA 81</w:t>
      </w:r>
      <w:r w:rsidR="00AC7EF5">
        <w:rPr>
          <w:rFonts w:ascii="Arial" w:hAnsi="Arial" w:cs="Arial"/>
          <w:sz w:val="20"/>
          <w:szCs w:val="20"/>
        </w:rPr>
        <w:t>: paras 10,17,23,24,30 and 39)</w:t>
      </w:r>
      <w:r w:rsidR="00DF683E">
        <w:rPr>
          <w:rFonts w:ascii="Arial" w:hAnsi="Arial" w:cs="Arial"/>
          <w:sz w:val="20"/>
          <w:szCs w:val="20"/>
        </w:rPr>
        <w:t>.</w:t>
      </w:r>
    </w:p>
  </w:footnote>
  <w:footnote w:id="93">
    <w:p w14:paraId="2D7CDDAE" w14:textId="5BA65BD5"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AC64CA">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p>
  </w:footnote>
  <w:footnote w:id="94">
    <w:p w14:paraId="2A5114C9" w14:textId="181DE903" w:rsidR="004E3EF9" w:rsidRPr="00635917" w:rsidRDefault="004E3EF9" w:rsidP="00E63179">
      <w:pPr>
        <w:spacing w:after="0" w:line="240" w:lineRule="auto"/>
        <w:ind w:left="357" w:hanging="357"/>
        <w:jc w:val="both"/>
        <w:rPr>
          <w:rFonts w:ascii="Arial" w:hAnsi="Arial" w:cs="Arial"/>
          <w:sz w:val="20"/>
          <w:szCs w:val="20"/>
          <w:lang w:val="de-DE"/>
        </w:rPr>
      </w:pPr>
      <w:r w:rsidRPr="00635917">
        <w:rPr>
          <w:rStyle w:val="FootnoteReference"/>
          <w:rFonts w:ascii="Arial" w:hAnsi="Arial" w:cs="Arial"/>
          <w:sz w:val="20"/>
          <w:szCs w:val="20"/>
        </w:rPr>
        <w:footnoteRef/>
      </w:r>
      <w:r w:rsidRPr="00635917">
        <w:rPr>
          <w:rFonts w:ascii="Arial" w:hAnsi="Arial" w:cs="Arial"/>
          <w:sz w:val="20"/>
          <w:szCs w:val="20"/>
          <w:lang w:val="de-DE"/>
        </w:rPr>
        <w:t xml:space="preserve"> </w:t>
      </w:r>
      <w:r w:rsidR="00AC64CA">
        <w:rPr>
          <w:rFonts w:ascii="Arial" w:hAnsi="Arial" w:cs="Arial"/>
          <w:sz w:val="20"/>
          <w:szCs w:val="20"/>
          <w:lang w:val="de-DE"/>
        </w:rPr>
        <w:tab/>
      </w:r>
      <w:r w:rsidRPr="00635917">
        <w:rPr>
          <w:rFonts w:ascii="Arial" w:hAnsi="Arial" w:cs="Arial"/>
          <w:sz w:val="20"/>
          <w:szCs w:val="20"/>
          <w:lang w:val="de-DE"/>
        </w:rPr>
        <w:t xml:space="preserve">Van der Merwe &amp; </w:t>
      </w:r>
      <w:r w:rsidR="00863355">
        <w:rPr>
          <w:rFonts w:ascii="Arial" w:hAnsi="Arial" w:cs="Arial"/>
          <w:sz w:val="20"/>
          <w:szCs w:val="20"/>
          <w:lang w:val="de-DE"/>
        </w:rPr>
        <w:t>De Waal</w:t>
      </w:r>
      <w:r w:rsidRPr="00635917">
        <w:rPr>
          <w:rFonts w:ascii="Arial" w:hAnsi="Arial" w:cs="Arial"/>
          <w:sz w:val="20"/>
          <w:szCs w:val="20"/>
          <w:lang w:val="de-DE"/>
        </w:rPr>
        <w:t xml:space="preserve"> 1993:72.</w:t>
      </w:r>
    </w:p>
  </w:footnote>
  <w:footnote w:id="95">
    <w:p w14:paraId="03971BD2" w14:textId="01B5CD91" w:rsidR="004E3EF9" w:rsidRPr="00635917" w:rsidRDefault="004E3EF9" w:rsidP="00E63179">
      <w:pPr>
        <w:spacing w:after="0" w:line="240" w:lineRule="auto"/>
        <w:ind w:left="357" w:hanging="357"/>
        <w:jc w:val="both"/>
        <w:rPr>
          <w:rFonts w:ascii="Arial" w:hAnsi="Arial" w:cs="Arial"/>
          <w:sz w:val="20"/>
          <w:szCs w:val="20"/>
          <w:lang w:val="en-GB"/>
        </w:rPr>
      </w:pPr>
      <w:r w:rsidRPr="00635917">
        <w:rPr>
          <w:rStyle w:val="FootnoteReference"/>
          <w:rFonts w:ascii="Arial" w:hAnsi="Arial" w:cs="Arial"/>
          <w:sz w:val="20"/>
          <w:szCs w:val="20"/>
        </w:rPr>
        <w:footnoteRef/>
      </w:r>
      <w:r w:rsidRPr="007E1471">
        <w:rPr>
          <w:rFonts w:ascii="Arial" w:hAnsi="Arial" w:cs="Arial"/>
          <w:sz w:val="20"/>
          <w:szCs w:val="20"/>
          <w:lang w:val="de-DE"/>
        </w:rPr>
        <w:t xml:space="preserve"> </w:t>
      </w:r>
      <w:r w:rsidR="00AC64CA" w:rsidRPr="007E1471">
        <w:rPr>
          <w:rFonts w:ascii="Arial" w:hAnsi="Arial" w:cs="Arial"/>
          <w:sz w:val="20"/>
          <w:szCs w:val="20"/>
          <w:lang w:val="de-DE"/>
        </w:rPr>
        <w:tab/>
      </w:r>
      <w:r w:rsidRPr="007E1471">
        <w:rPr>
          <w:rFonts w:ascii="Arial" w:hAnsi="Arial" w:cs="Arial"/>
          <w:sz w:val="20"/>
          <w:szCs w:val="20"/>
          <w:lang w:val="de-DE"/>
        </w:rPr>
        <w:t xml:space="preserve">Van der Merwe &amp; </w:t>
      </w:r>
      <w:r w:rsidR="00863355" w:rsidRPr="007E1471">
        <w:rPr>
          <w:rFonts w:ascii="Arial" w:hAnsi="Arial" w:cs="Arial"/>
          <w:sz w:val="20"/>
          <w:szCs w:val="20"/>
          <w:lang w:val="de-DE"/>
        </w:rPr>
        <w:t>De Waal</w:t>
      </w:r>
      <w:r w:rsidRPr="007E1471">
        <w:rPr>
          <w:rFonts w:ascii="Arial" w:hAnsi="Arial" w:cs="Arial"/>
          <w:sz w:val="20"/>
          <w:szCs w:val="20"/>
          <w:lang w:val="de-DE"/>
        </w:rPr>
        <w:t xml:space="preserve"> 1993:72</w:t>
      </w:r>
      <w:r w:rsidR="0000767F" w:rsidRPr="007E1471">
        <w:rPr>
          <w:rFonts w:ascii="Arial" w:hAnsi="Arial" w:cs="Arial"/>
          <w:sz w:val="20"/>
          <w:szCs w:val="20"/>
          <w:lang w:val="de-DE"/>
        </w:rPr>
        <w:t xml:space="preserve">. </w:t>
      </w:r>
      <w:r w:rsidRPr="00635917">
        <w:rPr>
          <w:rFonts w:ascii="Arial" w:hAnsi="Arial" w:cs="Arial"/>
          <w:sz w:val="20"/>
          <w:szCs w:val="20"/>
          <w:lang w:val="en-GB"/>
        </w:rPr>
        <w:t xml:space="preserve">In </w:t>
      </w:r>
      <w:r w:rsidRPr="00635917">
        <w:rPr>
          <w:rFonts w:ascii="Arial" w:hAnsi="Arial" w:cs="Arial"/>
          <w:i/>
          <w:iCs/>
          <w:sz w:val="20"/>
          <w:szCs w:val="20"/>
          <w:lang w:val="en-GB"/>
        </w:rPr>
        <w:t>Potgieter v Du Plessis</w:t>
      </w:r>
      <w:r w:rsidR="00A544A0">
        <w:rPr>
          <w:rFonts w:ascii="Arial" w:hAnsi="Arial" w:cs="Arial"/>
          <w:sz w:val="20"/>
          <w:szCs w:val="20"/>
          <w:lang w:val="en-GB"/>
        </w:rPr>
        <w:t xml:space="preserve">, </w:t>
      </w:r>
      <w:r w:rsidRPr="00635917">
        <w:rPr>
          <w:rFonts w:ascii="Arial" w:hAnsi="Arial" w:cs="Arial"/>
          <w:sz w:val="20"/>
          <w:szCs w:val="20"/>
          <w:lang w:val="en-GB"/>
        </w:rPr>
        <w:t>it was held that the fact that the respondent had called in the aid of the police was not enough to render his dispossession of the applicant lawful (</w:t>
      </w:r>
      <w:r w:rsidRPr="00635917">
        <w:rPr>
          <w:rFonts w:ascii="Arial" w:hAnsi="Arial" w:cs="Arial"/>
          <w:i/>
          <w:iCs/>
          <w:sz w:val="20"/>
          <w:szCs w:val="20"/>
          <w:lang w:val="en-GB"/>
        </w:rPr>
        <w:t>Potgieter v Du Plessis</w:t>
      </w:r>
      <w:r w:rsidRPr="00635917">
        <w:rPr>
          <w:rFonts w:ascii="Arial" w:hAnsi="Arial" w:cs="Arial"/>
          <w:sz w:val="20"/>
          <w:szCs w:val="20"/>
          <w:lang w:val="en-GB"/>
        </w:rPr>
        <w:t xml:space="preserve"> </w:t>
      </w:r>
      <w:r w:rsidR="007E2959">
        <w:rPr>
          <w:rFonts w:ascii="Arial" w:hAnsi="Arial" w:cs="Arial"/>
          <w:sz w:val="20"/>
          <w:szCs w:val="20"/>
          <w:lang w:val="en-GB"/>
        </w:rPr>
        <w:t>[</w:t>
      </w:r>
      <w:r w:rsidRPr="00635917">
        <w:rPr>
          <w:rFonts w:ascii="Arial" w:hAnsi="Arial" w:cs="Arial"/>
          <w:sz w:val="20"/>
          <w:szCs w:val="20"/>
          <w:lang w:val="en-GB"/>
        </w:rPr>
        <w:t>1978</w:t>
      </w:r>
      <w:r w:rsidR="007E2959">
        <w:rPr>
          <w:rFonts w:ascii="Arial" w:hAnsi="Arial" w:cs="Arial"/>
          <w:sz w:val="20"/>
          <w:szCs w:val="20"/>
          <w:lang w:val="en-GB"/>
        </w:rPr>
        <w:t>]</w:t>
      </w:r>
      <w:r w:rsidRPr="00635917">
        <w:rPr>
          <w:rFonts w:ascii="Arial" w:hAnsi="Arial" w:cs="Arial"/>
          <w:sz w:val="20"/>
          <w:szCs w:val="20"/>
          <w:lang w:val="en-GB"/>
        </w:rPr>
        <w:t xml:space="preserve"> 2 ALL SA 173 (NC)</w:t>
      </w:r>
      <w:r w:rsidR="00074F84">
        <w:rPr>
          <w:rFonts w:ascii="Arial" w:hAnsi="Arial" w:cs="Arial"/>
          <w:sz w:val="20"/>
          <w:szCs w:val="20"/>
          <w:lang w:val="en-GB"/>
        </w:rPr>
        <w:t>:</w:t>
      </w:r>
      <w:r w:rsidRPr="00635917">
        <w:rPr>
          <w:rFonts w:ascii="Arial" w:hAnsi="Arial" w:cs="Arial"/>
          <w:sz w:val="20"/>
          <w:szCs w:val="20"/>
          <w:lang w:val="en-GB"/>
        </w:rPr>
        <w:t>177).</w:t>
      </w:r>
    </w:p>
  </w:footnote>
  <w:footnote w:id="96">
    <w:p w14:paraId="5712EEA0" w14:textId="420ABD70"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C64CA">
        <w:rPr>
          <w:rFonts w:ascii="Arial" w:hAnsi="Arial" w:cs="Arial"/>
        </w:rPr>
        <w:tab/>
      </w:r>
      <w:proofErr w:type="spellStart"/>
      <w:r w:rsidRPr="00635917">
        <w:rPr>
          <w:rFonts w:ascii="Arial" w:hAnsi="Arial" w:cs="Arial"/>
          <w:lang w:val="en-GB"/>
        </w:rPr>
        <w:t>Hahlo</w:t>
      </w:r>
      <w:proofErr w:type="spellEnd"/>
      <w:r w:rsidRPr="00635917">
        <w:rPr>
          <w:rFonts w:ascii="Arial" w:hAnsi="Arial" w:cs="Arial"/>
          <w:lang w:val="en-GB"/>
        </w:rPr>
        <w:t xml:space="preserve"> 1954-1955</w:t>
      </w:r>
      <w:r w:rsidR="00074F84">
        <w:rPr>
          <w:rFonts w:ascii="Arial" w:hAnsi="Arial" w:cs="Arial"/>
          <w:lang w:val="en-GB"/>
        </w:rPr>
        <w:t>:</w:t>
      </w:r>
      <w:r w:rsidRPr="00635917">
        <w:rPr>
          <w:rFonts w:ascii="Arial" w:hAnsi="Arial" w:cs="Arial"/>
          <w:lang w:val="en-GB"/>
        </w:rPr>
        <w:t>727.</w:t>
      </w:r>
    </w:p>
  </w:footnote>
  <w:footnote w:id="97">
    <w:p w14:paraId="0C5957D4" w14:textId="311245E8"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C64CA">
        <w:rPr>
          <w:rFonts w:ascii="Arial" w:hAnsi="Arial" w:cs="Arial"/>
        </w:rPr>
        <w:tab/>
      </w:r>
      <w:proofErr w:type="spellStart"/>
      <w:r w:rsidRPr="00635917">
        <w:rPr>
          <w:rFonts w:ascii="Arial" w:hAnsi="Arial" w:cs="Arial"/>
          <w:lang w:val="en-GB"/>
        </w:rPr>
        <w:t>Hahlo</w:t>
      </w:r>
      <w:proofErr w:type="spellEnd"/>
      <w:r w:rsidRPr="00635917">
        <w:rPr>
          <w:rFonts w:ascii="Arial" w:hAnsi="Arial" w:cs="Arial"/>
          <w:lang w:val="en-GB"/>
        </w:rPr>
        <w:t xml:space="preserve"> 1954-1955</w:t>
      </w:r>
      <w:r w:rsidR="00074F84">
        <w:rPr>
          <w:rFonts w:ascii="Arial" w:hAnsi="Arial" w:cs="Arial"/>
          <w:lang w:val="en-GB"/>
        </w:rPr>
        <w:t>:</w:t>
      </w:r>
      <w:r w:rsidRPr="00635917">
        <w:rPr>
          <w:rFonts w:ascii="Arial" w:hAnsi="Arial" w:cs="Arial"/>
          <w:lang w:val="en-GB"/>
        </w:rPr>
        <w:t>727.</w:t>
      </w:r>
    </w:p>
  </w:footnote>
  <w:footnote w:id="98">
    <w:p w14:paraId="5A8B227A" w14:textId="1DC1AC45"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C64CA">
        <w:rPr>
          <w:rFonts w:ascii="Arial" w:hAnsi="Arial" w:cs="Arial"/>
        </w:rPr>
        <w:tab/>
      </w:r>
      <w:r w:rsidRPr="00635917">
        <w:rPr>
          <w:rFonts w:ascii="Arial" w:hAnsi="Arial" w:cs="Arial"/>
          <w:i/>
          <w:iCs/>
          <w:lang w:val="en-GB"/>
        </w:rPr>
        <w:t>Nino Bonino v De Lange</w:t>
      </w:r>
      <w:r w:rsidRPr="00635917">
        <w:rPr>
          <w:rFonts w:ascii="Arial" w:hAnsi="Arial" w:cs="Arial"/>
          <w:lang w:val="en-GB"/>
        </w:rPr>
        <w:t xml:space="preserve">; </w:t>
      </w:r>
      <w:r w:rsidRPr="00635917">
        <w:rPr>
          <w:rFonts w:ascii="Arial" w:hAnsi="Arial" w:cs="Arial"/>
          <w:i/>
          <w:iCs/>
          <w:lang w:val="en-GB"/>
        </w:rPr>
        <w:t xml:space="preserve">Yeko v </w:t>
      </w:r>
      <w:proofErr w:type="spellStart"/>
      <w:r w:rsidRPr="00635917">
        <w:rPr>
          <w:rFonts w:ascii="Arial" w:hAnsi="Arial" w:cs="Arial"/>
          <w:i/>
          <w:iCs/>
          <w:lang w:val="en-GB"/>
        </w:rPr>
        <w:t>Qana</w:t>
      </w:r>
      <w:proofErr w:type="spellEnd"/>
      <w:r w:rsidRPr="00635917">
        <w:rPr>
          <w:rFonts w:ascii="Arial" w:hAnsi="Arial" w:cs="Arial"/>
          <w:lang w:val="en-GB"/>
        </w:rPr>
        <w:t xml:space="preserve"> </w:t>
      </w:r>
      <w:r w:rsidR="00F54299">
        <w:rPr>
          <w:rFonts w:ascii="Arial" w:hAnsi="Arial" w:cs="Arial"/>
          <w:lang w:val="en-GB"/>
        </w:rPr>
        <w:t>[</w:t>
      </w:r>
      <w:r w:rsidRPr="00635917">
        <w:rPr>
          <w:rFonts w:ascii="Arial" w:hAnsi="Arial" w:cs="Arial"/>
          <w:lang w:val="en-GB"/>
        </w:rPr>
        <w:t>1973</w:t>
      </w:r>
      <w:r w:rsidR="00F54299">
        <w:rPr>
          <w:rFonts w:ascii="Arial" w:hAnsi="Arial" w:cs="Arial"/>
          <w:lang w:val="en-GB"/>
        </w:rPr>
        <w:t>]</w:t>
      </w:r>
      <w:r w:rsidRPr="00635917">
        <w:rPr>
          <w:rFonts w:ascii="Arial" w:hAnsi="Arial" w:cs="Arial"/>
          <w:lang w:val="en-GB"/>
        </w:rPr>
        <w:t xml:space="preserve"> 4 ALL SA 512(A).</w:t>
      </w:r>
    </w:p>
  </w:footnote>
  <w:footnote w:id="99">
    <w:p w14:paraId="26B68095" w14:textId="7583D1FE"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Pr="00635917">
        <w:rPr>
          <w:rFonts w:ascii="Arial" w:hAnsi="Arial" w:cs="Arial"/>
          <w:lang w:val="en-GB"/>
        </w:rPr>
        <w:t>:123.</w:t>
      </w:r>
    </w:p>
  </w:footnote>
  <w:footnote w:id="100">
    <w:p w14:paraId="426F9AF0" w14:textId="5D1C020B"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Pr="00635917">
        <w:rPr>
          <w:rFonts w:ascii="Arial" w:hAnsi="Arial" w:cs="Arial"/>
          <w:lang w:val="en-GB"/>
        </w:rPr>
        <w:t>:122.</w:t>
      </w:r>
    </w:p>
  </w:footnote>
  <w:footnote w:id="101">
    <w:p w14:paraId="4E97B59D" w14:textId="16875B1B"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00074F84">
        <w:rPr>
          <w:rFonts w:ascii="Arial" w:hAnsi="Arial" w:cs="Arial"/>
          <w:lang w:val="en-GB"/>
        </w:rPr>
        <w:t>:</w:t>
      </w:r>
      <w:r w:rsidRPr="00635917">
        <w:rPr>
          <w:rFonts w:ascii="Arial" w:hAnsi="Arial" w:cs="Arial"/>
          <w:lang w:val="en-GB"/>
        </w:rPr>
        <w:t>123.</w:t>
      </w:r>
    </w:p>
  </w:footnote>
  <w:footnote w:id="102">
    <w:p w14:paraId="2D1F2C5E" w14:textId="61BEDEFE"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00074F84">
        <w:rPr>
          <w:rFonts w:ascii="Arial" w:hAnsi="Arial" w:cs="Arial"/>
          <w:lang w:val="en-GB"/>
        </w:rPr>
        <w:t>:</w:t>
      </w:r>
      <w:r w:rsidRPr="00635917">
        <w:rPr>
          <w:rFonts w:ascii="Arial" w:hAnsi="Arial" w:cs="Arial"/>
          <w:lang w:val="en-GB"/>
        </w:rPr>
        <w:t>124.</w:t>
      </w:r>
    </w:p>
  </w:footnote>
  <w:footnote w:id="103">
    <w:p w14:paraId="1FF5CDF2" w14:textId="727D9B59"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00074F84">
        <w:rPr>
          <w:rFonts w:ascii="Arial" w:hAnsi="Arial" w:cs="Arial"/>
          <w:lang w:val="en-GB"/>
        </w:rPr>
        <w:t>:</w:t>
      </w:r>
      <w:r w:rsidRPr="00635917">
        <w:rPr>
          <w:rFonts w:ascii="Arial" w:hAnsi="Arial" w:cs="Arial"/>
          <w:lang w:val="en-GB"/>
        </w:rPr>
        <w:t>124.</w:t>
      </w:r>
    </w:p>
  </w:footnote>
  <w:footnote w:id="104">
    <w:p w14:paraId="33EA6E71" w14:textId="57BDA6C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Nino Bonino v De Lange</w:t>
      </w:r>
      <w:r w:rsidR="00074F84">
        <w:rPr>
          <w:rFonts w:ascii="Arial" w:hAnsi="Arial" w:cs="Arial"/>
          <w:lang w:val="en-GB"/>
        </w:rPr>
        <w:t>:</w:t>
      </w:r>
      <w:r w:rsidRPr="00635917">
        <w:rPr>
          <w:rFonts w:ascii="Arial" w:hAnsi="Arial" w:cs="Arial"/>
          <w:lang w:val="en-GB"/>
        </w:rPr>
        <w:t>125-126.</w:t>
      </w:r>
    </w:p>
  </w:footnote>
  <w:footnote w:id="105">
    <w:p w14:paraId="439BC15D" w14:textId="21B5283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513.</w:t>
      </w:r>
    </w:p>
  </w:footnote>
  <w:footnote w:id="106">
    <w:p w14:paraId="4955DE3B" w14:textId="770B8FD4"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514.</w:t>
      </w:r>
    </w:p>
  </w:footnote>
  <w:footnote w:id="107">
    <w:p w14:paraId="7E3B6847" w14:textId="1F2A5BC4"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514.</w:t>
      </w:r>
    </w:p>
  </w:footnote>
  <w:footnote w:id="108">
    <w:p w14:paraId="481C6CBF" w14:textId="370F3277" w:rsidR="004E3EF9" w:rsidRPr="00635917" w:rsidRDefault="004E3EF9"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513.</w:t>
      </w:r>
    </w:p>
  </w:footnote>
  <w:footnote w:id="109">
    <w:p w14:paraId="0584A618" w14:textId="08F9016C" w:rsidR="004E3EF9" w:rsidRPr="00635917" w:rsidRDefault="004E3EF9" w:rsidP="00E63179">
      <w:pPr>
        <w:pStyle w:val="FootnoteText"/>
        <w:ind w:left="357" w:hanging="357"/>
        <w:jc w:val="both"/>
        <w:rPr>
          <w:rFonts w:ascii="Arial" w:hAnsi="Arial" w:cs="Arial"/>
          <w:lang w:val="de-DE"/>
        </w:rPr>
      </w:pPr>
      <w:r w:rsidRPr="00635917">
        <w:rPr>
          <w:rStyle w:val="FootnoteReference"/>
        </w:rPr>
        <w:footnoteRef/>
      </w:r>
      <w:r w:rsidRPr="00635917">
        <w:rPr>
          <w:lang w:val="de-DE"/>
        </w:rPr>
        <w:t xml:space="preserve"> </w:t>
      </w:r>
      <w:r w:rsidR="00F54299">
        <w:rPr>
          <w:lang w:val="de-DE"/>
        </w:rPr>
        <w:tab/>
      </w:r>
      <w:r w:rsidRPr="00635917">
        <w:rPr>
          <w:rFonts w:ascii="Arial" w:hAnsi="Arial" w:cs="Arial"/>
          <w:i/>
          <w:iCs/>
          <w:lang w:val="de-DE"/>
        </w:rPr>
        <w:t>Yeko v Qana</w:t>
      </w:r>
      <w:r w:rsidRPr="00635917">
        <w:rPr>
          <w:rFonts w:ascii="Arial" w:hAnsi="Arial" w:cs="Arial"/>
          <w:lang w:val="de-DE"/>
        </w:rPr>
        <w:t xml:space="preserve">; Van der </w:t>
      </w:r>
      <w:r w:rsidR="00F54299" w:rsidRPr="00635917">
        <w:rPr>
          <w:rFonts w:ascii="Arial" w:hAnsi="Arial" w:cs="Arial"/>
          <w:lang w:val="de-DE"/>
        </w:rPr>
        <w:t xml:space="preserve">Walt </w:t>
      </w:r>
      <w:r w:rsidRPr="00635917">
        <w:rPr>
          <w:rFonts w:ascii="Arial" w:hAnsi="Arial" w:cs="Arial"/>
          <w:lang w:val="de-DE"/>
        </w:rPr>
        <w:t>2002:267.</w:t>
      </w:r>
    </w:p>
  </w:footnote>
  <w:footnote w:id="110">
    <w:p w14:paraId="4CE49DDE" w14:textId="0C43F5F4"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54299">
        <w:rPr>
          <w:rFonts w:ascii="Arial" w:hAnsi="Arial" w:cs="Arial"/>
          <w:lang w:val="de-DE"/>
        </w:rPr>
        <w:tab/>
      </w:r>
      <w:r w:rsidRPr="00635917">
        <w:rPr>
          <w:rFonts w:ascii="Arial" w:hAnsi="Arial" w:cs="Arial"/>
          <w:lang w:val="de-DE"/>
        </w:rPr>
        <w:t>Van der Walt 2002:267.</w:t>
      </w:r>
    </w:p>
  </w:footnote>
  <w:footnote w:id="111">
    <w:p w14:paraId="79891B7F" w14:textId="6C49F174" w:rsidR="004E3EF9" w:rsidRPr="007E1471"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F54299" w:rsidRPr="007E1471">
        <w:rPr>
          <w:rFonts w:ascii="Arial" w:hAnsi="Arial" w:cs="Arial"/>
          <w:lang w:val="de-DE"/>
        </w:rPr>
        <w:tab/>
      </w:r>
      <w:r w:rsidRPr="007E1471">
        <w:rPr>
          <w:rFonts w:ascii="Arial" w:hAnsi="Arial" w:cs="Arial"/>
          <w:i/>
          <w:iCs/>
          <w:lang w:val="de-DE"/>
        </w:rPr>
        <w:t>Yeko v Qana</w:t>
      </w:r>
      <w:r w:rsidR="00074F84" w:rsidRPr="007E1471">
        <w:rPr>
          <w:rFonts w:ascii="Arial" w:hAnsi="Arial" w:cs="Arial"/>
          <w:lang w:val="de-DE"/>
        </w:rPr>
        <w:t>:</w:t>
      </w:r>
      <w:r w:rsidRPr="007E1471">
        <w:rPr>
          <w:rFonts w:ascii="Arial" w:hAnsi="Arial" w:cs="Arial"/>
          <w:lang w:val="de-DE"/>
        </w:rPr>
        <w:t>515.</w:t>
      </w:r>
    </w:p>
  </w:footnote>
  <w:footnote w:id="112">
    <w:p w14:paraId="1BF0CCC7" w14:textId="6BC0D59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516. The kind of possession expected of the applicant to prove is possession of a thing with the intention to derive benefits and not possession in the juridical sense.</w:t>
      </w:r>
    </w:p>
  </w:footnote>
  <w:footnote w:id="113">
    <w:p w14:paraId="7FECA8A9" w14:textId="5FCE0134"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516.</w:t>
      </w:r>
    </w:p>
  </w:footnote>
  <w:footnote w:id="114">
    <w:p w14:paraId="350F4857" w14:textId="7D110686"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54299">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516. The court cited with approval the passage of Voet where he stated that ‘the injustice of the possession of the person despoiled is irrelevant as he is entitled to a spoliation order even if he is a thief or a robber’.</w:t>
      </w:r>
    </w:p>
  </w:footnote>
  <w:footnote w:id="115">
    <w:p w14:paraId="26570FA4" w14:textId="64924BC2"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13F73">
        <w:rPr>
          <w:rFonts w:ascii="Arial" w:hAnsi="Arial" w:cs="Arial"/>
        </w:rPr>
        <w:tab/>
      </w:r>
      <w:r w:rsidRPr="00635917">
        <w:rPr>
          <w:rFonts w:ascii="Arial" w:hAnsi="Arial" w:cs="Arial"/>
          <w:i/>
          <w:iCs/>
          <w:lang w:val="en-GB"/>
        </w:rPr>
        <w:t>Yeko v Qana</w:t>
      </w:r>
      <w:r w:rsidR="00213F73">
        <w:rPr>
          <w:rFonts w:ascii="Arial" w:hAnsi="Arial" w:cs="Arial"/>
          <w:i/>
          <w:iCs/>
          <w:lang w:val="en-GB"/>
        </w:rPr>
        <w:t>:</w:t>
      </w:r>
      <w:r w:rsidRPr="00635917">
        <w:rPr>
          <w:rFonts w:ascii="Arial" w:hAnsi="Arial" w:cs="Arial"/>
          <w:lang w:val="en-GB"/>
        </w:rPr>
        <w:t>517.</w:t>
      </w:r>
    </w:p>
  </w:footnote>
  <w:footnote w:id="116">
    <w:p w14:paraId="74FFDED7" w14:textId="5B71437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213F73">
        <w:rPr>
          <w:rFonts w:ascii="Arial" w:hAnsi="Arial" w:cs="Arial"/>
        </w:rPr>
        <w:tab/>
      </w:r>
      <w:r w:rsidRPr="00635917">
        <w:rPr>
          <w:rFonts w:ascii="Arial" w:hAnsi="Arial" w:cs="Arial"/>
          <w:i/>
          <w:iCs/>
          <w:lang w:val="en-GB"/>
        </w:rPr>
        <w:t>Yeko v Qana</w:t>
      </w:r>
      <w:r w:rsidR="00074F84">
        <w:rPr>
          <w:rFonts w:ascii="Arial" w:hAnsi="Arial" w:cs="Arial"/>
          <w:lang w:val="en-GB"/>
        </w:rPr>
        <w:t>:</w:t>
      </w:r>
      <w:r w:rsidRPr="00635917">
        <w:rPr>
          <w:rFonts w:ascii="Arial" w:hAnsi="Arial" w:cs="Arial"/>
          <w:lang w:val="en-GB"/>
        </w:rPr>
        <w:t>516</w:t>
      </w:r>
      <w:r w:rsidR="00213F73">
        <w:rPr>
          <w:rFonts w:ascii="Arial" w:hAnsi="Arial" w:cs="Arial"/>
          <w:lang w:val="en-GB"/>
        </w:rPr>
        <w:t>,</w:t>
      </w:r>
      <w:r w:rsidRPr="00635917">
        <w:rPr>
          <w:rFonts w:ascii="Arial" w:hAnsi="Arial" w:cs="Arial"/>
          <w:lang w:val="en-GB"/>
        </w:rPr>
        <w:t xml:space="preserve"> 517.</w:t>
      </w:r>
    </w:p>
  </w:footnote>
  <w:footnote w:id="117">
    <w:p w14:paraId="1714DD43" w14:textId="23352A75"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213F73">
        <w:rPr>
          <w:rFonts w:ascii="Arial" w:hAnsi="Arial" w:cs="Arial"/>
          <w:lang w:val="de-DE"/>
        </w:rPr>
        <w:tab/>
      </w:r>
      <w:r w:rsidRPr="00635917">
        <w:rPr>
          <w:rFonts w:ascii="Arial" w:hAnsi="Arial" w:cs="Arial"/>
          <w:lang w:val="de-DE"/>
        </w:rPr>
        <w:t>Van der Walt 2002:268-269.</w:t>
      </w:r>
    </w:p>
  </w:footnote>
  <w:footnote w:id="118">
    <w:p w14:paraId="0F5DFA6A" w14:textId="3913E845" w:rsidR="00245E5B" w:rsidRPr="009B1729" w:rsidRDefault="00245E5B" w:rsidP="009E6526">
      <w:pPr>
        <w:pStyle w:val="FootnoteText"/>
        <w:ind w:left="357" w:hanging="357"/>
        <w:rPr>
          <w:iCs/>
        </w:rPr>
      </w:pPr>
      <w:r>
        <w:rPr>
          <w:rStyle w:val="FootnoteReference"/>
        </w:rPr>
        <w:footnoteRef/>
      </w:r>
      <w:r>
        <w:t xml:space="preserve">   </w:t>
      </w:r>
      <w:r w:rsidR="009B1729" w:rsidRPr="00635917">
        <w:rPr>
          <w:rFonts w:ascii="Arial" w:hAnsi="Arial" w:cs="Arial"/>
          <w:i/>
        </w:rPr>
        <w:t>Eskom Holdings SOC Limited v Masinda</w:t>
      </w:r>
      <w:r w:rsidR="0016096E">
        <w:rPr>
          <w:rFonts w:ascii="Arial" w:hAnsi="Arial" w:cs="Arial"/>
          <w:iCs/>
        </w:rPr>
        <w:t>.</w:t>
      </w:r>
    </w:p>
  </w:footnote>
  <w:footnote w:id="119">
    <w:p w14:paraId="16791042" w14:textId="743DD65E" w:rsidR="004E3EF9" w:rsidRPr="0074255B"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213F73">
        <w:rPr>
          <w:rFonts w:ascii="Arial" w:hAnsi="Arial" w:cs="Arial"/>
          <w:lang w:val="de-DE"/>
        </w:rPr>
        <w:tab/>
      </w:r>
      <w:r w:rsidRPr="00635917">
        <w:rPr>
          <w:rFonts w:ascii="Arial" w:hAnsi="Arial" w:cs="Arial"/>
          <w:lang w:val="de-DE"/>
        </w:rPr>
        <w:t xml:space="preserve">Van </w:t>
      </w:r>
      <w:r w:rsidRPr="0074255B">
        <w:rPr>
          <w:rFonts w:ascii="Arial" w:hAnsi="Arial" w:cs="Arial"/>
          <w:lang w:val="de-DE"/>
        </w:rPr>
        <w:t xml:space="preserve">der Merwe &amp; </w:t>
      </w:r>
      <w:r w:rsidR="00863355" w:rsidRPr="0074255B">
        <w:rPr>
          <w:rFonts w:ascii="Arial" w:hAnsi="Arial" w:cs="Arial"/>
          <w:lang w:val="de-DE"/>
        </w:rPr>
        <w:t>De Waal</w:t>
      </w:r>
      <w:r w:rsidRPr="0074255B">
        <w:rPr>
          <w:rFonts w:ascii="Arial" w:hAnsi="Arial" w:cs="Arial"/>
          <w:lang w:val="de-DE"/>
        </w:rPr>
        <w:t xml:space="preserve"> 1993:70</w:t>
      </w:r>
      <w:r w:rsidRPr="00737CC5">
        <w:rPr>
          <w:rFonts w:ascii="Arial" w:hAnsi="Arial" w:cs="Arial"/>
          <w:lang w:val="de-DE"/>
        </w:rPr>
        <w:t xml:space="preserve">; Muller </w:t>
      </w:r>
      <w:r w:rsidRPr="00737CC5">
        <w:rPr>
          <w:rFonts w:ascii="Arial" w:hAnsi="Arial" w:cs="Arial"/>
          <w:i/>
          <w:lang w:val="de-DE"/>
        </w:rPr>
        <w:t>et al</w:t>
      </w:r>
      <w:r w:rsidRPr="00737CC5">
        <w:rPr>
          <w:rFonts w:ascii="Arial" w:hAnsi="Arial" w:cs="Arial"/>
          <w:lang w:val="de-DE"/>
        </w:rPr>
        <w:t xml:space="preserve"> 2019</w:t>
      </w:r>
      <w:r w:rsidR="0074255B" w:rsidRPr="00737CC5">
        <w:rPr>
          <w:rFonts w:ascii="Arial" w:hAnsi="Arial" w:cs="Arial"/>
          <w:lang w:val="de-DE"/>
        </w:rPr>
        <w:t>a</w:t>
      </w:r>
      <w:r w:rsidR="00074F84" w:rsidRPr="00737CC5">
        <w:rPr>
          <w:rFonts w:ascii="Arial" w:hAnsi="Arial" w:cs="Arial"/>
          <w:lang w:val="de-DE"/>
        </w:rPr>
        <w:t>:</w:t>
      </w:r>
      <w:r w:rsidRPr="00737CC5">
        <w:rPr>
          <w:rFonts w:ascii="Arial" w:hAnsi="Arial" w:cs="Arial"/>
          <w:lang w:val="de-DE"/>
        </w:rPr>
        <w:t>19</w:t>
      </w:r>
      <w:r w:rsidR="00737CC5" w:rsidRPr="00737CC5">
        <w:rPr>
          <w:rFonts w:ascii="Arial" w:hAnsi="Arial" w:cs="Arial"/>
          <w:lang w:val="de-DE"/>
        </w:rPr>
        <w:t>8</w:t>
      </w:r>
      <w:r w:rsidR="00815394">
        <w:rPr>
          <w:rFonts w:ascii="Arial" w:hAnsi="Arial" w:cs="Arial"/>
          <w:lang w:val="de-DE"/>
        </w:rPr>
        <w:t>.</w:t>
      </w:r>
    </w:p>
  </w:footnote>
  <w:footnote w:id="120">
    <w:p w14:paraId="3D71814E" w14:textId="2EFA3D79" w:rsidR="004E3EF9" w:rsidRPr="0074255B"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4255B">
        <w:rPr>
          <w:rFonts w:ascii="Arial" w:hAnsi="Arial" w:cs="Arial"/>
          <w:lang w:val="de-DE"/>
        </w:rPr>
        <w:t xml:space="preserve"> </w:t>
      </w:r>
      <w:r w:rsidR="00213F73" w:rsidRPr="0074255B">
        <w:rPr>
          <w:rFonts w:ascii="Arial" w:hAnsi="Arial" w:cs="Arial"/>
          <w:lang w:val="de-DE"/>
        </w:rPr>
        <w:tab/>
      </w:r>
      <w:r w:rsidRPr="0074255B">
        <w:rPr>
          <w:rFonts w:ascii="Arial" w:hAnsi="Arial" w:cs="Arial"/>
          <w:lang w:val="de-DE"/>
        </w:rPr>
        <w:t xml:space="preserve">Van der Merwe &amp; </w:t>
      </w:r>
      <w:r w:rsidR="00863355" w:rsidRPr="0074255B">
        <w:rPr>
          <w:rFonts w:ascii="Arial" w:hAnsi="Arial" w:cs="Arial"/>
          <w:lang w:val="de-DE"/>
        </w:rPr>
        <w:t>De Waal</w:t>
      </w:r>
      <w:r w:rsidRPr="0074255B">
        <w:rPr>
          <w:rFonts w:ascii="Arial" w:hAnsi="Arial" w:cs="Arial"/>
          <w:lang w:val="de-DE"/>
        </w:rPr>
        <w:t xml:space="preserve"> 1993:70.</w:t>
      </w:r>
    </w:p>
  </w:footnote>
  <w:footnote w:id="121">
    <w:p w14:paraId="467A5232" w14:textId="0F026F8C" w:rsidR="004E3EF9" w:rsidRPr="0074255B"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4255B">
        <w:rPr>
          <w:rFonts w:ascii="Arial" w:hAnsi="Arial" w:cs="Arial"/>
          <w:lang w:val="de-DE"/>
        </w:rPr>
        <w:t xml:space="preserve"> </w:t>
      </w:r>
      <w:r w:rsidR="00213F73" w:rsidRPr="0074255B">
        <w:rPr>
          <w:rFonts w:ascii="Arial" w:hAnsi="Arial" w:cs="Arial"/>
          <w:lang w:val="de-DE"/>
        </w:rPr>
        <w:tab/>
      </w:r>
      <w:r w:rsidR="00815394" w:rsidRPr="0074255B">
        <w:rPr>
          <w:rFonts w:ascii="Arial" w:hAnsi="Arial" w:cs="Arial"/>
          <w:lang w:val="de-DE"/>
        </w:rPr>
        <w:t xml:space="preserve">Muller </w:t>
      </w:r>
      <w:r w:rsidR="00815394" w:rsidRPr="0074255B">
        <w:rPr>
          <w:rFonts w:ascii="Arial" w:hAnsi="Arial" w:cs="Arial"/>
          <w:i/>
          <w:iCs/>
          <w:lang w:val="de-DE"/>
        </w:rPr>
        <w:t>et al</w:t>
      </w:r>
      <w:r w:rsidR="00815394" w:rsidRPr="0074255B">
        <w:rPr>
          <w:rFonts w:ascii="Arial" w:hAnsi="Arial" w:cs="Arial"/>
          <w:lang w:val="de-DE"/>
        </w:rPr>
        <w:t xml:space="preserve"> 2019b:328.</w:t>
      </w:r>
    </w:p>
  </w:footnote>
  <w:footnote w:id="122">
    <w:p w14:paraId="5DB01F3B" w14:textId="1F932B9B" w:rsidR="004E3EF9" w:rsidRPr="0074255B" w:rsidRDefault="004E3EF9" w:rsidP="00E63179">
      <w:pPr>
        <w:pStyle w:val="FootnoteText"/>
        <w:ind w:left="357" w:hanging="357"/>
        <w:jc w:val="both"/>
        <w:rPr>
          <w:rFonts w:ascii="Arial" w:hAnsi="Arial" w:cs="Arial"/>
          <w:lang w:val="en-GB"/>
        </w:rPr>
      </w:pPr>
      <w:r w:rsidRPr="0074255B">
        <w:rPr>
          <w:rStyle w:val="FootnoteReference"/>
          <w:rFonts w:ascii="Arial" w:hAnsi="Arial" w:cs="Arial"/>
        </w:rPr>
        <w:footnoteRef/>
      </w:r>
      <w:r w:rsidRPr="0074255B">
        <w:rPr>
          <w:rFonts w:ascii="Arial" w:hAnsi="Arial" w:cs="Arial"/>
          <w:lang w:val="de-DE"/>
        </w:rPr>
        <w:t xml:space="preserve"> </w:t>
      </w:r>
      <w:r w:rsidR="00213F73" w:rsidRPr="0074255B">
        <w:rPr>
          <w:rFonts w:ascii="Arial" w:hAnsi="Arial" w:cs="Arial"/>
          <w:lang w:val="de-DE"/>
        </w:rPr>
        <w:tab/>
      </w:r>
      <w:r w:rsidRPr="0074255B">
        <w:rPr>
          <w:rFonts w:ascii="Arial" w:hAnsi="Arial" w:cs="Arial"/>
          <w:lang w:val="de-DE"/>
        </w:rPr>
        <w:t xml:space="preserve">Van der Merwe &amp; </w:t>
      </w:r>
      <w:r w:rsidR="00863355" w:rsidRPr="0074255B">
        <w:rPr>
          <w:rFonts w:ascii="Arial" w:hAnsi="Arial" w:cs="Arial"/>
          <w:lang w:val="de-DE"/>
        </w:rPr>
        <w:t>De Waal</w:t>
      </w:r>
      <w:r w:rsidRPr="0074255B">
        <w:rPr>
          <w:rFonts w:ascii="Arial" w:hAnsi="Arial" w:cs="Arial"/>
          <w:lang w:val="de-DE"/>
        </w:rPr>
        <w:t xml:space="preserve"> 1993:71. </w:t>
      </w:r>
      <w:r w:rsidRPr="0074255B">
        <w:rPr>
          <w:rFonts w:ascii="Arial" w:hAnsi="Arial" w:cs="Arial"/>
          <w:lang w:val="en-GB"/>
        </w:rPr>
        <w:t>T</w:t>
      </w:r>
      <w:r w:rsidRPr="0074255B">
        <w:rPr>
          <w:rFonts w:ascii="Arial" w:hAnsi="Arial" w:cs="Arial"/>
          <w:shd w:val="clear" w:color="auto" w:fill="FFFFFF"/>
        </w:rPr>
        <w:t xml:space="preserve">his position was set out and confirmed by the court in </w:t>
      </w:r>
      <w:r w:rsidRPr="0074255B">
        <w:rPr>
          <w:rFonts w:ascii="Arial" w:hAnsi="Arial" w:cs="Arial"/>
          <w:i/>
        </w:rPr>
        <w:t>Zulu v Minister of Works, KwaZulu</w:t>
      </w:r>
      <w:r w:rsidR="007D59BD">
        <w:rPr>
          <w:rFonts w:ascii="Arial" w:hAnsi="Arial" w:cs="Arial"/>
        </w:rPr>
        <w:t>;</w:t>
      </w:r>
      <w:r w:rsidR="00686116">
        <w:rPr>
          <w:rFonts w:ascii="Arial" w:hAnsi="Arial" w:cs="Arial"/>
        </w:rPr>
        <w:t xml:space="preserve"> </w:t>
      </w:r>
      <w:r w:rsidRPr="0074255B">
        <w:rPr>
          <w:rFonts w:ascii="Arial" w:hAnsi="Arial" w:cs="Arial"/>
        </w:rPr>
        <w:t>where it was held that the reality of the spoliation remedy is that it is not concerned with the protection or restoration of rights - that its aim is the restoration of factual possession that was unlawfully despoiled.</w:t>
      </w:r>
    </w:p>
  </w:footnote>
  <w:footnote w:id="123">
    <w:p w14:paraId="48AAF6D2" w14:textId="5096DD8C" w:rsidR="004E3EF9" w:rsidRPr="0074255B"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4255B">
        <w:rPr>
          <w:rFonts w:ascii="Arial" w:hAnsi="Arial" w:cs="Arial"/>
          <w:lang w:val="de-DE"/>
        </w:rPr>
        <w:t xml:space="preserve"> </w:t>
      </w:r>
      <w:r w:rsidR="00213F73" w:rsidRPr="0074255B">
        <w:rPr>
          <w:rFonts w:ascii="Arial" w:hAnsi="Arial" w:cs="Arial"/>
          <w:lang w:val="de-DE"/>
        </w:rPr>
        <w:tab/>
      </w:r>
      <w:r w:rsidRPr="0074255B">
        <w:rPr>
          <w:rFonts w:ascii="Arial" w:hAnsi="Arial" w:cs="Arial"/>
          <w:lang w:val="de-DE"/>
        </w:rPr>
        <w:t xml:space="preserve">Muller </w:t>
      </w:r>
      <w:r w:rsidRPr="0074255B">
        <w:rPr>
          <w:rFonts w:ascii="Arial" w:hAnsi="Arial" w:cs="Arial"/>
          <w:i/>
          <w:iCs/>
          <w:lang w:val="de-DE"/>
        </w:rPr>
        <w:t>et al</w:t>
      </w:r>
      <w:r w:rsidRPr="0074255B">
        <w:rPr>
          <w:rFonts w:ascii="Arial" w:hAnsi="Arial" w:cs="Arial"/>
          <w:lang w:val="de-DE"/>
        </w:rPr>
        <w:t xml:space="preserve"> 2019</w:t>
      </w:r>
      <w:r w:rsidR="0074255B" w:rsidRPr="0074255B">
        <w:rPr>
          <w:rFonts w:ascii="Arial" w:hAnsi="Arial" w:cs="Arial"/>
          <w:lang w:val="de-DE"/>
        </w:rPr>
        <w:t>b</w:t>
      </w:r>
      <w:r w:rsidRPr="0074255B">
        <w:rPr>
          <w:rFonts w:ascii="Arial" w:hAnsi="Arial" w:cs="Arial"/>
          <w:lang w:val="de-DE"/>
        </w:rPr>
        <w:t>:328.</w:t>
      </w:r>
    </w:p>
  </w:footnote>
  <w:footnote w:id="124">
    <w:p w14:paraId="61CBAEB4" w14:textId="393A6797" w:rsidR="004E3EF9" w:rsidRPr="00635917"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4255B">
        <w:rPr>
          <w:rFonts w:ascii="Arial" w:hAnsi="Arial" w:cs="Arial"/>
          <w:lang w:val="de-DE"/>
        </w:rPr>
        <w:t xml:space="preserve"> </w:t>
      </w:r>
      <w:r w:rsidR="00213F73" w:rsidRPr="0074255B">
        <w:rPr>
          <w:rFonts w:ascii="Arial" w:hAnsi="Arial" w:cs="Arial"/>
          <w:lang w:val="de-DE"/>
        </w:rPr>
        <w:tab/>
      </w:r>
      <w:r w:rsidRPr="0074255B">
        <w:rPr>
          <w:rFonts w:ascii="Arial" w:hAnsi="Arial" w:cs="Arial"/>
          <w:lang w:val="de-DE"/>
        </w:rPr>
        <w:t xml:space="preserve">Muller </w:t>
      </w:r>
      <w:r w:rsidRPr="0074255B">
        <w:rPr>
          <w:rFonts w:ascii="Arial" w:hAnsi="Arial" w:cs="Arial"/>
          <w:i/>
          <w:iCs/>
          <w:lang w:val="de-DE"/>
        </w:rPr>
        <w:t>et al</w:t>
      </w:r>
      <w:r w:rsidRPr="0074255B">
        <w:rPr>
          <w:rFonts w:ascii="Arial" w:hAnsi="Arial" w:cs="Arial"/>
          <w:lang w:val="de-DE"/>
        </w:rPr>
        <w:t xml:space="preserve"> 2019</w:t>
      </w:r>
      <w:r w:rsidR="0074255B" w:rsidRPr="0074255B">
        <w:rPr>
          <w:rFonts w:ascii="Arial" w:hAnsi="Arial" w:cs="Arial"/>
          <w:lang w:val="de-DE"/>
        </w:rPr>
        <w:t>b</w:t>
      </w:r>
      <w:r w:rsidRPr="0074255B">
        <w:rPr>
          <w:rFonts w:ascii="Arial" w:hAnsi="Arial" w:cs="Arial"/>
          <w:lang w:val="de-DE"/>
        </w:rPr>
        <w:t>:3</w:t>
      </w:r>
      <w:r w:rsidR="00815394">
        <w:rPr>
          <w:rFonts w:ascii="Arial" w:hAnsi="Arial" w:cs="Arial"/>
          <w:lang w:val="de-DE"/>
        </w:rPr>
        <w:t>28</w:t>
      </w:r>
      <w:r w:rsidRPr="0074255B">
        <w:rPr>
          <w:rFonts w:ascii="Arial" w:hAnsi="Arial" w:cs="Arial"/>
          <w:lang w:val="de-DE"/>
        </w:rPr>
        <w:t>.</w:t>
      </w:r>
    </w:p>
  </w:footnote>
  <w:footnote w:id="125">
    <w:p w14:paraId="5DFA161E" w14:textId="5B56B9CD"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74255B">
        <w:rPr>
          <w:rFonts w:ascii="Arial" w:hAnsi="Arial" w:cs="Arial"/>
          <w:lang w:val="de-DE"/>
        </w:rPr>
        <w:t xml:space="preserve">Muller </w:t>
      </w:r>
      <w:r w:rsidRPr="0074255B">
        <w:rPr>
          <w:rFonts w:ascii="Arial" w:hAnsi="Arial" w:cs="Arial"/>
          <w:i/>
          <w:lang w:val="de-DE"/>
        </w:rPr>
        <w:t>et al</w:t>
      </w:r>
      <w:r w:rsidRPr="0074255B">
        <w:rPr>
          <w:rFonts w:ascii="Arial" w:hAnsi="Arial" w:cs="Arial"/>
          <w:lang w:val="de-DE"/>
        </w:rPr>
        <w:t xml:space="preserve"> 2019</w:t>
      </w:r>
      <w:r w:rsidR="0074255B" w:rsidRPr="0074255B">
        <w:rPr>
          <w:rFonts w:ascii="Arial" w:hAnsi="Arial" w:cs="Arial"/>
          <w:lang w:val="de-DE"/>
        </w:rPr>
        <w:t>a</w:t>
      </w:r>
      <w:r w:rsidR="00074F84" w:rsidRPr="0074255B">
        <w:rPr>
          <w:rFonts w:ascii="Arial" w:hAnsi="Arial" w:cs="Arial"/>
          <w:lang w:val="de-DE"/>
        </w:rPr>
        <w:t>:</w:t>
      </w:r>
      <w:r w:rsidRPr="0074255B">
        <w:rPr>
          <w:rFonts w:ascii="Arial" w:hAnsi="Arial" w:cs="Arial"/>
          <w:lang w:val="de-DE"/>
        </w:rPr>
        <w:t>19</w:t>
      </w:r>
      <w:r w:rsidR="00815394">
        <w:rPr>
          <w:rFonts w:ascii="Arial" w:hAnsi="Arial" w:cs="Arial"/>
          <w:lang w:val="de-DE"/>
        </w:rPr>
        <w:t>8</w:t>
      </w:r>
      <w:r w:rsidRPr="0074255B">
        <w:rPr>
          <w:rFonts w:ascii="Arial" w:hAnsi="Arial" w:cs="Arial"/>
          <w:lang w:val="de-DE"/>
        </w:rPr>
        <w:t>.</w:t>
      </w:r>
    </w:p>
  </w:footnote>
  <w:footnote w:id="126">
    <w:p w14:paraId="5E2F57DC" w14:textId="60F31AE4"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1993:69.</w:t>
      </w:r>
    </w:p>
  </w:footnote>
  <w:footnote w:id="127">
    <w:p w14:paraId="594A8064" w14:textId="695B8008" w:rsidR="004E3EF9" w:rsidRPr="00635917" w:rsidRDefault="004E3EF9" w:rsidP="00E63179">
      <w:pPr>
        <w:pStyle w:val="FootnoteText"/>
        <w:ind w:left="357" w:hanging="357"/>
        <w:jc w:val="both"/>
        <w:rPr>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1993:69.</w:t>
      </w:r>
    </w:p>
  </w:footnote>
  <w:footnote w:id="128">
    <w:p w14:paraId="1A2C64A2" w14:textId="764B9FA0"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1993:69.</w:t>
      </w:r>
    </w:p>
  </w:footnote>
  <w:footnote w:id="129">
    <w:p w14:paraId="341D4856" w14:textId="4E37AC78"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1993:69.</w:t>
      </w:r>
    </w:p>
  </w:footnote>
  <w:footnote w:id="130">
    <w:p w14:paraId="626CC888" w14:textId="50BE02A8"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1993:67; </w:t>
      </w:r>
      <w:r w:rsidRPr="00635917">
        <w:rPr>
          <w:rFonts w:ascii="Arial" w:hAnsi="Arial" w:cs="Arial"/>
          <w:i/>
          <w:iCs/>
          <w:lang w:val="de-DE"/>
        </w:rPr>
        <w:t>Nino Bonino v De Lange</w:t>
      </w:r>
      <w:r w:rsidRPr="00635917">
        <w:rPr>
          <w:rFonts w:ascii="Arial" w:hAnsi="Arial" w:cs="Arial"/>
          <w:lang w:val="de-DE"/>
        </w:rPr>
        <w:t>.</w:t>
      </w:r>
    </w:p>
  </w:footnote>
  <w:footnote w:id="131">
    <w:p w14:paraId="0255F994" w14:textId="602DE62B"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F47E7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1993:67.</w:t>
      </w:r>
    </w:p>
  </w:footnote>
  <w:footnote w:id="132">
    <w:p w14:paraId="37545305" w14:textId="5BE3E466"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F47E7C">
        <w:rPr>
          <w:rFonts w:ascii="Arial" w:hAnsi="Arial" w:cs="Arial"/>
        </w:rPr>
        <w:tab/>
      </w:r>
      <w:r w:rsidRPr="00635917">
        <w:rPr>
          <w:rFonts w:ascii="Arial" w:hAnsi="Arial" w:cs="Arial"/>
          <w:i/>
          <w:iCs/>
          <w:shd w:val="clear" w:color="auto" w:fill="FFFFFF"/>
        </w:rPr>
        <w:t xml:space="preserve">Nienaber v Stuckey </w:t>
      </w:r>
      <w:r w:rsidRPr="00635917">
        <w:rPr>
          <w:rFonts w:ascii="Arial" w:hAnsi="Arial" w:cs="Arial"/>
          <w:shd w:val="clear" w:color="auto" w:fill="FFFFFF"/>
        </w:rPr>
        <w:t>1946 AD 1049.</w:t>
      </w:r>
    </w:p>
  </w:footnote>
  <w:footnote w:id="133">
    <w:p w14:paraId="3901BFC2" w14:textId="5EFFEE09"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4E2948">
        <w:rPr>
          <w:rFonts w:ascii="Arial" w:hAnsi="Arial" w:cs="Arial"/>
        </w:rPr>
        <w:tab/>
      </w:r>
      <w:r w:rsidRPr="00635917">
        <w:rPr>
          <w:rFonts w:ascii="Arial" w:hAnsi="Arial" w:cs="Arial"/>
          <w:i/>
          <w:iCs/>
          <w:shd w:val="clear" w:color="auto" w:fill="FFFFFF"/>
        </w:rPr>
        <w:t>Nienaber v Stuckey</w:t>
      </w:r>
      <w:r w:rsidR="00074F84">
        <w:rPr>
          <w:rFonts w:ascii="Arial" w:hAnsi="Arial" w:cs="Arial"/>
          <w:shd w:val="clear" w:color="auto" w:fill="FFFFFF"/>
        </w:rPr>
        <w:t>:</w:t>
      </w:r>
      <w:r w:rsidRPr="00635917">
        <w:rPr>
          <w:rFonts w:ascii="Arial" w:hAnsi="Arial" w:cs="Arial"/>
          <w:shd w:val="clear" w:color="auto" w:fill="FFFFFF"/>
        </w:rPr>
        <w:t>1055. For example, while the land was not being used for cultivation, the respondent was entitled to its enjoyment and to oversee that the appellant does not exceed the rights conferred upon him.</w:t>
      </w:r>
    </w:p>
  </w:footnote>
  <w:footnote w:id="134">
    <w:p w14:paraId="13265743" w14:textId="6AE2F79B" w:rsidR="004E3EF9" w:rsidRPr="007E1471"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4E2948" w:rsidRPr="007E1471">
        <w:rPr>
          <w:rFonts w:ascii="Arial" w:hAnsi="Arial" w:cs="Arial"/>
          <w:lang w:val="de-DE"/>
        </w:rPr>
        <w:tab/>
      </w:r>
      <w:r w:rsidRPr="007E1471">
        <w:rPr>
          <w:rFonts w:ascii="Arial" w:hAnsi="Arial" w:cs="Arial"/>
          <w:i/>
          <w:iCs/>
          <w:shd w:val="clear" w:color="auto" w:fill="FFFFFF"/>
          <w:lang w:val="de-DE"/>
        </w:rPr>
        <w:t>Nienaber v Stuckey</w:t>
      </w:r>
      <w:r w:rsidR="00074F84" w:rsidRPr="007E1471">
        <w:rPr>
          <w:rFonts w:ascii="Arial" w:hAnsi="Arial" w:cs="Arial"/>
          <w:shd w:val="clear" w:color="auto" w:fill="FFFFFF"/>
          <w:lang w:val="de-DE"/>
        </w:rPr>
        <w:t>:</w:t>
      </w:r>
      <w:r w:rsidRPr="007E1471">
        <w:rPr>
          <w:rFonts w:ascii="Arial" w:hAnsi="Arial" w:cs="Arial"/>
          <w:shd w:val="clear" w:color="auto" w:fill="FFFFFF"/>
          <w:lang w:val="de-DE"/>
        </w:rPr>
        <w:t>1054.</w:t>
      </w:r>
    </w:p>
  </w:footnote>
  <w:footnote w:id="135">
    <w:p w14:paraId="40EE5A64" w14:textId="58DC1845" w:rsidR="004E3EF9" w:rsidRPr="007E1471" w:rsidRDefault="004E3EF9" w:rsidP="00E63179">
      <w:pPr>
        <w:pStyle w:val="FootnoteText"/>
        <w:ind w:left="357" w:hanging="357"/>
        <w:jc w:val="both"/>
        <w:rPr>
          <w:lang w:val="de-DE"/>
        </w:rPr>
      </w:pPr>
      <w:r w:rsidRPr="00635917">
        <w:rPr>
          <w:rStyle w:val="FootnoteReference"/>
          <w:rFonts w:ascii="Arial" w:hAnsi="Arial" w:cs="Arial"/>
        </w:rPr>
        <w:footnoteRef/>
      </w:r>
      <w:r w:rsidRPr="007E1471">
        <w:rPr>
          <w:rFonts w:ascii="Arial" w:hAnsi="Arial" w:cs="Arial"/>
          <w:lang w:val="de-DE"/>
        </w:rPr>
        <w:t xml:space="preserve"> </w:t>
      </w:r>
      <w:r w:rsidR="004E2948" w:rsidRPr="007E1471">
        <w:rPr>
          <w:rFonts w:ascii="Arial" w:hAnsi="Arial" w:cs="Arial"/>
          <w:lang w:val="de-DE"/>
        </w:rPr>
        <w:tab/>
      </w:r>
      <w:r w:rsidRPr="007E1471">
        <w:rPr>
          <w:rFonts w:ascii="Arial" w:hAnsi="Arial" w:cs="Arial"/>
          <w:i/>
          <w:iCs/>
          <w:shd w:val="clear" w:color="auto" w:fill="FFFFFF"/>
          <w:lang w:val="de-DE"/>
        </w:rPr>
        <w:t>Nienaber v Stuckey</w:t>
      </w:r>
      <w:r w:rsidR="00074F84" w:rsidRPr="007E1471">
        <w:rPr>
          <w:rFonts w:ascii="Arial" w:hAnsi="Arial" w:cs="Arial"/>
          <w:shd w:val="clear" w:color="auto" w:fill="FFFFFF"/>
          <w:lang w:val="de-DE"/>
        </w:rPr>
        <w:t>:</w:t>
      </w:r>
      <w:r w:rsidRPr="007E1471">
        <w:rPr>
          <w:rFonts w:ascii="Arial" w:hAnsi="Arial" w:cs="Arial"/>
          <w:shd w:val="clear" w:color="auto" w:fill="FFFFFF"/>
          <w:lang w:val="de-DE"/>
        </w:rPr>
        <w:t xml:space="preserve">1053-1054; </w:t>
      </w:r>
      <w:r w:rsidRPr="007E1471">
        <w:rPr>
          <w:rFonts w:ascii="Arial" w:hAnsi="Arial" w:cs="Arial"/>
          <w:i/>
          <w:shd w:val="clear" w:color="auto" w:fill="FFFFFF"/>
          <w:lang w:val="de-DE"/>
        </w:rPr>
        <w:t>Burnham v Neumeyer</w:t>
      </w:r>
      <w:r w:rsidRPr="007E1471">
        <w:rPr>
          <w:rFonts w:ascii="Arial" w:hAnsi="Arial" w:cs="Arial"/>
          <w:shd w:val="clear" w:color="auto" w:fill="FFFFFF"/>
          <w:lang w:val="de-DE"/>
        </w:rPr>
        <w:t xml:space="preserve"> 1917 TPD 630</w:t>
      </w:r>
      <w:r w:rsidR="00074F84" w:rsidRPr="007E1471">
        <w:rPr>
          <w:rFonts w:ascii="Arial" w:hAnsi="Arial" w:cs="Arial"/>
          <w:shd w:val="clear" w:color="auto" w:fill="FFFFFF"/>
          <w:lang w:val="de-DE"/>
        </w:rPr>
        <w:t>:</w:t>
      </w:r>
      <w:r w:rsidRPr="007E1471">
        <w:rPr>
          <w:rFonts w:ascii="Arial" w:hAnsi="Arial" w:cs="Arial"/>
          <w:shd w:val="clear" w:color="auto" w:fill="FFFFFF"/>
          <w:lang w:val="de-DE"/>
        </w:rPr>
        <w:t>633.</w:t>
      </w:r>
    </w:p>
  </w:footnote>
  <w:footnote w:id="136">
    <w:p w14:paraId="492E3D4F" w14:textId="1D990A06" w:rsidR="00642823" w:rsidRDefault="00642823">
      <w:pPr>
        <w:pStyle w:val="FootnoteText"/>
      </w:pPr>
      <w:r>
        <w:rPr>
          <w:rStyle w:val="FootnoteReference"/>
        </w:rPr>
        <w:footnoteRef/>
      </w:r>
      <w:r>
        <w:t xml:space="preserve">  </w:t>
      </w:r>
      <w:proofErr w:type="spellStart"/>
      <w:r w:rsidR="00DC6DCD" w:rsidRPr="00A12EA4">
        <w:rPr>
          <w:rFonts w:ascii="Arial" w:hAnsi="Arial" w:cs="Arial"/>
          <w:i/>
          <w:shd w:val="clear" w:color="auto" w:fill="FFFFFF"/>
        </w:rPr>
        <w:t>Termby</w:t>
      </w:r>
      <w:proofErr w:type="spellEnd"/>
      <w:r w:rsidR="00DC6DCD" w:rsidRPr="00A12EA4">
        <w:rPr>
          <w:rFonts w:ascii="Arial" w:hAnsi="Arial" w:cs="Arial"/>
          <w:i/>
          <w:shd w:val="clear" w:color="auto" w:fill="FFFFFF"/>
        </w:rPr>
        <w:t xml:space="preserve"> v </w:t>
      </w:r>
      <w:proofErr w:type="spellStart"/>
      <w:r w:rsidR="00DC6DCD" w:rsidRPr="00A12EA4">
        <w:rPr>
          <w:rFonts w:ascii="Arial" w:hAnsi="Arial" w:cs="Arial"/>
          <w:i/>
          <w:shd w:val="clear" w:color="auto" w:fill="FFFFFF"/>
        </w:rPr>
        <w:t>Lippingwell</w:t>
      </w:r>
      <w:proofErr w:type="spellEnd"/>
      <w:r w:rsidR="00DC6DCD" w:rsidRPr="00A12EA4">
        <w:rPr>
          <w:rFonts w:ascii="Arial" w:hAnsi="Arial" w:cs="Arial"/>
          <w:i/>
          <w:shd w:val="clear" w:color="auto" w:fill="FFFFFF"/>
        </w:rPr>
        <w:t xml:space="preserve"> </w:t>
      </w:r>
      <w:r w:rsidR="00DC6DCD" w:rsidRPr="00A12EA4">
        <w:rPr>
          <w:rFonts w:ascii="Arial" w:hAnsi="Arial" w:cs="Arial"/>
          <w:iCs/>
          <w:shd w:val="clear" w:color="auto" w:fill="FFFFFF"/>
        </w:rPr>
        <w:t>1908 ORC 68:71.</w:t>
      </w:r>
    </w:p>
  </w:footnote>
  <w:footnote w:id="137">
    <w:p w14:paraId="130E78E3" w14:textId="775B45F9"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4E2948">
        <w:rPr>
          <w:rFonts w:ascii="Arial" w:hAnsi="Arial" w:cs="Arial"/>
        </w:rPr>
        <w:tab/>
      </w:r>
      <w:r w:rsidRPr="00635917">
        <w:rPr>
          <w:rFonts w:ascii="Arial" w:hAnsi="Arial" w:cs="Arial"/>
          <w:i/>
          <w:iCs/>
          <w:shd w:val="clear" w:color="auto" w:fill="FFFFFF"/>
        </w:rPr>
        <w:t>Nino</w:t>
      </w:r>
      <w:r w:rsidR="009A2020">
        <w:rPr>
          <w:rFonts w:ascii="Arial" w:hAnsi="Arial" w:cs="Arial"/>
          <w:i/>
          <w:iCs/>
          <w:shd w:val="clear" w:color="auto" w:fill="FFFFFF"/>
        </w:rPr>
        <w:t xml:space="preserve"> Bonino</w:t>
      </w:r>
      <w:r w:rsidRPr="00635917">
        <w:rPr>
          <w:rFonts w:ascii="Arial" w:hAnsi="Arial" w:cs="Arial"/>
          <w:i/>
          <w:iCs/>
          <w:shd w:val="clear" w:color="auto" w:fill="FFFFFF"/>
        </w:rPr>
        <w:t xml:space="preserve"> v De Lange</w:t>
      </w:r>
      <w:r w:rsidR="00074F84">
        <w:rPr>
          <w:rFonts w:ascii="Arial" w:hAnsi="Arial" w:cs="Arial"/>
          <w:shd w:val="clear" w:color="auto" w:fill="FFFFFF"/>
        </w:rPr>
        <w:t>:</w:t>
      </w:r>
      <w:r w:rsidRPr="00635917">
        <w:rPr>
          <w:rFonts w:ascii="Arial" w:hAnsi="Arial" w:cs="Arial"/>
          <w:shd w:val="clear" w:color="auto" w:fill="FFFFFF"/>
        </w:rPr>
        <w:t>122.</w:t>
      </w:r>
    </w:p>
  </w:footnote>
  <w:footnote w:id="138">
    <w:p w14:paraId="2D4045AD" w14:textId="0398633D" w:rsidR="004E3EF9" w:rsidRPr="007E1471"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4E2948" w:rsidRPr="007E1471">
        <w:rPr>
          <w:rFonts w:ascii="Arial" w:hAnsi="Arial" w:cs="Arial"/>
          <w:lang w:val="de-DE"/>
        </w:rPr>
        <w:tab/>
      </w:r>
      <w:r w:rsidRPr="007E1471">
        <w:rPr>
          <w:rFonts w:ascii="Arial" w:hAnsi="Arial" w:cs="Arial"/>
          <w:i/>
          <w:iCs/>
          <w:shd w:val="clear" w:color="auto" w:fill="FFFFFF"/>
          <w:lang w:val="de-DE"/>
        </w:rPr>
        <w:t>Nienaber v Stuckey</w:t>
      </w:r>
      <w:r w:rsidR="00074F84" w:rsidRPr="007E1471">
        <w:rPr>
          <w:rFonts w:ascii="Arial" w:hAnsi="Arial" w:cs="Arial"/>
          <w:shd w:val="clear" w:color="auto" w:fill="FFFFFF"/>
          <w:lang w:val="de-DE"/>
        </w:rPr>
        <w:t>:</w:t>
      </w:r>
      <w:r w:rsidRPr="007E1471">
        <w:rPr>
          <w:rFonts w:ascii="Arial" w:hAnsi="Arial" w:cs="Arial"/>
          <w:shd w:val="clear" w:color="auto" w:fill="FFFFFF"/>
          <w:lang w:val="de-DE"/>
        </w:rPr>
        <w:t>1056.</w:t>
      </w:r>
    </w:p>
  </w:footnote>
  <w:footnote w:id="139">
    <w:p w14:paraId="15BDD3F1" w14:textId="0823BF5B" w:rsidR="004E3EF9" w:rsidRPr="007E1471"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4E2948" w:rsidRPr="007E1471">
        <w:rPr>
          <w:rFonts w:ascii="Arial" w:hAnsi="Arial" w:cs="Arial"/>
          <w:lang w:val="de-DE"/>
        </w:rPr>
        <w:tab/>
      </w:r>
      <w:r w:rsidRPr="007E1471">
        <w:rPr>
          <w:rFonts w:ascii="Arial" w:hAnsi="Arial" w:cs="Arial"/>
          <w:i/>
          <w:iCs/>
          <w:shd w:val="clear" w:color="auto" w:fill="FFFFFF"/>
          <w:lang w:val="de-DE"/>
        </w:rPr>
        <w:t>Nienaber v Stuckey</w:t>
      </w:r>
      <w:r w:rsidR="00074F84" w:rsidRPr="007E1471">
        <w:rPr>
          <w:rFonts w:ascii="Arial" w:hAnsi="Arial" w:cs="Arial"/>
          <w:shd w:val="clear" w:color="auto" w:fill="FFFFFF"/>
          <w:lang w:val="de-DE"/>
        </w:rPr>
        <w:t>:</w:t>
      </w:r>
      <w:r w:rsidRPr="007E1471">
        <w:rPr>
          <w:rFonts w:ascii="Arial" w:hAnsi="Arial" w:cs="Arial"/>
          <w:shd w:val="clear" w:color="auto" w:fill="FFFFFF"/>
          <w:lang w:val="de-DE"/>
        </w:rPr>
        <w:t>1056.</w:t>
      </w:r>
    </w:p>
  </w:footnote>
  <w:footnote w:id="140">
    <w:p w14:paraId="2E789314" w14:textId="0C339A55"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Pr="00635917">
        <w:rPr>
          <w:rFonts w:ascii="Arial" w:hAnsi="Arial" w:cs="Arial"/>
          <w:lang w:val="en-GB"/>
        </w:rPr>
        <w:t xml:space="preserve"> </w:t>
      </w:r>
      <w:r w:rsidR="003F29AB">
        <w:rPr>
          <w:rFonts w:ascii="Arial" w:hAnsi="Arial" w:cs="Arial"/>
          <w:lang w:val="en-GB"/>
        </w:rPr>
        <w:t>[</w:t>
      </w:r>
      <w:r w:rsidRPr="00635917">
        <w:rPr>
          <w:rFonts w:ascii="Arial" w:hAnsi="Arial" w:cs="Arial"/>
          <w:lang w:val="en-GB"/>
        </w:rPr>
        <w:t>1949</w:t>
      </w:r>
      <w:r w:rsidR="003F29AB">
        <w:rPr>
          <w:rFonts w:ascii="Arial" w:hAnsi="Arial" w:cs="Arial"/>
          <w:lang w:val="en-GB"/>
        </w:rPr>
        <w:t>]</w:t>
      </w:r>
      <w:r w:rsidRPr="00635917">
        <w:rPr>
          <w:rFonts w:ascii="Arial" w:hAnsi="Arial" w:cs="Arial"/>
          <w:lang w:val="en-GB"/>
        </w:rPr>
        <w:t xml:space="preserve"> 3 ALL SA 400 (W)</w:t>
      </w:r>
      <w:r w:rsidR="00074F84">
        <w:rPr>
          <w:rFonts w:ascii="Arial" w:hAnsi="Arial" w:cs="Arial"/>
          <w:lang w:val="en-GB"/>
        </w:rPr>
        <w:t>:</w:t>
      </w:r>
      <w:r w:rsidRPr="00635917">
        <w:rPr>
          <w:rFonts w:ascii="Arial" w:hAnsi="Arial" w:cs="Arial"/>
          <w:lang w:val="en-GB"/>
        </w:rPr>
        <w:t>403.</w:t>
      </w:r>
    </w:p>
  </w:footnote>
  <w:footnote w:id="141">
    <w:p w14:paraId="62AF2787" w14:textId="312C2F59" w:rsidR="004E3EF9" w:rsidRPr="00635917" w:rsidRDefault="004E3EF9"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00074F84">
        <w:rPr>
          <w:rFonts w:ascii="Arial" w:hAnsi="Arial" w:cs="Arial"/>
          <w:lang w:val="en-GB"/>
        </w:rPr>
        <w:t>:</w:t>
      </w:r>
      <w:r w:rsidRPr="00635917">
        <w:rPr>
          <w:rFonts w:ascii="Arial" w:hAnsi="Arial" w:cs="Arial"/>
          <w:lang w:val="en-GB"/>
        </w:rPr>
        <w:t>402.</w:t>
      </w:r>
    </w:p>
  </w:footnote>
  <w:footnote w:id="142">
    <w:p w14:paraId="748C47E5" w14:textId="0721404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00074F84">
        <w:rPr>
          <w:rFonts w:ascii="Arial" w:hAnsi="Arial" w:cs="Arial"/>
          <w:lang w:val="en-GB"/>
        </w:rPr>
        <w:t>:</w:t>
      </w:r>
      <w:r w:rsidRPr="00635917">
        <w:rPr>
          <w:rFonts w:ascii="Arial" w:hAnsi="Arial" w:cs="Arial"/>
          <w:lang w:val="en-GB"/>
        </w:rPr>
        <w:t>403.</w:t>
      </w:r>
    </w:p>
  </w:footnote>
  <w:footnote w:id="143">
    <w:p w14:paraId="44AF24F0" w14:textId="21AAA5B4"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00074F84">
        <w:rPr>
          <w:rFonts w:ascii="Arial" w:hAnsi="Arial" w:cs="Arial"/>
          <w:lang w:val="en-GB"/>
        </w:rPr>
        <w:t>:</w:t>
      </w:r>
      <w:r w:rsidRPr="00635917">
        <w:rPr>
          <w:rFonts w:ascii="Arial" w:hAnsi="Arial" w:cs="Arial"/>
          <w:lang w:val="en-GB"/>
        </w:rPr>
        <w:t>405.</w:t>
      </w:r>
    </w:p>
  </w:footnote>
  <w:footnote w:id="144">
    <w:p w14:paraId="0E28D1B3" w14:textId="6D820A3A"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00074F84">
        <w:rPr>
          <w:rFonts w:ascii="Arial" w:hAnsi="Arial" w:cs="Arial"/>
          <w:lang w:val="en-GB"/>
        </w:rPr>
        <w:t>:</w:t>
      </w:r>
      <w:r w:rsidRPr="00635917">
        <w:rPr>
          <w:rFonts w:ascii="Arial" w:hAnsi="Arial" w:cs="Arial"/>
          <w:lang w:val="en-GB"/>
        </w:rPr>
        <w:t>405.</w:t>
      </w:r>
    </w:p>
  </w:footnote>
  <w:footnote w:id="145">
    <w:p w14:paraId="4F017095" w14:textId="1A591199"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F29AB">
        <w:rPr>
          <w:rFonts w:ascii="Arial" w:hAnsi="Arial" w:cs="Arial"/>
        </w:rPr>
        <w:tab/>
      </w:r>
      <w:r w:rsidRPr="00635917">
        <w:rPr>
          <w:rFonts w:ascii="Arial" w:hAnsi="Arial" w:cs="Arial"/>
          <w:i/>
          <w:iCs/>
          <w:lang w:val="en-GB"/>
        </w:rPr>
        <w:t>Shapiro v South African Savings and Credit Bank</w:t>
      </w:r>
      <w:r w:rsidR="00074F84">
        <w:rPr>
          <w:rFonts w:ascii="Arial" w:hAnsi="Arial" w:cs="Arial"/>
          <w:lang w:val="en-GB"/>
        </w:rPr>
        <w:t>:</w:t>
      </w:r>
      <w:r w:rsidRPr="00635917">
        <w:rPr>
          <w:rFonts w:ascii="Arial" w:hAnsi="Arial" w:cs="Arial"/>
          <w:lang w:val="en-GB"/>
        </w:rPr>
        <w:t>406.</w:t>
      </w:r>
    </w:p>
  </w:footnote>
  <w:footnote w:id="146">
    <w:p w14:paraId="0548D295" w14:textId="6604CBE2" w:rsidR="004E3EF9" w:rsidRPr="0074255B"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3F29AB">
        <w:rPr>
          <w:rFonts w:ascii="Arial" w:hAnsi="Arial" w:cs="Arial"/>
          <w:lang w:val="de-DE"/>
        </w:rPr>
        <w:tab/>
      </w:r>
      <w:r w:rsidRPr="00635917">
        <w:rPr>
          <w:rFonts w:ascii="Arial" w:hAnsi="Arial" w:cs="Arial"/>
          <w:lang w:val="de-DE"/>
        </w:rPr>
        <w:t xml:space="preserve">Van der </w:t>
      </w:r>
      <w:r w:rsidRPr="0074255B">
        <w:rPr>
          <w:rFonts w:ascii="Arial" w:hAnsi="Arial" w:cs="Arial"/>
          <w:lang w:val="de-DE"/>
        </w:rPr>
        <w:t xml:space="preserve">Merwe &amp; </w:t>
      </w:r>
      <w:r w:rsidR="00863355" w:rsidRPr="0074255B">
        <w:rPr>
          <w:rFonts w:ascii="Arial" w:hAnsi="Arial" w:cs="Arial"/>
          <w:lang w:val="de-DE"/>
        </w:rPr>
        <w:t>De Waal</w:t>
      </w:r>
      <w:r w:rsidRPr="0074255B">
        <w:rPr>
          <w:rFonts w:ascii="Arial" w:hAnsi="Arial" w:cs="Arial"/>
          <w:lang w:val="de-DE"/>
        </w:rPr>
        <w:t xml:space="preserve"> 1993:67.</w:t>
      </w:r>
    </w:p>
  </w:footnote>
  <w:footnote w:id="147">
    <w:p w14:paraId="55C3586C" w14:textId="3F13FB21" w:rsidR="004E3EF9" w:rsidRPr="0074255B" w:rsidRDefault="004E3EF9" w:rsidP="00E63179">
      <w:pPr>
        <w:pStyle w:val="FootnoteText"/>
        <w:ind w:left="357" w:hanging="357"/>
        <w:jc w:val="both"/>
        <w:rPr>
          <w:rFonts w:ascii="Arial" w:hAnsi="Arial" w:cs="Arial"/>
          <w:lang w:val="en-US"/>
        </w:rPr>
      </w:pPr>
      <w:r w:rsidRPr="0074255B">
        <w:rPr>
          <w:rStyle w:val="FootnoteReference"/>
          <w:rFonts w:ascii="Arial" w:hAnsi="Arial" w:cs="Arial"/>
        </w:rPr>
        <w:footnoteRef/>
      </w:r>
      <w:r w:rsidRPr="0074255B">
        <w:rPr>
          <w:rFonts w:ascii="Arial" w:hAnsi="Arial" w:cs="Arial"/>
        </w:rPr>
        <w:t xml:space="preserve"> </w:t>
      </w:r>
      <w:r w:rsidR="003F29AB" w:rsidRPr="0074255B">
        <w:rPr>
          <w:rFonts w:ascii="Arial" w:hAnsi="Arial" w:cs="Arial"/>
        </w:rPr>
        <w:tab/>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v </w:t>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and Another</w:t>
      </w:r>
      <w:r w:rsidRPr="0074255B">
        <w:rPr>
          <w:rFonts w:ascii="Arial" w:hAnsi="Arial" w:cs="Arial"/>
          <w:shd w:val="clear" w:color="auto" w:fill="FFFFFF"/>
        </w:rPr>
        <w:t xml:space="preserve"> </w:t>
      </w:r>
      <w:r w:rsidR="007B3530" w:rsidRPr="0074255B">
        <w:rPr>
          <w:rFonts w:ascii="Arial" w:hAnsi="Arial" w:cs="Arial"/>
          <w:shd w:val="clear" w:color="auto" w:fill="FFFFFF"/>
        </w:rPr>
        <w:t>[</w:t>
      </w:r>
      <w:r w:rsidRPr="0074255B">
        <w:rPr>
          <w:rFonts w:ascii="Arial" w:hAnsi="Arial" w:cs="Arial"/>
          <w:shd w:val="clear" w:color="auto" w:fill="FFFFFF"/>
        </w:rPr>
        <w:t>1975</w:t>
      </w:r>
      <w:r w:rsidR="007B3530" w:rsidRPr="0074255B">
        <w:rPr>
          <w:rFonts w:ascii="Arial" w:hAnsi="Arial" w:cs="Arial"/>
          <w:shd w:val="clear" w:color="auto" w:fill="FFFFFF"/>
        </w:rPr>
        <w:t>]</w:t>
      </w:r>
      <w:r w:rsidRPr="0074255B">
        <w:rPr>
          <w:rFonts w:ascii="Arial" w:hAnsi="Arial" w:cs="Arial"/>
          <w:shd w:val="clear" w:color="auto" w:fill="FFFFFF"/>
        </w:rPr>
        <w:t xml:space="preserve"> 1 ALL SA 181 (W)</w:t>
      </w:r>
      <w:r w:rsidR="00074F84" w:rsidRPr="0074255B">
        <w:rPr>
          <w:rFonts w:ascii="Arial" w:hAnsi="Arial" w:cs="Arial"/>
          <w:shd w:val="clear" w:color="auto" w:fill="FFFFFF"/>
        </w:rPr>
        <w:t>:</w:t>
      </w:r>
      <w:r w:rsidRPr="0074255B">
        <w:rPr>
          <w:rFonts w:ascii="Arial" w:hAnsi="Arial" w:cs="Arial"/>
          <w:shd w:val="clear" w:color="auto" w:fill="FFFFFF"/>
        </w:rPr>
        <w:t>183.</w:t>
      </w:r>
    </w:p>
  </w:footnote>
  <w:footnote w:id="148">
    <w:p w14:paraId="42240D36" w14:textId="1FED0E96" w:rsidR="004E3EF9" w:rsidRPr="0074255B" w:rsidRDefault="004E3EF9" w:rsidP="00E63179">
      <w:pPr>
        <w:pStyle w:val="FootnoteText"/>
        <w:ind w:left="357" w:hanging="357"/>
        <w:jc w:val="both"/>
        <w:rPr>
          <w:lang w:val="en-US"/>
        </w:rPr>
      </w:pPr>
      <w:r w:rsidRPr="0074255B">
        <w:rPr>
          <w:rStyle w:val="FootnoteReference"/>
          <w:rFonts w:ascii="Arial" w:hAnsi="Arial" w:cs="Arial"/>
        </w:rPr>
        <w:footnoteRef/>
      </w:r>
      <w:r w:rsidRPr="0074255B">
        <w:rPr>
          <w:rFonts w:ascii="Arial" w:hAnsi="Arial" w:cs="Arial"/>
        </w:rPr>
        <w:t xml:space="preserve"> </w:t>
      </w:r>
      <w:r w:rsidR="003F29AB" w:rsidRPr="0074255B">
        <w:rPr>
          <w:rFonts w:ascii="Arial" w:hAnsi="Arial" w:cs="Arial"/>
        </w:rPr>
        <w:tab/>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v </w:t>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and Anothe</w:t>
      </w:r>
      <w:r w:rsidR="007B3530" w:rsidRPr="0074255B">
        <w:rPr>
          <w:rFonts w:ascii="Arial" w:hAnsi="Arial" w:cs="Arial"/>
          <w:i/>
          <w:iCs/>
          <w:shd w:val="clear" w:color="auto" w:fill="FFFFFF"/>
        </w:rPr>
        <w:t>r</w:t>
      </w:r>
      <w:r w:rsidR="00074F84" w:rsidRPr="0074255B">
        <w:rPr>
          <w:rFonts w:ascii="Arial" w:hAnsi="Arial" w:cs="Arial"/>
          <w:shd w:val="clear" w:color="auto" w:fill="FFFFFF"/>
        </w:rPr>
        <w:t>:</w:t>
      </w:r>
      <w:r w:rsidRPr="0074255B">
        <w:rPr>
          <w:rFonts w:ascii="Arial" w:hAnsi="Arial" w:cs="Arial"/>
          <w:shd w:val="clear" w:color="auto" w:fill="FFFFFF"/>
        </w:rPr>
        <w:t>183.</w:t>
      </w:r>
    </w:p>
  </w:footnote>
  <w:footnote w:id="149">
    <w:p w14:paraId="7C1BB29F" w14:textId="4C63CC17" w:rsidR="004E3EF9" w:rsidRPr="0074255B" w:rsidRDefault="004E3EF9" w:rsidP="00E63179">
      <w:pPr>
        <w:pStyle w:val="FootnoteText"/>
        <w:ind w:left="357" w:hanging="357"/>
        <w:jc w:val="both"/>
        <w:rPr>
          <w:rFonts w:ascii="Arial" w:hAnsi="Arial" w:cs="Arial"/>
          <w:lang w:val="en-US"/>
        </w:rPr>
      </w:pPr>
      <w:r w:rsidRPr="0074255B">
        <w:rPr>
          <w:rStyle w:val="FootnoteReference"/>
          <w:rFonts w:ascii="Arial" w:hAnsi="Arial" w:cs="Arial"/>
        </w:rPr>
        <w:footnoteRef/>
      </w:r>
      <w:r w:rsidRPr="0074255B">
        <w:rPr>
          <w:rFonts w:ascii="Arial" w:hAnsi="Arial" w:cs="Arial"/>
        </w:rPr>
        <w:t xml:space="preserve"> </w:t>
      </w:r>
      <w:r w:rsidR="003F29AB" w:rsidRPr="0074255B">
        <w:rPr>
          <w:rFonts w:ascii="Arial" w:hAnsi="Arial" w:cs="Arial"/>
        </w:rPr>
        <w:tab/>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v </w:t>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and Another</w:t>
      </w:r>
      <w:r w:rsidR="00074F84" w:rsidRPr="0074255B">
        <w:rPr>
          <w:rFonts w:ascii="Arial" w:hAnsi="Arial" w:cs="Arial"/>
          <w:shd w:val="clear" w:color="auto" w:fill="FFFFFF"/>
        </w:rPr>
        <w:t>:</w:t>
      </w:r>
      <w:r w:rsidRPr="0074255B">
        <w:rPr>
          <w:rFonts w:ascii="Arial" w:hAnsi="Arial" w:cs="Arial"/>
          <w:shd w:val="clear" w:color="auto" w:fill="FFFFFF"/>
        </w:rPr>
        <w:t>184.</w:t>
      </w:r>
    </w:p>
  </w:footnote>
  <w:footnote w:id="150">
    <w:p w14:paraId="4DA06E14" w14:textId="2F7E4651" w:rsidR="004E3EF9" w:rsidRPr="0074255B" w:rsidRDefault="004E3EF9" w:rsidP="00E63179">
      <w:pPr>
        <w:pStyle w:val="FootnoteText"/>
        <w:ind w:left="357" w:hanging="357"/>
        <w:jc w:val="both"/>
        <w:rPr>
          <w:rFonts w:ascii="Arial" w:hAnsi="Arial" w:cs="Arial"/>
          <w:lang w:val="en-US"/>
        </w:rPr>
      </w:pPr>
      <w:r w:rsidRPr="0074255B">
        <w:rPr>
          <w:rStyle w:val="FootnoteReference"/>
          <w:rFonts w:ascii="Arial" w:hAnsi="Arial" w:cs="Arial"/>
        </w:rPr>
        <w:footnoteRef/>
      </w:r>
      <w:r w:rsidRPr="0074255B">
        <w:rPr>
          <w:rFonts w:ascii="Arial" w:hAnsi="Arial" w:cs="Arial"/>
        </w:rPr>
        <w:t xml:space="preserve"> </w:t>
      </w:r>
      <w:r w:rsidR="003F29AB" w:rsidRPr="0074255B">
        <w:rPr>
          <w:rFonts w:ascii="Arial" w:hAnsi="Arial" w:cs="Arial"/>
        </w:rPr>
        <w:tab/>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v </w:t>
      </w:r>
      <w:proofErr w:type="spellStart"/>
      <w:r w:rsidRPr="0074255B">
        <w:rPr>
          <w:rFonts w:ascii="Arial" w:hAnsi="Arial" w:cs="Arial"/>
          <w:i/>
          <w:iCs/>
          <w:shd w:val="clear" w:color="auto" w:fill="FFFFFF"/>
        </w:rPr>
        <w:t>Rosenbuch</w:t>
      </w:r>
      <w:proofErr w:type="spellEnd"/>
      <w:r w:rsidRPr="0074255B">
        <w:rPr>
          <w:rFonts w:ascii="Arial" w:hAnsi="Arial" w:cs="Arial"/>
          <w:i/>
          <w:iCs/>
          <w:shd w:val="clear" w:color="auto" w:fill="FFFFFF"/>
        </w:rPr>
        <w:t xml:space="preserve"> and Another</w:t>
      </w:r>
      <w:r w:rsidR="00074F84" w:rsidRPr="0074255B">
        <w:rPr>
          <w:rFonts w:ascii="Arial" w:hAnsi="Arial" w:cs="Arial"/>
          <w:shd w:val="clear" w:color="auto" w:fill="FFFFFF"/>
        </w:rPr>
        <w:t>:</w:t>
      </w:r>
      <w:r w:rsidRPr="0074255B">
        <w:rPr>
          <w:rFonts w:ascii="Arial" w:hAnsi="Arial" w:cs="Arial"/>
          <w:shd w:val="clear" w:color="auto" w:fill="FFFFFF"/>
        </w:rPr>
        <w:t>186.</w:t>
      </w:r>
    </w:p>
  </w:footnote>
  <w:footnote w:id="151">
    <w:p w14:paraId="1EABD9E6" w14:textId="77B80B29"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 xml:space="preserve">Muller </w:t>
      </w:r>
      <w:r w:rsidRPr="007E1471">
        <w:rPr>
          <w:rFonts w:ascii="Arial" w:hAnsi="Arial" w:cs="Arial"/>
          <w:i/>
          <w:iCs/>
          <w:lang w:val="de-DE"/>
        </w:rPr>
        <w:t>et al</w:t>
      </w:r>
      <w:r w:rsidRPr="007E1471">
        <w:rPr>
          <w:rFonts w:ascii="Arial" w:hAnsi="Arial" w:cs="Arial"/>
          <w:lang w:val="de-DE"/>
        </w:rPr>
        <w:t xml:space="preserve"> 2019</w:t>
      </w:r>
      <w:r w:rsidR="0074255B" w:rsidRPr="007E1471">
        <w:rPr>
          <w:rFonts w:ascii="Arial" w:hAnsi="Arial" w:cs="Arial"/>
          <w:lang w:val="de-DE"/>
        </w:rPr>
        <w:t>b</w:t>
      </w:r>
      <w:r w:rsidR="00074F84" w:rsidRPr="007E1471">
        <w:rPr>
          <w:rFonts w:ascii="Arial" w:hAnsi="Arial" w:cs="Arial"/>
          <w:lang w:val="de-DE"/>
        </w:rPr>
        <w:t>:</w:t>
      </w:r>
      <w:r w:rsidRPr="007E1471">
        <w:rPr>
          <w:rFonts w:ascii="Arial" w:hAnsi="Arial" w:cs="Arial"/>
          <w:lang w:val="de-DE"/>
        </w:rPr>
        <w:t>328.</w:t>
      </w:r>
    </w:p>
  </w:footnote>
  <w:footnote w:id="152">
    <w:p w14:paraId="41D2FDDC" w14:textId="6A9113E9"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 xml:space="preserve">Muller </w:t>
      </w:r>
      <w:r w:rsidRPr="007E1471">
        <w:rPr>
          <w:rFonts w:ascii="Arial" w:hAnsi="Arial" w:cs="Arial"/>
          <w:i/>
          <w:iCs/>
          <w:lang w:val="de-DE"/>
        </w:rPr>
        <w:t>et al</w:t>
      </w:r>
      <w:r w:rsidRPr="007E1471">
        <w:rPr>
          <w:rFonts w:ascii="Arial" w:hAnsi="Arial" w:cs="Arial"/>
          <w:lang w:val="de-DE"/>
        </w:rPr>
        <w:t xml:space="preserve"> 2019</w:t>
      </w:r>
      <w:r w:rsidR="0074255B" w:rsidRPr="007E1471">
        <w:rPr>
          <w:rFonts w:ascii="Arial" w:hAnsi="Arial" w:cs="Arial"/>
          <w:lang w:val="de-DE"/>
        </w:rPr>
        <w:t>b</w:t>
      </w:r>
      <w:r w:rsidR="00074F84" w:rsidRPr="007E1471">
        <w:rPr>
          <w:rFonts w:ascii="Arial" w:hAnsi="Arial" w:cs="Arial"/>
          <w:lang w:val="de-DE"/>
        </w:rPr>
        <w:t>:</w:t>
      </w:r>
      <w:r w:rsidRPr="007E1471">
        <w:rPr>
          <w:rFonts w:ascii="Arial" w:hAnsi="Arial" w:cs="Arial"/>
          <w:lang w:val="de-DE"/>
        </w:rPr>
        <w:t xml:space="preserve">328; </w:t>
      </w:r>
      <w:r w:rsidRPr="007E1471">
        <w:rPr>
          <w:rFonts w:ascii="Arial" w:hAnsi="Arial" w:cs="Arial"/>
          <w:i/>
          <w:iCs/>
          <w:lang w:val="de-DE"/>
        </w:rPr>
        <w:t>Mopeli v Botha</w:t>
      </w:r>
      <w:r w:rsidRPr="007E1471">
        <w:rPr>
          <w:rFonts w:ascii="Arial" w:hAnsi="Arial" w:cs="Arial"/>
          <w:lang w:val="de-DE"/>
        </w:rPr>
        <w:t xml:space="preserve"> 1931 WLD 63</w:t>
      </w:r>
      <w:r w:rsidR="00074F84" w:rsidRPr="007E1471">
        <w:rPr>
          <w:rFonts w:ascii="Arial" w:hAnsi="Arial" w:cs="Arial"/>
          <w:lang w:val="de-DE"/>
        </w:rPr>
        <w:t>:</w:t>
      </w:r>
      <w:r w:rsidRPr="007E1471">
        <w:rPr>
          <w:rFonts w:ascii="Arial" w:hAnsi="Arial" w:cs="Arial"/>
          <w:lang w:val="de-DE"/>
        </w:rPr>
        <w:t>65</w:t>
      </w:r>
      <w:r w:rsidR="007F2920" w:rsidRPr="007E1471">
        <w:rPr>
          <w:rFonts w:ascii="Arial" w:hAnsi="Arial" w:cs="Arial"/>
          <w:lang w:val="de-DE"/>
        </w:rPr>
        <w:t>,</w:t>
      </w:r>
      <w:r w:rsidRPr="007E1471">
        <w:rPr>
          <w:rFonts w:ascii="Arial" w:hAnsi="Arial" w:cs="Arial"/>
          <w:lang w:val="de-DE"/>
        </w:rPr>
        <w:t xml:space="preserve"> 63.</w:t>
      </w:r>
    </w:p>
  </w:footnote>
  <w:footnote w:id="153">
    <w:p w14:paraId="5661A854" w14:textId="0787EC5E"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Taitz 1981</w:t>
      </w:r>
      <w:r w:rsidR="00074F84" w:rsidRPr="007E1471">
        <w:rPr>
          <w:rFonts w:ascii="Arial" w:hAnsi="Arial" w:cs="Arial"/>
          <w:lang w:val="de-DE"/>
        </w:rPr>
        <w:t>:</w:t>
      </w:r>
      <w:r w:rsidRPr="007E1471">
        <w:rPr>
          <w:rFonts w:ascii="Arial" w:hAnsi="Arial" w:cs="Arial"/>
          <w:lang w:val="de-DE"/>
        </w:rPr>
        <w:t>36.</w:t>
      </w:r>
    </w:p>
  </w:footnote>
  <w:footnote w:id="154">
    <w:p w14:paraId="7B837C53" w14:textId="04837512"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Taitz 1981</w:t>
      </w:r>
      <w:r w:rsidR="00074F84" w:rsidRPr="007E1471">
        <w:rPr>
          <w:rFonts w:ascii="Arial" w:hAnsi="Arial" w:cs="Arial"/>
          <w:lang w:val="de-DE"/>
        </w:rPr>
        <w:t>:</w:t>
      </w:r>
      <w:r w:rsidRPr="007E1471">
        <w:rPr>
          <w:rFonts w:ascii="Arial" w:hAnsi="Arial" w:cs="Arial"/>
          <w:lang w:val="de-DE"/>
        </w:rPr>
        <w:t>36.</w:t>
      </w:r>
    </w:p>
  </w:footnote>
  <w:footnote w:id="155">
    <w:p w14:paraId="7E4565DF" w14:textId="7AC26329"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Taitz 1981</w:t>
      </w:r>
      <w:r w:rsidR="00074F84" w:rsidRPr="007E1471">
        <w:rPr>
          <w:rFonts w:ascii="Arial" w:hAnsi="Arial" w:cs="Arial"/>
          <w:lang w:val="de-DE"/>
        </w:rPr>
        <w:t>:</w:t>
      </w:r>
      <w:r w:rsidRPr="007E1471">
        <w:rPr>
          <w:rFonts w:ascii="Arial" w:hAnsi="Arial" w:cs="Arial"/>
          <w:lang w:val="de-DE"/>
        </w:rPr>
        <w:t>37.</w:t>
      </w:r>
    </w:p>
  </w:footnote>
  <w:footnote w:id="156">
    <w:p w14:paraId="4762279A" w14:textId="09B0E0FE" w:rsidR="004E3EF9" w:rsidRPr="007E1471" w:rsidRDefault="004E3EF9" w:rsidP="00E63179">
      <w:pPr>
        <w:pStyle w:val="FootnoteText"/>
        <w:ind w:left="357" w:hanging="357"/>
        <w:jc w:val="both"/>
        <w:rPr>
          <w:rFonts w:ascii="Arial" w:hAnsi="Arial" w:cs="Arial"/>
          <w:lang w:val="de-DE"/>
        </w:rPr>
      </w:pPr>
      <w:r w:rsidRPr="0074255B">
        <w:rPr>
          <w:rStyle w:val="FootnoteReference"/>
          <w:rFonts w:ascii="Arial" w:hAnsi="Arial" w:cs="Arial"/>
        </w:rPr>
        <w:footnoteRef/>
      </w:r>
      <w:r w:rsidRPr="007E1471">
        <w:rPr>
          <w:rFonts w:ascii="Arial" w:hAnsi="Arial" w:cs="Arial"/>
          <w:lang w:val="de-DE"/>
        </w:rPr>
        <w:t xml:space="preserve"> </w:t>
      </w:r>
      <w:r w:rsidR="003F29AB" w:rsidRPr="007E1471">
        <w:rPr>
          <w:rFonts w:ascii="Arial" w:hAnsi="Arial" w:cs="Arial"/>
          <w:lang w:val="de-DE"/>
        </w:rPr>
        <w:tab/>
      </w:r>
      <w:r w:rsidRPr="007E1471">
        <w:rPr>
          <w:rFonts w:ascii="Arial" w:hAnsi="Arial" w:cs="Arial"/>
          <w:lang w:val="de-DE"/>
        </w:rPr>
        <w:t xml:space="preserve">Muller </w:t>
      </w:r>
      <w:r w:rsidRPr="007E1471">
        <w:rPr>
          <w:rFonts w:ascii="Arial" w:hAnsi="Arial" w:cs="Arial"/>
          <w:i/>
          <w:iCs/>
          <w:lang w:val="de-DE"/>
        </w:rPr>
        <w:t>et al</w:t>
      </w:r>
      <w:r w:rsidRPr="007E1471">
        <w:rPr>
          <w:rFonts w:ascii="Arial" w:hAnsi="Arial" w:cs="Arial"/>
          <w:lang w:val="de-DE"/>
        </w:rPr>
        <w:t xml:space="preserve"> 2019</w:t>
      </w:r>
      <w:r w:rsidR="0074255B" w:rsidRPr="007E1471">
        <w:rPr>
          <w:rFonts w:ascii="Arial" w:hAnsi="Arial" w:cs="Arial"/>
          <w:lang w:val="de-DE"/>
        </w:rPr>
        <w:t>b</w:t>
      </w:r>
      <w:r w:rsidR="00074F84" w:rsidRPr="007E1471">
        <w:rPr>
          <w:rFonts w:ascii="Arial" w:hAnsi="Arial" w:cs="Arial"/>
          <w:lang w:val="de-DE"/>
        </w:rPr>
        <w:t>:</w:t>
      </w:r>
      <w:r w:rsidRPr="007E1471">
        <w:rPr>
          <w:rFonts w:ascii="Arial" w:hAnsi="Arial" w:cs="Arial"/>
          <w:lang w:val="de-DE"/>
        </w:rPr>
        <w:t xml:space="preserve">326; </w:t>
      </w:r>
      <w:r w:rsidRPr="007E1471">
        <w:rPr>
          <w:rFonts w:ascii="Arial" w:hAnsi="Arial" w:cs="Arial"/>
          <w:i/>
          <w:shd w:val="clear" w:color="auto" w:fill="FFFFFF"/>
          <w:lang w:val="de-DE"/>
        </w:rPr>
        <w:t>Rikhotso v Northcliff Ceramics (Pty) Ltd</w:t>
      </w:r>
      <w:r w:rsidRPr="007E1471">
        <w:rPr>
          <w:rFonts w:ascii="Arial" w:hAnsi="Arial" w:cs="Arial"/>
          <w:shd w:val="clear" w:color="auto" w:fill="FFFFFF"/>
          <w:lang w:val="de-DE"/>
        </w:rPr>
        <w:t xml:space="preserve"> 1996 </w:t>
      </w:r>
      <w:r w:rsidR="00AE21CC" w:rsidRPr="007E1471">
        <w:rPr>
          <w:rFonts w:ascii="Arial" w:hAnsi="Arial" w:cs="Arial"/>
          <w:shd w:val="clear" w:color="auto" w:fill="FFFFFF"/>
          <w:lang w:val="de-DE"/>
        </w:rPr>
        <w:t>(</w:t>
      </w:r>
      <w:r w:rsidRPr="007E1471">
        <w:rPr>
          <w:rFonts w:ascii="Arial" w:hAnsi="Arial" w:cs="Arial"/>
          <w:shd w:val="clear" w:color="auto" w:fill="FFFFFF"/>
          <w:lang w:val="de-DE"/>
        </w:rPr>
        <w:t>4</w:t>
      </w:r>
      <w:r w:rsidR="00AE21CC" w:rsidRPr="007E1471">
        <w:rPr>
          <w:rFonts w:ascii="Arial" w:hAnsi="Arial" w:cs="Arial"/>
          <w:shd w:val="clear" w:color="auto" w:fill="FFFFFF"/>
          <w:lang w:val="de-DE"/>
        </w:rPr>
        <w:t>)</w:t>
      </w:r>
      <w:r w:rsidRPr="007E1471">
        <w:rPr>
          <w:rFonts w:ascii="Arial" w:hAnsi="Arial" w:cs="Arial"/>
          <w:shd w:val="clear" w:color="auto" w:fill="FFFFFF"/>
          <w:lang w:val="de-DE"/>
        </w:rPr>
        <w:t xml:space="preserve"> SA 524 (W)</w:t>
      </w:r>
      <w:r w:rsidR="00074F84" w:rsidRPr="007E1471">
        <w:rPr>
          <w:rFonts w:ascii="Arial" w:hAnsi="Arial" w:cs="Arial"/>
          <w:shd w:val="clear" w:color="auto" w:fill="FFFFFF"/>
          <w:lang w:val="de-DE"/>
        </w:rPr>
        <w:t>:</w:t>
      </w:r>
      <w:r w:rsidRPr="007E1471">
        <w:rPr>
          <w:rFonts w:ascii="Arial" w:hAnsi="Arial" w:cs="Arial"/>
          <w:shd w:val="clear" w:color="auto" w:fill="FFFFFF"/>
          <w:lang w:val="de-DE"/>
        </w:rPr>
        <w:t>531.</w:t>
      </w:r>
    </w:p>
  </w:footnote>
  <w:footnote w:id="157">
    <w:p w14:paraId="1B962812" w14:textId="7551C481" w:rsidR="004E3EF9" w:rsidRPr="007E1471"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00AE21CC" w:rsidRPr="007E1471">
        <w:rPr>
          <w:rFonts w:ascii="Arial" w:hAnsi="Arial" w:cs="Arial"/>
          <w:lang w:val="de-DE"/>
        </w:rPr>
        <w:t xml:space="preserve"> </w:t>
      </w:r>
      <w:r w:rsidR="00AE21CC" w:rsidRPr="007E1471">
        <w:rPr>
          <w:rFonts w:ascii="Arial" w:hAnsi="Arial" w:cs="Arial"/>
          <w:lang w:val="de-DE"/>
        </w:rPr>
        <w:tab/>
      </w:r>
      <w:r w:rsidRPr="007E1471">
        <w:rPr>
          <w:rFonts w:ascii="Arial" w:hAnsi="Arial" w:cs="Arial"/>
          <w:lang w:val="de-DE"/>
        </w:rPr>
        <w:t>Taitz 1981</w:t>
      </w:r>
      <w:r w:rsidR="00074F84" w:rsidRPr="007E1471">
        <w:rPr>
          <w:rFonts w:ascii="Arial" w:hAnsi="Arial" w:cs="Arial"/>
          <w:lang w:val="de-DE"/>
        </w:rPr>
        <w:t>:</w:t>
      </w:r>
      <w:r w:rsidRPr="007E1471">
        <w:rPr>
          <w:rFonts w:ascii="Arial" w:hAnsi="Arial" w:cs="Arial"/>
          <w:lang w:val="de-DE"/>
        </w:rPr>
        <w:t xml:space="preserve">38; </w:t>
      </w:r>
      <w:r w:rsidRPr="007E1471">
        <w:rPr>
          <w:rFonts w:ascii="Arial" w:hAnsi="Arial" w:cs="Arial"/>
          <w:i/>
          <w:iCs/>
          <w:lang w:val="de-DE"/>
        </w:rPr>
        <w:t>Mans v Marais</w:t>
      </w:r>
      <w:r w:rsidRPr="007E1471">
        <w:rPr>
          <w:rFonts w:ascii="Arial" w:hAnsi="Arial" w:cs="Arial"/>
          <w:lang w:val="de-DE"/>
        </w:rPr>
        <w:t xml:space="preserve"> 1932 CPD 352</w:t>
      </w:r>
      <w:r w:rsidR="00074F84" w:rsidRPr="007E1471">
        <w:rPr>
          <w:rFonts w:ascii="Arial" w:hAnsi="Arial" w:cs="Arial"/>
          <w:lang w:val="de-DE"/>
        </w:rPr>
        <w:t>:</w:t>
      </w:r>
      <w:r w:rsidRPr="007E1471">
        <w:rPr>
          <w:rFonts w:ascii="Arial" w:hAnsi="Arial" w:cs="Arial"/>
          <w:lang w:val="de-DE"/>
        </w:rPr>
        <w:t>356.</w:t>
      </w:r>
    </w:p>
  </w:footnote>
  <w:footnote w:id="158">
    <w:p w14:paraId="6A8C0E4E" w14:textId="7253E54C" w:rsidR="004E3EF9" w:rsidRPr="00635917" w:rsidRDefault="004E3EF9"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AE21CC">
        <w:rPr>
          <w:rFonts w:ascii="Arial" w:hAnsi="Arial" w:cs="Arial"/>
          <w:lang w:val="de-DE"/>
        </w:rPr>
        <w:tab/>
      </w:r>
      <w:r w:rsidRPr="00635917">
        <w:rPr>
          <w:rFonts w:ascii="Arial" w:hAnsi="Arial" w:cs="Arial"/>
          <w:lang w:val="de-DE"/>
        </w:rPr>
        <w:t>Harker 1988</w:t>
      </w:r>
      <w:r w:rsidR="00074F84">
        <w:rPr>
          <w:rFonts w:ascii="Arial" w:hAnsi="Arial" w:cs="Arial"/>
          <w:lang w:val="de-DE"/>
        </w:rPr>
        <w:t>:</w:t>
      </w:r>
      <w:r w:rsidRPr="00635917">
        <w:rPr>
          <w:rFonts w:ascii="Arial" w:hAnsi="Arial" w:cs="Arial"/>
          <w:lang w:val="de-DE"/>
        </w:rPr>
        <w:t>192.</w:t>
      </w:r>
    </w:p>
  </w:footnote>
  <w:footnote w:id="159">
    <w:p w14:paraId="1A0DC963" w14:textId="17908E5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lang w:val="de-DE"/>
        </w:rPr>
        <w:t xml:space="preserve"> </w:t>
      </w:r>
      <w:r w:rsidR="00AE21CC">
        <w:rPr>
          <w:rFonts w:ascii="Arial" w:hAnsi="Arial" w:cs="Arial"/>
          <w:lang w:val="de-DE"/>
        </w:rPr>
        <w:tab/>
      </w:r>
      <w:r w:rsidRPr="00635917">
        <w:rPr>
          <w:rFonts w:ascii="Arial" w:hAnsi="Arial" w:cs="Arial"/>
          <w:lang w:val="de-DE"/>
        </w:rPr>
        <w:t xml:space="preserve">Van der Merwe &amp; </w:t>
      </w:r>
      <w:r w:rsidR="00863355">
        <w:rPr>
          <w:rFonts w:ascii="Arial" w:hAnsi="Arial" w:cs="Arial"/>
          <w:lang w:val="de-DE"/>
        </w:rPr>
        <w:t>De Waal</w:t>
      </w:r>
      <w:r w:rsidRPr="00635917">
        <w:rPr>
          <w:rFonts w:ascii="Arial" w:hAnsi="Arial" w:cs="Arial"/>
          <w:lang w:val="de-DE"/>
        </w:rPr>
        <w:t xml:space="preserve"> 1993:68. </w:t>
      </w:r>
      <w:r w:rsidRPr="00635917">
        <w:rPr>
          <w:rFonts w:ascii="Arial" w:hAnsi="Arial" w:cs="Arial"/>
          <w:lang w:val="en-GB"/>
        </w:rPr>
        <w:t xml:space="preserve">They do acknowledge that returning the </w:t>
      </w:r>
      <w:r w:rsidRPr="00635917">
        <w:rPr>
          <w:rFonts w:ascii="Arial" w:hAnsi="Arial" w:cs="Arial"/>
          <w:i/>
          <w:lang w:val="en-GB"/>
        </w:rPr>
        <w:t>status quo</w:t>
      </w:r>
      <w:r w:rsidRPr="00635917">
        <w:rPr>
          <w:rFonts w:ascii="Arial" w:hAnsi="Arial" w:cs="Arial"/>
          <w:lang w:val="en-GB"/>
        </w:rPr>
        <w:t xml:space="preserve"> contributes to the overall </w:t>
      </w:r>
      <w:r w:rsidRPr="00635917">
        <w:rPr>
          <w:rFonts w:ascii="Arial" w:hAnsi="Arial" w:cs="Arial"/>
          <w:shd w:val="clear" w:color="auto" w:fill="FFFFFF"/>
        </w:rPr>
        <w:t>maintenance of peace and public order by restraining people from taking the law into their own hands. They fail to see how peace could be achieved if persons asserting to have a claim over a thing were entitled to resort to self-help to gain possession of the thing.</w:t>
      </w:r>
    </w:p>
  </w:footnote>
  <w:footnote w:id="160">
    <w:p w14:paraId="1DF3A8E5" w14:textId="1FB28C6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E21CC">
        <w:rPr>
          <w:rFonts w:ascii="Arial" w:hAnsi="Arial" w:cs="Arial"/>
        </w:rPr>
        <w:tab/>
      </w:r>
      <w:proofErr w:type="spellStart"/>
      <w:r w:rsidRPr="00635917">
        <w:rPr>
          <w:rFonts w:ascii="Arial" w:hAnsi="Arial" w:cs="Arial"/>
          <w:lang w:val="en-GB"/>
        </w:rPr>
        <w:t>Hahlo</w:t>
      </w:r>
      <w:proofErr w:type="spellEnd"/>
      <w:r w:rsidRPr="00635917">
        <w:rPr>
          <w:rFonts w:ascii="Arial" w:hAnsi="Arial" w:cs="Arial"/>
          <w:lang w:val="en-GB"/>
        </w:rPr>
        <w:t xml:space="preserve"> 1954-1955</w:t>
      </w:r>
      <w:r w:rsidR="00074F84">
        <w:rPr>
          <w:rFonts w:ascii="Arial" w:hAnsi="Arial" w:cs="Arial"/>
          <w:lang w:val="en-GB"/>
        </w:rPr>
        <w:t>:</w:t>
      </w:r>
      <w:r w:rsidRPr="00635917">
        <w:rPr>
          <w:rFonts w:ascii="Arial" w:hAnsi="Arial" w:cs="Arial"/>
          <w:lang w:val="en-GB"/>
        </w:rPr>
        <w:t>728.</w:t>
      </w:r>
    </w:p>
  </w:footnote>
  <w:footnote w:id="161">
    <w:p w14:paraId="27A30913" w14:textId="1FC24176"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E21CC">
        <w:rPr>
          <w:rFonts w:ascii="Arial" w:hAnsi="Arial" w:cs="Arial"/>
        </w:rPr>
        <w:tab/>
      </w:r>
      <w:proofErr w:type="spellStart"/>
      <w:r w:rsidRPr="00635917">
        <w:rPr>
          <w:rFonts w:ascii="Arial" w:hAnsi="Arial" w:cs="Arial"/>
          <w:lang w:val="en-GB"/>
        </w:rPr>
        <w:t>Hahlo</w:t>
      </w:r>
      <w:proofErr w:type="spellEnd"/>
      <w:r w:rsidRPr="00635917">
        <w:rPr>
          <w:rFonts w:ascii="Arial" w:hAnsi="Arial" w:cs="Arial"/>
          <w:lang w:val="en-GB"/>
        </w:rPr>
        <w:t xml:space="preserve"> 1954-1955</w:t>
      </w:r>
      <w:r w:rsidR="00074F84">
        <w:rPr>
          <w:rFonts w:ascii="Arial" w:hAnsi="Arial" w:cs="Arial"/>
          <w:lang w:val="en-GB"/>
        </w:rPr>
        <w:t>:</w:t>
      </w:r>
      <w:r w:rsidRPr="00635917">
        <w:rPr>
          <w:rFonts w:ascii="Arial" w:hAnsi="Arial" w:cs="Arial"/>
          <w:lang w:val="en-GB"/>
        </w:rPr>
        <w:t>729.</w:t>
      </w:r>
    </w:p>
  </w:footnote>
  <w:footnote w:id="162">
    <w:p w14:paraId="349FD400" w14:textId="55788A8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E21CC">
        <w:rPr>
          <w:rFonts w:ascii="Arial" w:hAnsi="Arial" w:cs="Arial"/>
        </w:rPr>
        <w:tab/>
      </w:r>
      <w:r w:rsidRPr="00635917">
        <w:rPr>
          <w:rFonts w:ascii="Arial" w:hAnsi="Arial" w:cs="Arial"/>
          <w:lang w:val="en-GB"/>
        </w:rPr>
        <w:t>Harker 1988</w:t>
      </w:r>
      <w:r w:rsidR="00074F84">
        <w:rPr>
          <w:rFonts w:ascii="Arial" w:hAnsi="Arial" w:cs="Arial"/>
          <w:lang w:val="en-GB"/>
        </w:rPr>
        <w:t>:</w:t>
      </w:r>
      <w:r w:rsidRPr="00635917">
        <w:rPr>
          <w:rFonts w:ascii="Arial" w:hAnsi="Arial" w:cs="Arial"/>
          <w:lang w:val="en-GB"/>
        </w:rPr>
        <w:t xml:space="preserve">191-192. Van der Walt went even further by stating that the spoliation </w:t>
      </w:r>
      <w:r w:rsidR="001232AD">
        <w:rPr>
          <w:rFonts w:ascii="Arial" w:hAnsi="Arial" w:cs="Arial"/>
          <w:lang w:val="en-GB"/>
        </w:rPr>
        <w:t xml:space="preserve">remedy </w:t>
      </w:r>
      <w:r w:rsidRPr="00635917">
        <w:rPr>
          <w:rFonts w:ascii="Arial" w:hAnsi="Arial" w:cs="Arial"/>
          <w:lang w:val="en-GB"/>
        </w:rPr>
        <w:t xml:space="preserve">should instead be known as a remedy for </w:t>
      </w:r>
      <w:r w:rsidR="001232AD">
        <w:rPr>
          <w:rFonts w:ascii="Arial" w:hAnsi="Arial" w:cs="Arial"/>
          <w:lang w:val="en-GB"/>
        </w:rPr>
        <w:t xml:space="preserve">the </w:t>
      </w:r>
      <w:r w:rsidRPr="00635917">
        <w:rPr>
          <w:rFonts w:ascii="Arial" w:hAnsi="Arial" w:cs="Arial"/>
          <w:lang w:val="en-GB"/>
        </w:rPr>
        <w:t xml:space="preserve">protection of public order and peace and not merely a possessory remedy </w:t>
      </w:r>
      <w:r w:rsidRPr="008E50C9">
        <w:rPr>
          <w:rFonts w:ascii="Arial" w:hAnsi="Arial" w:cs="Arial"/>
          <w:lang w:val="en-GB"/>
        </w:rPr>
        <w:t xml:space="preserve">Muller </w:t>
      </w:r>
      <w:r w:rsidRPr="008E50C9">
        <w:rPr>
          <w:rFonts w:ascii="Arial" w:hAnsi="Arial" w:cs="Arial"/>
          <w:i/>
          <w:iCs/>
          <w:lang w:val="en-GB"/>
        </w:rPr>
        <w:t>et al</w:t>
      </w:r>
      <w:r w:rsidRPr="008E50C9">
        <w:rPr>
          <w:rFonts w:ascii="Arial" w:hAnsi="Arial" w:cs="Arial"/>
          <w:lang w:val="en-GB"/>
        </w:rPr>
        <w:t xml:space="preserve"> 2019</w:t>
      </w:r>
      <w:r w:rsidR="008E50C9" w:rsidRPr="008E50C9">
        <w:rPr>
          <w:rFonts w:ascii="Arial" w:hAnsi="Arial" w:cs="Arial"/>
          <w:lang w:val="en-GB"/>
        </w:rPr>
        <w:t>b</w:t>
      </w:r>
      <w:r w:rsidR="00074F84" w:rsidRPr="008E50C9">
        <w:rPr>
          <w:rFonts w:ascii="Arial" w:hAnsi="Arial" w:cs="Arial"/>
          <w:lang w:val="en-GB"/>
        </w:rPr>
        <w:t>:</w:t>
      </w:r>
      <w:r w:rsidRPr="008E50C9">
        <w:rPr>
          <w:rFonts w:ascii="Arial" w:hAnsi="Arial" w:cs="Arial"/>
          <w:lang w:val="en-GB"/>
        </w:rPr>
        <w:t>326.</w:t>
      </w:r>
    </w:p>
  </w:footnote>
  <w:footnote w:id="163">
    <w:p w14:paraId="7294E362" w14:textId="6BFC8CB5"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E21CC">
        <w:rPr>
          <w:rFonts w:ascii="Arial" w:hAnsi="Arial" w:cs="Arial"/>
        </w:rPr>
        <w:tab/>
      </w:r>
      <w:r w:rsidRPr="00635917">
        <w:rPr>
          <w:rFonts w:ascii="Arial" w:hAnsi="Arial" w:cs="Arial"/>
          <w:shd w:val="clear" w:color="auto" w:fill="FFFFFF"/>
        </w:rPr>
        <w:t xml:space="preserve">Blecher further opines that </w:t>
      </w:r>
      <w:r w:rsidR="001232AD">
        <w:rPr>
          <w:rFonts w:ascii="Arial" w:hAnsi="Arial" w:cs="Arial"/>
          <w:shd w:val="clear" w:color="auto" w:fill="FFFFFF"/>
        </w:rPr>
        <w:t>a</w:t>
      </w:r>
      <w:r w:rsidRPr="00635917">
        <w:rPr>
          <w:rFonts w:ascii="Arial" w:hAnsi="Arial" w:cs="Arial"/>
          <w:shd w:val="clear" w:color="auto" w:fill="FFFFFF"/>
        </w:rPr>
        <w:t xml:space="preserve"> court must exercise its discretion to order payment equivalent to the spoliated person's interest in exercising possession until the legitimacy of his claim to possession is determined by the court of law. He bases his opinion on the writings of old writers, particularly those of Van der Linden where he indicated that in Roman-Dutch law the spoliated person would be allowed to claim possessory damages suffered due to unlawful disposition. On the contrary, Van der Walt contends that an award for damages is not appropriate in spoliation proceedings, rather, the court must after having </w:t>
      </w:r>
      <w:r w:rsidR="00735F87" w:rsidRPr="00635917">
        <w:rPr>
          <w:rFonts w:ascii="Arial" w:hAnsi="Arial" w:cs="Arial"/>
          <w:shd w:val="clear" w:color="auto" w:fill="FFFFFF"/>
        </w:rPr>
        <w:t>considered</w:t>
      </w:r>
      <w:r w:rsidRPr="00635917">
        <w:rPr>
          <w:rFonts w:ascii="Arial" w:hAnsi="Arial" w:cs="Arial"/>
          <w:shd w:val="clear" w:color="auto" w:fill="FFFFFF"/>
        </w:rPr>
        <w:t xml:space="preserve"> all that renders the restoration of the </w:t>
      </w:r>
      <w:r w:rsidRPr="00635917">
        <w:rPr>
          <w:rFonts w:ascii="Arial" w:hAnsi="Arial" w:cs="Arial"/>
          <w:i/>
          <w:iCs/>
          <w:shd w:val="clear" w:color="auto" w:fill="FFFFFF"/>
        </w:rPr>
        <w:t>status quo</w:t>
      </w:r>
      <w:r w:rsidRPr="00635917">
        <w:rPr>
          <w:rFonts w:ascii="Arial" w:hAnsi="Arial" w:cs="Arial"/>
          <w:shd w:val="clear" w:color="auto" w:fill="FFFFFF"/>
        </w:rPr>
        <w:t xml:space="preserve"> impossible, investigate whether an order of contempt of court would not be appropriate under said circumstances (</w:t>
      </w:r>
      <w:r w:rsidRPr="00635917">
        <w:rPr>
          <w:rFonts w:ascii="Arial" w:hAnsi="Arial" w:cs="Arial"/>
          <w:lang w:val="en-GB"/>
        </w:rPr>
        <w:t>Harker 1988</w:t>
      </w:r>
      <w:r w:rsidR="00074F84">
        <w:rPr>
          <w:rFonts w:ascii="Arial" w:hAnsi="Arial" w:cs="Arial"/>
          <w:lang w:val="en-GB"/>
        </w:rPr>
        <w:t>:</w:t>
      </w:r>
      <w:r w:rsidRPr="00635917">
        <w:rPr>
          <w:rFonts w:ascii="Arial" w:hAnsi="Arial" w:cs="Arial"/>
          <w:lang w:val="en-GB"/>
        </w:rPr>
        <w:t>191-192).</w:t>
      </w:r>
    </w:p>
  </w:footnote>
  <w:footnote w:id="164">
    <w:p w14:paraId="54E40935" w14:textId="6ACFFF89" w:rsidR="004E3EF9" w:rsidRPr="00635917" w:rsidRDefault="004E3EF9"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735F87">
        <w:rPr>
          <w:rFonts w:ascii="Arial" w:hAnsi="Arial" w:cs="Arial"/>
        </w:rPr>
        <w:tab/>
      </w:r>
      <w:r w:rsidRPr="00635917">
        <w:rPr>
          <w:rFonts w:ascii="Arial" w:hAnsi="Arial" w:cs="Arial"/>
          <w:i/>
          <w:shd w:val="clear" w:color="auto" w:fill="FFFFFF"/>
        </w:rPr>
        <w:t>Stocks Housing v Department of Education and Culture Services and Others</w:t>
      </w:r>
      <w:r w:rsidRPr="00635917">
        <w:rPr>
          <w:rFonts w:ascii="Arial" w:hAnsi="Arial" w:cs="Arial"/>
          <w:shd w:val="clear" w:color="auto" w:fill="FFFFFF"/>
        </w:rPr>
        <w:t xml:space="preserve"> 1999 </w:t>
      </w:r>
      <w:r w:rsidR="003D31F5">
        <w:rPr>
          <w:rFonts w:ascii="Arial" w:hAnsi="Arial" w:cs="Arial"/>
          <w:shd w:val="clear" w:color="auto" w:fill="FFFFFF"/>
        </w:rPr>
        <w:t>(</w:t>
      </w:r>
      <w:r w:rsidRPr="00635917">
        <w:rPr>
          <w:rFonts w:ascii="Arial" w:hAnsi="Arial" w:cs="Arial"/>
          <w:shd w:val="clear" w:color="auto" w:fill="FFFFFF"/>
        </w:rPr>
        <w:t>4</w:t>
      </w:r>
      <w:r w:rsidR="003D31F5">
        <w:rPr>
          <w:rFonts w:ascii="Arial" w:hAnsi="Arial" w:cs="Arial"/>
          <w:shd w:val="clear" w:color="auto" w:fill="FFFFFF"/>
        </w:rPr>
        <w:t>)</w:t>
      </w:r>
      <w:r w:rsidRPr="00635917">
        <w:rPr>
          <w:rFonts w:ascii="Arial" w:hAnsi="Arial" w:cs="Arial"/>
          <w:shd w:val="clear" w:color="auto" w:fill="FFFFFF"/>
        </w:rPr>
        <w:t xml:space="preserve"> SA 231 (C).</w:t>
      </w:r>
    </w:p>
  </w:footnote>
  <w:footnote w:id="165">
    <w:p w14:paraId="4B421197" w14:textId="1BC011E1"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proofErr w:type="spellStart"/>
      <w:r w:rsidRPr="00635917">
        <w:rPr>
          <w:rFonts w:ascii="Arial" w:hAnsi="Arial" w:cs="Arial"/>
          <w:i/>
          <w:shd w:val="clear" w:color="auto" w:fill="FFFFFF"/>
        </w:rPr>
        <w:t>Mbangi</w:t>
      </w:r>
      <w:proofErr w:type="spellEnd"/>
      <w:r w:rsidRPr="00635917">
        <w:rPr>
          <w:rFonts w:ascii="Arial" w:hAnsi="Arial" w:cs="Arial"/>
          <w:i/>
          <w:shd w:val="clear" w:color="auto" w:fill="FFFFFF"/>
        </w:rPr>
        <w:t xml:space="preserve"> v </w:t>
      </w:r>
      <w:proofErr w:type="spellStart"/>
      <w:r w:rsidRPr="00635917">
        <w:rPr>
          <w:rFonts w:ascii="Arial" w:hAnsi="Arial" w:cs="Arial"/>
          <w:i/>
          <w:shd w:val="clear" w:color="auto" w:fill="FFFFFF"/>
        </w:rPr>
        <w:t>Dobsonville</w:t>
      </w:r>
      <w:proofErr w:type="spellEnd"/>
      <w:r w:rsidRPr="00635917">
        <w:rPr>
          <w:rFonts w:ascii="Arial" w:hAnsi="Arial" w:cs="Arial"/>
          <w:i/>
          <w:shd w:val="clear" w:color="auto" w:fill="FFFFFF"/>
        </w:rPr>
        <w:t xml:space="preserve"> City Council</w:t>
      </w:r>
      <w:r w:rsidR="00074F84">
        <w:rPr>
          <w:rFonts w:ascii="Arial" w:hAnsi="Arial" w:cs="Arial"/>
          <w:shd w:val="clear" w:color="auto" w:fill="FFFFFF"/>
        </w:rPr>
        <w:t>:</w:t>
      </w:r>
      <w:r w:rsidRPr="00635917">
        <w:rPr>
          <w:rFonts w:ascii="Arial" w:hAnsi="Arial" w:cs="Arial"/>
          <w:shd w:val="clear" w:color="auto" w:fill="FFFFFF"/>
        </w:rPr>
        <w:t xml:space="preserve"> 470. The court relied on a passage in the </w:t>
      </w:r>
      <w:r w:rsidR="00A70F0F">
        <w:rPr>
          <w:rFonts w:ascii="Arial" w:hAnsi="Arial" w:cs="Arial"/>
          <w:shd w:val="clear" w:color="auto" w:fill="FFFFFF"/>
        </w:rPr>
        <w:t>D</w:t>
      </w:r>
      <w:r w:rsidRPr="00635917">
        <w:rPr>
          <w:rFonts w:ascii="Arial" w:hAnsi="Arial" w:cs="Arial"/>
          <w:shd w:val="clear" w:color="auto" w:fill="FFFFFF"/>
        </w:rPr>
        <w:t>igest stating that ‘if private persons could right revenge themselves, the country would not be fit to live in’.</w:t>
      </w:r>
    </w:p>
  </w:footnote>
  <w:footnote w:id="166">
    <w:p w14:paraId="40A9B7CE" w14:textId="1C027AF8"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r w:rsidRPr="00635917">
        <w:rPr>
          <w:rFonts w:ascii="Arial" w:hAnsi="Arial" w:cs="Arial"/>
          <w:lang w:val="en-GB"/>
        </w:rPr>
        <w:t>Nkosi 2016</w:t>
      </w:r>
      <w:r w:rsidR="00074F84">
        <w:rPr>
          <w:rFonts w:ascii="Arial" w:hAnsi="Arial" w:cs="Arial"/>
          <w:lang w:val="en-GB"/>
        </w:rPr>
        <w:t>:</w:t>
      </w:r>
      <w:r w:rsidRPr="00635917">
        <w:rPr>
          <w:rFonts w:ascii="Arial" w:hAnsi="Arial" w:cs="Arial"/>
          <w:lang w:val="en-GB"/>
        </w:rPr>
        <w:t>168.</w:t>
      </w:r>
    </w:p>
  </w:footnote>
  <w:footnote w:id="167">
    <w:p w14:paraId="49FD2D88" w14:textId="2634327E"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proofErr w:type="spellStart"/>
      <w:r w:rsidRPr="00635917">
        <w:rPr>
          <w:rFonts w:ascii="Arial" w:hAnsi="Arial" w:cs="Arial"/>
          <w:i/>
          <w:shd w:val="clear" w:color="auto" w:fill="FFFFFF"/>
        </w:rPr>
        <w:t>Ngqukumba</w:t>
      </w:r>
      <w:proofErr w:type="spellEnd"/>
      <w:r w:rsidRPr="00635917">
        <w:rPr>
          <w:rFonts w:ascii="Arial" w:hAnsi="Arial" w:cs="Arial"/>
          <w:i/>
          <w:shd w:val="clear" w:color="auto" w:fill="FFFFFF"/>
        </w:rPr>
        <w:t xml:space="preserve"> v Minister of Safety and Security and Others</w:t>
      </w:r>
      <w:r w:rsidRPr="00635917">
        <w:rPr>
          <w:rFonts w:ascii="Arial" w:hAnsi="Arial" w:cs="Arial"/>
          <w:shd w:val="clear" w:color="auto" w:fill="FFFFFF"/>
        </w:rPr>
        <w:t xml:space="preserve"> 2014 (5) SA 112 (CC)</w:t>
      </w:r>
      <w:r w:rsidR="00DC67AC">
        <w:rPr>
          <w:rFonts w:ascii="Arial" w:hAnsi="Arial" w:cs="Arial"/>
          <w:shd w:val="clear" w:color="auto" w:fill="FFFFFF"/>
        </w:rPr>
        <w:t xml:space="preserve">:par. </w:t>
      </w:r>
      <w:r w:rsidRPr="00635917">
        <w:rPr>
          <w:rFonts w:ascii="Arial" w:hAnsi="Arial" w:cs="Arial"/>
          <w:shd w:val="clear" w:color="auto" w:fill="FFFFFF"/>
        </w:rPr>
        <w:t>10.</w:t>
      </w:r>
    </w:p>
  </w:footnote>
  <w:footnote w:id="168">
    <w:p w14:paraId="10C89021" w14:textId="28A77E3E"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proofErr w:type="spellStart"/>
      <w:r w:rsidRPr="00635917">
        <w:rPr>
          <w:rFonts w:ascii="Arial" w:hAnsi="Arial" w:cs="Arial"/>
          <w:i/>
          <w:shd w:val="clear" w:color="auto" w:fill="FFFFFF"/>
        </w:rPr>
        <w:t>Ngqukumba</w:t>
      </w:r>
      <w:proofErr w:type="spellEnd"/>
      <w:r w:rsidRPr="00635917">
        <w:rPr>
          <w:rFonts w:ascii="Arial" w:hAnsi="Arial" w:cs="Arial"/>
          <w:i/>
          <w:shd w:val="clear" w:color="auto" w:fill="FFFFFF"/>
        </w:rPr>
        <w:t xml:space="preserve"> v Minister of Safety and Security and </w:t>
      </w:r>
      <w:proofErr w:type="spellStart"/>
      <w:r w:rsidRPr="00635917">
        <w:rPr>
          <w:rFonts w:ascii="Arial" w:hAnsi="Arial" w:cs="Arial"/>
          <w:i/>
          <w:shd w:val="clear" w:color="auto" w:fill="FFFFFF"/>
        </w:rPr>
        <w:t>Others</w:t>
      </w:r>
      <w:r w:rsidR="00DC67AC">
        <w:rPr>
          <w:rFonts w:ascii="Arial" w:hAnsi="Arial" w:cs="Arial"/>
          <w:shd w:val="clear" w:color="auto" w:fill="FFFFFF"/>
        </w:rPr>
        <w:t>:par</w:t>
      </w:r>
      <w:proofErr w:type="spellEnd"/>
      <w:r w:rsidR="00DC67AC">
        <w:rPr>
          <w:rFonts w:ascii="Arial" w:hAnsi="Arial" w:cs="Arial"/>
          <w:shd w:val="clear" w:color="auto" w:fill="FFFFFF"/>
        </w:rPr>
        <w:t xml:space="preserve">. </w:t>
      </w:r>
      <w:r w:rsidRPr="00635917">
        <w:rPr>
          <w:rFonts w:ascii="Arial" w:hAnsi="Arial" w:cs="Arial"/>
          <w:shd w:val="clear" w:color="auto" w:fill="FFFFFF"/>
        </w:rPr>
        <w:t>10.</w:t>
      </w:r>
    </w:p>
  </w:footnote>
  <w:footnote w:id="169">
    <w:p w14:paraId="794DEDAB" w14:textId="0094D23F"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r w:rsidRPr="00635917">
        <w:rPr>
          <w:rFonts w:ascii="Arial" w:hAnsi="Arial" w:cs="Arial"/>
          <w:lang w:val="en-GB"/>
        </w:rPr>
        <w:t>Nkosi 2016</w:t>
      </w:r>
      <w:r w:rsidR="00074F84">
        <w:rPr>
          <w:rFonts w:ascii="Arial" w:hAnsi="Arial" w:cs="Arial"/>
          <w:lang w:val="en-GB"/>
        </w:rPr>
        <w:t>:</w:t>
      </w:r>
      <w:r w:rsidRPr="00635917">
        <w:rPr>
          <w:rFonts w:ascii="Arial" w:hAnsi="Arial" w:cs="Arial"/>
          <w:lang w:val="en-GB"/>
        </w:rPr>
        <w:t>168.</w:t>
      </w:r>
    </w:p>
  </w:footnote>
  <w:footnote w:id="170">
    <w:p w14:paraId="3DA3B55A" w14:textId="0B40C72A"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D31F5">
        <w:rPr>
          <w:rFonts w:ascii="Arial" w:hAnsi="Arial" w:cs="Arial"/>
        </w:rPr>
        <w:tab/>
      </w:r>
      <w:r w:rsidRPr="00635917">
        <w:rPr>
          <w:rFonts w:ascii="Arial" w:hAnsi="Arial" w:cs="Arial"/>
          <w:i/>
          <w:shd w:val="clear" w:color="auto" w:fill="FFFFFF"/>
        </w:rPr>
        <w:t>Parker v Mobil Oil of Southern Africa (Pty) Ltd</w:t>
      </w:r>
      <w:r w:rsidRPr="00635917">
        <w:rPr>
          <w:rFonts w:ascii="Arial" w:hAnsi="Arial" w:cs="Arial"/>
          <w:shd w:val="clear" w:color="auto" w:fill="FFFFFF"/>
        </w:rPr>
        <w:t xml:space="preserve"> 1979 </w:t>
      </w:r>
      <w:r w:rsidR="00AD1F6D">
        <w:rPr>
          <w:rFonts w:ascii="Arial" w:hAnsi="Arial" w:cs="Arial"/>
          <w:shd w:val="clear" w:color="auto" w:fill="FFFFFF"/>
        </w:rPr>
        <w:t>(</w:t>
      </w:r>
      <w:r w:rsidRPr="00635917">
        <w:rPr>
          <w:rFonts w:ascii="Arial" w:hAnsi="Arial" w:cs="Arial"/>
          <w:shd w:val="clear" w:color="auto" w:fill="FFFFFF"/>
        </w:rPr>
        <w:t>4</w:t>
      </w:r>
      <w:r w:rsidR="00AD1F6D">
        <w:rPr>
          <w:rFonts w:ascii="Arial" w:hAnsi="Arial" w:cs="Arial"/>
          <w:shd w:val="clear" w:color="auto" w:fill="FFFFFF"/>
        </w:rPr>
        <w:t>)</w:t>
      </w:r>
      <w:r w:rsidRPr="00635917">
        <w:rPr>
          <w:rFonts w:ascii="Arial" w:hAnsi="Arial" w:cs="Arial"/>
          <w:shd w:val="clear" w:color="auto" w:fill="FFFFFF"/>
        </w:rPr>
        <w:t xml:space="preserve"> SA 336 (NC)</w:t>
      </w:r>
      <w:r w:rsidR="00074F84">
        <w:rPr>
          <w:rFonts w:ascii="Arial" w:hAnsi="Arial" w:cs="Arial"/>
          <w:shd w:val="clear" w:color="auto" w:fill="FFFFFF"/>
        </w:rPr>
        <w:t>:</w:t>
      </w:r>
      <w:r w:rsidRPr="00635917">
        <w:rPr>
          <w:rFonts w:ascii="Arial" w:hAnsi="Arial" w:cs="Arial"/>
          <w:shd w:val="clear" w:color="auto" w:fill="FFFFFF"/>
        </w:rPr>
        <w:t xml:space="preserve">340. The applicant and respondent concluded two contract agreements in terms of which the applicant was responsible for servicing aircrafts and to ensure that quality control and refuelling procedures are carried out in accordance with the respondent’s refuelling policy. The applicant ceased the supervision of both sites and elected two representatives to act on his behalf. The respondent cancelled both agreements and repossessed its equipment used to fuel planes. The respondent alleged that the aerodromes were left unattended and that on certain occasions, the stocks were not controlled, and pilots could fuel their own aircraft which is contrary to Mobil’s fuelling policy. Failure to maintain proper quality control and refuelling standards constituted a breach of agreement. However, the applicant sought an order directing the respondent to return all equipment to operation sites. He based his claim on the fact that he was not informed about breaches or given an opportunity to rectify matters before the respondents could decide to cancel the contract agreement. He however admits that the representatives had limited knowledge of quality control and were therefore unable to properly supervise operations. In addition, the applicant’s attorney conceded that the return of all equipment would be of no value to the applicant. It was thus found that the applicant intended to use the spoliation remedy to extort an advantage on bargaining for reinstatement with Mobil. The court refused to be part of the applicant’s smack of extortion and pointed out that the fact that the restoration of equipment would be of no use to </w:t>
      </w:r>
      <w:r w:rsidR="00A70F0F">
        <w:rPr>
          <w:rFonts w:ascii="Arial" w:hAnsi="Arial" w:cs="Arial"/>
          <w:shd w:val="clear" w:color="auto" w:fill="FFFFFF"/>
        </w:rPr>
        <w:t xml:space="preserve">the </w:t>
      </w:r>
      <w:r w:rsidRPr="00635917">
        <w:rPr>
          <w:rFonts w:ascii="Arial" w:hAnsi="Arial" w:cs="Arial"/>
          <w:shd w:val="clear" w:color="auto" w:fill="FFFFFF"/>
        </w:rPr>
        <w:t xml:space="preserve">applicant, but cause great inconvenience to Mobil, only militates against the grant of the spoliation remedy. The court referred to </w:t>
      </w:r>
      <w:proofErr w:type="spellStart"/>
      <w:r w:rsidRPr="00635917">
        <w:rPr>
          <w:rFonts w:ascii="Arial" w:hAnsi="Arial" w:cs="Arial"/>
          <w:i/>
          <w:iCs/>
          <w:shd w:val="clear" w:color="auto" w:fill="FFFFFF"/>
        </w:rPr>
        <w:t>Judelman</w:t>
      </w:r>
      <w:proofErr w:type="spellEnd"/>
      <w:r w:rsidRPr="00635917">
        <w:rPr>
          <w:rFonts w:ascii="Arial" w:hAnsi="Arial" w:cs="Arial"/>
          <w:i/>
          <w:iCs/>
          <w:shd w:val="clear" w:color="auto" w:fill="FFFFFF"/>
        </w:rPr>
        <w:t xml:space="preserve"> v Colonial Government</w:t>
      </w:r>
      <w:r w:rsidRPr="00635917">
        <w:rPr>
          <w:rFonts w:ascii="Arial" w:hAnsi="Arial" w:cs="Arial"/>
          <w:shd w:val="clear" w:color="auto" w:fill="FFFFFF"/>
        </w:rPr>
        <w:t xml:space="preserve"> where it was held that the rule that goods dispossessed against the will of the possessor must be restored forthwith, is not an absolute one. Accordingly, the court refused to grant the applicant an order directing the respondent to restore equipment (336-340)</w:t>
      </w:r>
      <w:r w:rsidR="00516369">
        <w:rPr>
          <w:rFonts w:ascii="Arial" w:hAnsi="Arial" w:cs="Arial"/>
          <w:shd w:val="clear" w:color="auto" w:fill="FFFFFF"/>
        </w:rPr>
        <w:t>.</w:t>
      </w:r>
    </w:p>
  </w:footnote>
  <w:footnote w:id="171">
    <w:p w14:paraId="4C711DD4" w14:textId="55672895"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56F65">
        <w:rPr>
          <w:rFonts w:ascii="Arial" w:hAnsi="Arial" w:cs="Arial"/>
        </w:rPr>
        <w:tab/>
      </w:r>
      <w:r w:rsidRPr="00635917">
        <w:rPr>
          <w:rFonts w:ascii="Arial" w:hAnsi="Arial" w:cs="Arial"/>
          <w:i/>
          <w:lang w:val="en-GB"/>
        </w:rPr>
        <w:t>Coetzee v Coetzee</w:t>
      </w:r>
      <w:r w:rsidRPr="00635917">
        <w:rPr>
          <w:rFonts w:ascii="Arial" w:hAnsi="Arial" w:cs="Arial"/>
          <w:lang w:val="en-GB"/>
        </w:rPr>
        <w:t xml:space="preserve"> 1982 </w:t>
      </w:r>
      <w:r w:rsidR="00644015">
        <w:rPr>
          <w:rFonts w:ascii="Arial" w:hAnsi="Arial" w:cs="Arial"/>
          <w:lang w:val="en-GB"/>
        </w:rPr>
        <w:t>(</w:t>
      </w:r>
      <w:r w:rsidRPr="00635917">
        <w:rPr>
          <w:rFonts w:ascii="Arial" w:hAnsi="Arial" w:cs="Arial"/>
          <w:lang w:val="en-GB"/>
        </w:rPr>
        <w:t>1</w:t>
      </w:r>
      <w:r w:rsidR="00644015">
        <w:rPr>
          <w:rFonts w:ascii="Arial" w:hAnsi="Arial" w:cs="Arial"/>
          <w:lang w:val="en-GB"/>
        </w:rPr>
        <w:t>)</w:t>
      </w:r>
      <w:r w:rsidRPr="00635917">
        <w:rPr>
          <w:rFonts w:ascii="Arial" w:hAnsi="Arial" w:cs="Arial"/>
          <w:lang w:val="en-GB"/>
        </w:rPr>
        <w:t xml:space="preserve"> SA 933 (C).</w:t>
      </w:r>
    </w:p>
  </w:footnote>
  <w:footnote w:id="172">
    <w:p w14:paraId="2A922994" w14:textId="5DB2CA80" w:rsidR="004E3EF9" w:rsidRPr="00635917" w:rsidRDefault="004E3EF9"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A56F65">
        <w:rPr>
          <w:rFonts w:ascii="Arial" w:hAnsi="Arial" w:cs="Arial"/>
        </w:rPr>
        <w:tab/>
      </w:r>
      <w:r w:rsidRPr="00635917">
        <w:rPr>
          <w:rFonts w:ascii="Arial" w:hAnsi="Arial" w:cs="Arial"/>
          <w:i/>
          <w:lang w:val="en-GB"/>
        </w:rPr>
        <w:t>Coetzee v Coetzee</w:t>
      </w:r>
      <w:r w:rsidR="00074F84">
        <w:rPr>
          <w:rFonts w:ascii="Arial" w:hAnsi="Arial" w:cs="Arial"/>
          <w:lang w:val="en-GB"/>
        </w:rPr>
        <w:t>:</w:t>
      </w:r>
      <w:r w:rsidRPr="00635917">
        <w:rPr>
          <w:rFonts w:ascii="Arial" w:hAnsi="Arial" w:cs="Arial"/>
          <w:lang w:val="en-GB"/>
        </w:rPr>
        <w:t>676.</w:t>
      </w:r>
    </w:p>
  </w:footnote>
  <w:footnote w:id="173">
    <w:p w14:paraId="4451EB42" w14:textId="53B191DA" w:rsidR="004E3EF9" w:rsidRPr="00635917" w:rsidRDefault="004E3EF9"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644015">
        <w:rPr>
          <w:rFonts w:ascii="Arial" w:hAnsi="Arial" w:cs="Arial"/>
        </w:rPr>
        <w:tab/>
      </w:r>
      <w:r w:rsidRPr="00635917">
        <w:rPr>
          <w:rFonts w:ascii="Arial" w:hAnsi="Arial" w:cs="Arial"/>
          <w:lang w:val="en-GB"/>
        </w:rPr>
        <w:t>Nkosi 2016</w:t>
      </w:r>
      <w:r w:rsidR="00074F84">
        <w:rPr>
          <w:rFonts w:ascii="Arial" w:hAnsi="Arial" w:cs="Arial"/>
          <w:lang w:val="en-GB"/>
        </w:rPr>
        <w:t>:</w:t>
      </w:r>
      <w:r w:rsidRPr="00635917">
        <w:rPr>
          <w:rFonts w:ascii="Arial" w:hAnsi="Arial" w:cs="Arial"/>
          <w:lang w:val="en-GB"/>
        </w:rPr>
        <w:t>169.</w:t>
      </w:r>
    </w:p>
  </w:footnote>
  <w:footnote w:id="174">
    <w:p w14:paraId="06B130DB" w14:textId="7E8535F1" w:rsidR="00D97248" w:rsidRPr="00547659" w:rsidRDefault="00D97248" w:rsidP="00A56F65">
      <w:pPr>
        <w:pStyle w:val="FootnoteText"/>
        <w:ind w:left="357" w:hanging="357"/>
        <w:rPr>
          <w:rFonts w:ascii="Arial" w:hAnsi="Arial" w:cs="Arial"/>
        </w:rPr>
      </w:pPr>
      <w:r w:rsidRPr="00547659">
        <w:rPr>
          <w:rStyle w:val="FootnoteReference"/>
          <w:rFonts w:ascii="Arial" w:hAnsi="Arial" w:cs="Arial"/>
        </w:rPr>
        <w:footnoteRef/>
      </w:r>
      <w:r w:rsidRPr="00547659">
        <w:rPr>
          <w:rFonts w:ascii="Arial" w:hAnsi="Arial" w:cs="Arial"/>
        </w:rPr>
        <w:t xml:space="preserve"> </w:t>
      </w:r>
      <w:r w:rsidR="00A56F65">
        <w:rPr>
          <w:rFonts w:ascii="Arial" w:hAnsi="Arial" w:cs="Arial"/>
        </w:rPr>
        <w:tab/>
      </w:r>
      <w:r w:rsidRPr="00547659">
        <w:rPr>
          <w:rFonts w:ascii="Arial" w:hAnsi="Arial" w:cs="Arial"/>
        </w:rPr>
        <w:t xml:space="preserve">Muller </w:t>
      </w:r>
      <w:r w:rsidRPr="00547659">
        <w:rPr>
          <w:rFonts w:ascii="Arial" w:hAnsi="Arial" w:cs="Arial"/>
          <w:i/>
          <w:iCs/>
        </w:rPr>
        <w:t>et al</w:t>
      </w:r>
      <w:r w:rsidRPr="00547659">
        <w:rPr>
          <w:rFonts w:ascii="Arial" w:hAnsi="Arial" w:cs="Arial"/>
        </w:rPr>
        <w:t xml:space="preserve"> 2019a: 209.</w:t>
      </w:r>
    </w:p>
  </w:footnote>
  <w:footnote w:id="175">
    <w:p w14:paraId="56ABEB11" w14:textId="1042544B" w:rsidR="00D97248" w:rsidRPr="00547659" w:rsidRDefault="00D97248" w:rsidP="00A56F65">
      <w:pPr>
        <w:pStyle w:val="FootnoteText"/>
        <w:ind w:left="357" w:hanging="357"/>
        <w:rPr>
          <w:rFonts w:ascii="Arial" w:hAnsi="Arial" w:cs="Arial"/>
        </w:rPr>
      </w:pPr>
      <w:r w:rsidRPr="00547659">
        <w:rPr>
          <w:rStyle w:val="FootnoteReference"/>
          <w:rFonts w:ascii="Arial" w:hAnsi="Arial" w:cs="Arial"/>
        </w:rPr>
        <w:footnoteRef/>
      </w:r>
      <w:r w:rsidRPr="00547659">
        <w:rPr>
          <w:rFonts w:ascii="Arial" w:hAnsi="Arial" w:cs="Arial"/>
        </w:rPr>
        <w:t xml:space="preserve"> </w:t>
      </w:r>
      <w:r w:rsidR="00A56F65">
        <w:rPr>
          <w:rFonts w:ascii="Arial" w:hAnsi="Arial" w:cs="Arial"/>
        </w:rPr>
        <w:tab/>
      </w:r>
      <w:r w:rsidRPr="00547659">
        <w:rPr>
          <w:rFonts w:ascii="Arial" w:hAnsi="Arial" w:cs="Arial"/>
        </w:rPr>
        <w:t xml:space="preserve">Muller </w:t>
      </w:r>
      <w:r w:rsidRPr="00547659">
        <w:rPr>
          <w:rFonts w:ascii="Arial" w:hAnsi="Arial" w:cs="Arial"/>
          <w:i/>
          <w:iCs/>
        </w:rPr>
        <w:t>et al</w:t>
      </w:r>
      <w:r w:rsidRPr="00547659">
        <w:rPr>
          <w:rFonts w:ascii="Arial" w:hAnsi="Arial" w:cs="Arial"/>
        </w:rPr>
        <w:t xml:space="preserve"> 2019a: 209.</w:t>
      </w:r>
    </w:p>
  </w:footnote>
  <w:footnote w:id="176">
    <w:p w14:paraId="1C65DD25" w14:textId="67CE3B72" w:rsidR="00D97248" w:rsidRPr="00AF5F9F" w:rsidRDefault="00D97248" w:rsidP="00A56F65">
      <w:pPr>
        <w:pStyle w:val="FootnoteText"/>
        <w:ind w:left="357" w:hanging="357"/>
        <w:rPr>
          <w:rFonts w:ascii="Arial" w:hAnsi="Arial" w:cs="Arial"/>
        </w:rPr>
      </w:pPr>
      <w:r w:rsidRPr="00547659">
        <w:rPr>
          <w:rStyle w:val="FootnoteReference"/>
          <w:rFonts w:ascii="Arial" w:hAnsi="Arial" w:cs="Arial"/>
        </w:rPr>
        <w:footnoteRef/>
      </w:r>
      <w:r w:rsidRPr="00547659">
        <w:rPr>
          <w:rFonts w:ascii="Arial" w:hAnsi="Arial" w:cs="Arial"/>
        </w:rPr>
        <w:t xml:space="preserve"> </w:t>
      </w:r>
      <w:r w:rsidR="00A56F65">
        <w:rPr>
          <w:rFonts w:ascii="Arial" w:hAnsi="Arial" w:cs="Arial"/>
        </w:rPr>
        <w:tab/>
      </w:r>
      <w:r w:rsidRPr="00AF5F9F">
        <w:rPr>
          <w:rFonts w:ascii="Arial" w:hAnsi="Arial" w:cs="Arial"/>
          <w:i/>
          <w:iCs/>
          <w:shd w:val="clear" w:color="auto" w:fill="FFFFFF"/>
        </w:rPr>
        <w:t xml:space="preserve">Fredericks and Another v Stellenbosch Divisional Council </w:t>
      </w:r>
      <w:r w:rsidRPr="00AF5F9F">
        <w:rPr>
          <w:rFonts w:ascii="Arial" w:hAnsi="Arial" w:cs="Arial"/>
          <w:shd w:val="clear" w:color="auto" w:fill="FFFFFF"/>
        </w:rPr>
        <w:t>1977 (3) SA 113 (C) 117.</w:t>
      </w:r>
    </w:p>
  </w:footnote>
  <w:footnote w:id="177">
    <w:p w14:paraId="0AE1927C" w14:textId="24ACEB83" w:rsidR="00D97248" w:rsidRPr="00AF5F9F" w:rsidRDefault="00D97248" w:rsidP="00A56F65">
      <w:pPr>
        <w:pStyle w:val="FootnoteText"/>
        <w:ind w:left="357" w:hanging="357"/>
        <w:rPr>
          <w:rFonts w:ascii="Arial" w:hAnsi="Arial" w:cs="Arial"/>
        </w:rPr>
      </w:pPr>
      <w:r w:rsidRPr="00AF5F9F">
        <w:rPr>
          <w:rStyle w:val="FootnoteReference"/>
          <w:rFonts w:ascii="Arial" w:hAnsi="Arial" w:cs="Arial"/>
        </w:rPr>
        <w:footnoteRef/>
      </w:r>
      <w:r w:rsidRPr="00AF5F9F">
        <w:rPr>
          <w:rFonts w:ascii="Arial" w:hAnsi="Arial" w:cs="Arial"/>
        </w:rPr>
        <w:t xml:space="preserve"> </w:t>
      </w:r>
      <w:r w:rsidR="00A56F65" w:rsidRPr="00AF5F9F">
        <w:rPr>
          <w:rFonts w:ascii="Arial" w:hAnsi="Arial" w:cs="Arial"/>
        </w:rPr>
        <w:tab/>
      </w:r>
      <w:proofErr w:type="spellStart"/>
      <w:r w:rsidRPr="00AF5F9F">
        <w:rPr>
          <w:rFonts w:ascii="Arial" w:hAnsi="Arial" w:cs="Arial"/>
        </w:rPr>
        <w:t>Boggenpoel</w:t>
      </w:r>
      <w:proofErr w:type="spellEnd"/>
      <w:r w:rsidRPr="00AF5F9F">
        <w:rPr>
          <w:rFonts w:ascii="Arial" w:hAnsi="Arial" w:cs="Arial"/>
        </w:rPr>
        <w:t xml:space="preserve"> 2017: 132.</w:t>
      </w:r>
    </w:p>
  </w:footnote>
  <w:footnote w:id="178">
    <w:p w14:paraId="554A324D" w14:textId="2C3CA333" w:rsidR="00480A2E" w:rsidRPr="005F261F" w:rsidRDefault="00480A2E" w:rsidP="00AF5F9F">
      <w:pPr>
        <w:pStyle w:val="FootnoteText"/>
        <w:ind w:left="357" w:hanging="357"/>
        <w:rPr>
          <w:rFonts w:ascii="Arial" w:hAnsi="Arial" w:cs="Arial"/>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iCs/>
          <w:shd w:val="clear" w:color="auto" w:fill="FFFFFF"/>
        </w:rPr>
        <w:t>Rikhotso v Northcliff Ceramics (Pty) Ltd and Others</w:t>
      </w:r>
      <w:r w:rsidR="00AF5F9F" w:rsidRPr="005F261F">
        <w:rPr>
          <w:rFonts w:ascii="Arial" w:hAnsi="Arial" w:cs="Arial"/>
          <w:shd w:val="clear" w:color="auto" w:fill="FFFFFF"/>
        </w:rPr>
        <w:t>:</w:t>
      </w:r>
      <w:r w:rsidRPr="005F261F">
        <w:rPr>
          <w:rFonts w:ascii="Arial" w:hAnsi="Arial" w:cs="Arial"/>
          <w:shd w:val="clear" w:color="auto" w:fill="FFFFFF"/>
        </w:rPr>
        <w:t>533.</w:t>
      </w:r>
    </w:p>
  </w:footnote>
  <w:footnote w:id="179">
    <w:p w14:paraId="1A789E73" w14:textId="5DA38067" w:rsidR="00480A2E" w:rsidRPr="005F261F" w:rsidRDefault="00480A2E" w:rsidP="00AF5F9F">
      <w:pPr>
        <w:pStyle w:val="FootnoteText"/>
        <w:ind w:left="357" w:hanging="357"/>
        <w:rPr>
          <w:rFonts w:ascii="Arial" w:hAnsi="Arial" w:cs="Arial"/>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iCs/>
          <w:shd w:val="clear" w:color="auto" w:fill="FFFFFF"/>
        </w:rPr>
        <w:t>Rikhotso v Northcliff Ceramics (Pty) Ltd and Other</w:t>
      </w:r>
      <w:r w:rsidR="00AF5F9F" w:rsidRPr="005F261F">
        <w:rPr>
          <w:rFonts w:ascii="Arial" w:hAnsi="Arial" w:cs="Arial"/>
          <w:i/>
          <w:iCs/>
          <w:shd w:val="clear" w:color="auto" w:fill="FFFFFF"/>
        </w:rPr>
        <w:t>s</w:t>
      </w:r>
      <w:r w:rsidRPr="005F261F">
        <w:rPr>
          <w:rFonts w:ascii="Arial" w:hAnsi="Arial" w:cs="Arial"/>
          <w:shd w:val="clear" w:color="auto" w:fill="FFFFFF"/>
        </w:rPr>
        <w:t>:535.</w:t>
      </w:r>
    </w:p>
  </w:footnote>
  <w:footnote w:id="180">
    <w:p w14:paraId="024307D8" w14:textId="223F8229" w:rsidR="00686E54" w:rsidRPr="005F261F" w:rsidRDefault="00686E54" w:rsidP="00AF5F9F">
      <w:pPr>
        <w:pStyle w:val="FootnoteText"/>
        <w:ind w:left="357" w:hanging="357"/>
        <w:jc w:val="both"/>
        <w:rPr>
          <w:rFonts w:ascii="Arial" w:hAnsi="Arial" w:cs="Arial"/>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iCs/>
          <w:shd w:val="clear" w:color="auto" w:fill="FFFFFF"/>
        </w:rPr>
        <w:t>Tswelopele Non-Profit Organisation and Others v City of Tshwane Metropolitan Municipality and Others</w:t>
      </w:r>
      <w:r w:rsidRPr="005F261F">
        <w:rPr>
          <w:rFonts w:ascii="Arial" w:hAnsi="Arial" w:cs="Arial"/>
          <w:shd w:val="clear" w:color="auto" w:fill="FFFFFF"/>
        </w:rPr>
        <w:t xml:space="preserve"> 2007 (6) SA 511 (SCA).</w:t>
      </w:r>
    </w:p>
  </w:footnote>
  <w:footnote w:id="181">
    <w:p w14:paraId="43874F8B" w14:textId="02EF4A32" w:rsidR="004E3EF9" w:rsidRPr="005F261F" w:rsidRDefault="004E3EF9" w:rsidP="00AF5F9F">
      <w:pPr>
        <w:pStyle w:val="FootnoteText"/>
        <w:ind w:left="357" w:hanging="357"/>
        <w:jc w:val="both"/>
        <w:rPr>
          <w:rFonts w:ascii="Arial" w:hAnsi="Arial" w:cs="Arial"/>
          <w:lang w:val="en-GB"/>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shd w:val="clear" w:color="auto" w:fill="FFFFFF"/>
        </w:rPr>
        <w:t xml:space="preserve">Tswelopele </w:t>
      </w:r>
      <w:r w:rsidR="005F261F" w:rsidRPr="005F261F">
        <w:rPr>
          <w:rFonts w:ascii="Arial" w:hAnsi="Arial" w:cs="Arial"/>
          <w:i/>
          <w:shd w:val="clear" w:color="auto" w:fill="FFFFFF"/>
        </w:rPr>
        <w:t>Non</w:t>
      </w:r>
      <w:r w:rsidRPr="005F261F">
        <w:rPr>
          <w:rFonts w:ascii="Arial" w:hAnsi="Arial" w:cs="Arial"/>
          <w:i/>
          <w:shd w:val="clear" w:color="auto" w:fill="FFFFFF"/>
        </w:rPr>
        <w:t>-profit organisation v City of Tshwane Metropolitan Municipality</w:t>
      </w:r>
      <w:r w:rsidR="005F261F">
        <w:rPr>
          <w:rFonts w:ascii="Arial" w:hAnsi="Arial" w:cs="Arial"/>
          <w:iCs/>
          <w:shd w:val="clear" w:color="auto" w:fill="FFFFFF"/>
        </w:rPr>
        <w:t>:par</w:t>
      </w:r>
      <w:r w:rsidR="00DC67AC" w:rsidRPr="005F261F">
        <w:rPr>
          <w:rFonts w:ascii="Arial" w:hAnsi="Arial" w:cs="Arial"/>
          <w:shd w:val="clear" w:color="auto" w:fill="FFFFFF"/>
        </w:rPr>
        <w:t>.</w:t>
      </w:r>
      <w:r w:rsidRPr="005F261F">
        <w:rPr>
          <w:rFonts w:ascii="Arial" w:hAnsi="Arial" w:cs="Arial"/>
          <w:shd w:val="clear" w:color="auto" w:fill="FFFFFF"/>
        </w:rPr>
        <w:t>24.</w:t>
      </w:r>
    </w:p>
  </w:footnote>
  <w:footnote w:id="182">
    <w:p w14:paraId="1B4D590C" w14:textId="30FE1B6F" w:rsidR="00C541B4" w:rsidRPr="005F261F" w:rsidRDefault="00C541B4" w:rsidP="00AF5F9F">
      <w:pPr>
        <w:pStyle w:val="FootnoteText"/>
        <w:ind w:left="357" w:hanging="357"/>
        <w:jc w:val="both"/>
        <w:rPr>
          <w:rFonts w:ascii="Arial" w:hAnsi="Arial" w:cs="Arial"/>
        </w:rPr>
      </w:pPr>
      <w:r w:rsidRPr="005F261F">
        <w:rPr>
          <w:rStyle w:val="FootnoteReference"/>
          <w:rFonts w:ascii="Arial" w:hAnsi="Arial" w:cs="Arial"/>
        </w:rPr>
        <w:footnoteRef/>
      </w:r>
      <w:r w:rsidRPr="005F261F">
        <w:rPr>
          <w:rFonts w:ascii="Arial" w:hAnsi="Arial" w:cs="Arial"/>
        </w:rPr>
        <w:t xml:space="preserve"> </w:t>
      </w:r>
      <w:r w:rsidR="003F2A81" w:rsidRPr="005F261F">
        <w:rPr>
          <w:rFonts w:ascii="Arial" w:hAnsi="Arial" w:cs="Arial"/>
        </w:rPr>
        <w:t xml:space="preserve"> </w:t>
      </w:r>
      <w:r w:rsidR="00AF5F9F" w:rsidRPr="005F261F">
        <w:rPr>
          <w:rFonts w:ascii="Arial" w:hAnsi="Arial" w:cs="Arial"/>
        </w:rPr>
        <w:tab/>
      </w:r>
      <w:r w:rsidRPr="005F261F">
        <w:rPr>
          <w:rFonts w:ascii="Arial" w:hAnsi="Arial" w:cs="Arial"/>
        </w:rPr>
        <w:t>Brand 2014:194.</w:t>
      </w:r>
    </w:p>
  </w:footnote>
  <w:footnote w:id="183">
    <w:p w14:paraId="1879D84B" w14:textId="6CFC0453" w:rsidR="00CD3E07" w:rsidRPr="005F261F" w:rsidRDefault="00CD3E07" w:rsidP="00AF5F9F">
      <w:pPr>
        <w:pStyle w:val="FootnoteText"/>
        <w:ind w:left="357" w:hanging="357"/>
        <w:rPr>
          <w:rFonts w:ascii="Arial" w:hAnsi="Arial" w:cs="Arial"/>
          <w:shd w:val="clear" w:color="auto" w:fill="FFFFFF"/>
          <w:lang w:val="en-GB"/>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iCs/>
          <w:shd w:val="clear" w:color="auto" w:fill="FFFFFF"/>
        </w:rPr>
        <w:t>Monteiro and Another v Diedricks</w:t>
      </w:r>
      <w:r w:rsidRPr="005F261F">
        <w:rPr>
          <w:rFonts w:ascii="Arial" w:hAnsi="Arial" w:cs="Arial"/>
          <w:shd w:val="clear" w:color="auto" w:fill="FFFFFF"/>
        </w:rPr>
        <w:t xml:space="preserve"> </w:t>
      </w:r>
      <w:r w:rsidR="000A3926">
        <w:rPr>
          <w:rFonts w:ascii="Arial" w:hAnsi="Arial" w:cs="Arial"/>
          <w:shd w:val="clear" w:color="auto" w:fill="FFFFFF"/>
        </w:rPr>
        <w:t>[</w:t>
      </w:r>
      <w:r w:rsidRPr="005F261F">
        <w:rPr>
          <w:rFonts w:ascii="Arial" w:hAnsi="Arial" w:cs="Arial"/>
          <w:shd w:val="clear" w:color="auto" w:fill="FFFFFF"/>
          <w:lang w:val="en-GB"/>
        </w:rPr>
        <w:t>2021</w:t>
      </w:r>
      <w:r w:rsidR="000A3926">
        <w:rPr>
          <w:rFonts w:ascii="Arial" w:hAnsi="Arial" w:cs="Arial"/>
          <w:shd w:val="clear" w:color="auto" w:fill="FFFFFF"/>
          <w:lang w:val="en-GB"/>
        </w:rPr>
        <w:t>]</w:t>
      </w:r>
      <w:r w:rsidRPr="005F261F">
        <w:rPr>
          <w:rFonts w:ascii="Arial" w:hAnsi="Arial" w:cs="Arial"/>
          <w:shd w:val="clear" w:color="auto" w:fill="FFFFFF"/>
          <w:lang w:val="en-GB"/>
        </w:rPr>
        <w:t xml:space="preserve"> 2 All SA 405 (SCA)</w:t>
      </w:r>
      <w:r w:rsidR="00692C67" w:rsidRPr="005F261F">
        <w:rPr>
          <w:rFonts w:ascii="Arial" w:hAnsi="Arial" w:cs="Arial"/>
          <w:shd w:val="clear" w:color="auto" w:fill="FFFFFF"/>
          <w:lang w:val="en-GB"/>
        </w:rPr>
        <w:t>.</w:t>
      </w:r>
    </w:p>
  </w:footnote>
  <w:footnote w:id="184">
    <w:p w14:paraId="156B67FA" w14:textId="4873CE63" w:rsidR="00CD3E07" w:rsidRPr="005F261F" w:rsidRDefault="00CD3E07" w:rsidP="00AF5F9F">
      <w:pPr>
        <w:pStyle w:val="FootnoteText"/>
        <w:ind w:left="357" w:hanging="357"/>
        <w:rPr>
          <w:rFonts w:ascii="Arial" w:hAnsi="Arial" w:cs="Arial"/>
          <w:shd w:val="clear" w:color="auto" w:fill="FFFFFF"/>
          <w:lang w:val="en-GB"/>
        </w:rPr>
      </w:pPr>
      <w:r w:rsidRPr="005F261F">
        <w:rPr>
          <w:rStyle w:val="FootnoteReference"/>
          <w:rFonts w:ascii="Arial" w:hAnsi="Arial" w:cs="Arial"/>
        </w:rPr>
        <w:footnoteRef/>
      </w:r>
      <w:r w:rsidRPr="005F261F">
        <w:rPr>
          <w:rFonts w:ascii="Arial" w:hAnsi="Arial" w:cs="Arial"/>
        </w:rPr>
        <w:t xml:space="preserve"> </w:t>
      </w:r>
      <w:r w:rsidR="00AF5F9F" w:rsidRPr="005F261F">
        <w:rPr>
          <w:rFonts w:ascii="Arial" w:hAnsi="Arial" w:cs="Arial"/>
        </w:rPr>
        <w:tab/>
      </w:r>
      <w:r w:rsidRPr="005F261F">
        <w:rPr>
          <w:rFonts w:ascii="Arial" w:hAnsi="Arial" w:cs="Arial"/>
          <w:i/>
          <w:iCs/>
          <w:shd w:val="clear" w:color="auto" w:fill="FFFFFF"/>
        </w:rPr>
        <w:t>Monteiro and Another v Diedricks</w:t>
      </w:r>
      <w:r w:rsidRPr="005F261F">
        <w:rPr>
          <w:rFonts w:ascii="Arial" w:hAnsi="Arial" w:cs="Arial"/>
          <w:shd w:val="clear" w:color="auto" w:fill="FFFFFF"/>
          <w:lang w:val="en-GB"/>
        </w:rPr>
        <w:t>:paras</w:t>
      </w:r>
      <w:r w:rsidR="000A3926">
        <w:rPr>
          <w:rFonts w:ascii="Arial" w:hAnsi="Arial" w:cs="Arial"/>
          <w:shd w:val="clear" w:color="auto" w:fill="FFFFFF"/>
          <w:lang w:val="en-GB"/>
        </w:rPr>
        <w:t>.</w:t>
      </w:r>
      <w:r w:rsidRPr="005F261F">
        <w:rPr>
          <w:rFonts w:ascii="Arial" w:hAnsi="Arial" w:cs="Arial"/>
          <w:shd w:val="clear" w:color="auto" w:fill="FFFFFF"/>
          <w:lang w:val="en-GB"/>
        </w:rPr>
        <w:t xml:space="preserve"> 27-33.</w:t>
      </w:r>
    </w:p>
  </w:footnote>
  <w:footnote w:id="185">
    <w:p w14:paraId="5480942C" w14:textId="0044FAF3" w:rsidR="00CD3E07" w:rsidRPr="00A31F3A" w:rsidRDefault="00CD3E07" w:rsidP="00A31F3A">
      <w:pPr>
        <w:pStyle w:val="FootnoteText"/>
        <w:ind w:left="357" w:hanging="357"/>
        <w:rPr>
          <w:rFonts w:ascii="Arial" w:hAnsi="Arial" w:cs="Arial"/>
          <w:shd w:val="clear" w:color="auto" w:fill="FFFFFF"/>
          <w:lang w:val="en-GB"/>
        </w:rPr>
      </w:pPr>
      <w:r w:rsidRPr="00CC5CF8">
        <w:rPr>
          <w:rStyle w:val="FootnoteReference"/>
          <w:rFonts w:ascii="Arial" w:hAnsi="Arial" w:cs="Arial"/>
        </w:rPr>
        <w:footnoteRef/>
      </w:r>
      <w:r w:rsidRPr="00CC5CF8">
        <w:rPr>
          <w:rFonts w:ascii="Arial" w:hAnsi="Arial" w:cs="Arial"/>
        </w:rPr>
        <w:t xml:space="preserve"> </w:t>
      </w:r>
      <w:r w:rsidR="00A31F3A">
        <w:rPr>
          <w:rFonts w:ascii="Arial" w:hAnsi="Arial" w:cs="Arial"/>
        </w:rPr>
        <w:tab/>
      </w:r>
      <w:r w:rsidRPr="00A31F3A">
        <w:rPr>
          <w:rFonts w:ascii="Arial" w:hAnsi="Arial" w:cs="Arial"/>
          <w:i/>
          <w:iCs/>
          <w:shd w:val="clear" w:color="auto" w:fill="FFFFFF"/>
        </w:rPr>
        <w:t>Monteiro and Another v Diedricks</w:t>
      </w:r>
      <w:r w:rsidR="000A3926" w:rsidRPr="00A31F3A">
        <w:rPr>
          <w:rFonts w:ascii="Arial" w:hAnsi="Arial" w:cs="Arial"/>
          <w:shd w:val="clear" w:color="auto" w:fill="FFFFFF"/>
        </w:rPr>
        <w:t>:</w:t>
      </w:r>
      <w:r w:rsidRPr="00A31F3A">
        <w:rPr>
          <w:rFonts w:ascii="Arial" w:hAnsi="Arial" w:cs="Arial"/>
          <w:shd w:val="clear" w:color="auto" w:fill="FFFFFF"/>
          <w:lang w:val="en-GB"/>
        </w:rPr>
        <w:t>par 60.</w:t>
      </w:r>
    </w:p>
  </w:footnote>
  <w:footnote w:id="186">
    <w:p w14:paraId="63C13838" w14:textId="6CFE6852" w:rsidR="00CD3E07" w:rsidRPr="00A31F3A" w:rsidRDefault="00CD3E07" w:rsidP="00A31F3A">
      <w:pPr>
        <w:pStyle w:val="FootnoteText"/>
        <w:ind w:left="357" w:hanging="357"/>
        <w:rPr>
          <w:rFonts w:ascii="Arial" w:hAnsi="Arial" w:cs="Arial"/>
          <w:shd w:val="clear" w:color="auto" w:fill="FFFFFF"/>
          <w:lang w:val="en-GB"/>
        </w:rPr>
      </w:pPr>
      <w:r w:rsidRPr="00A31F3A">
        <w:rPr>
          <w:rStyle w:val="FootnoteReference"/>
          <w:rFonts w:ascii="Arial" w:hAnsi="Arial" w:cs="Arial"/>
        </w:rPr>
        <w:footnoteRef/>
      </w:r>
      <w:r w:rsidRPr="00A31F3A">
        <w:rPr>
          <w:rFonts w:ascii="Arial" w:hAnsi="Arial" w:cs="Arial"/>
        </w:rPr>
        <w:t xml:space="preserve"> </w:t>
      </w:r>
      <w:r w:rsidR="00A31F3A" w:rsidRPr="00A31F3A">
        <w:rPr>
          <w:rFonts w:ascii="Arial" w:hAnsi="Arial" w:cs="Arial"/>
        </w:rPr>
        <w:tab/>
      </w:r>
      <w:r w:rsidRPr="00A31F3A">
        <w:rPr>
          <w:rFonts w:ascii="Arial" w:hAnsi="Arial" w:cs="Arial"/>
          <w:i/>
          <w:iCs/>
          <w:shd w:val="clear" w:color="auto" w:fill="FFFFFF"/>
        </w:rPr>
        <w:t>Monteiro and Another v Diedricks</w:t>
      </w:r>
      <w:r w:rsidRPr="00A31F3A">
        <w:rPr>
          <w:rFonts w:ascii="Arial" w:hAnsi="Arial" w:cs="Arial"/>
          <w:shd w:val="clear" w:color="auto" w:fill="FFFFFF"/>
          <w:lang w:val="en-GB"/>
        </w:rPr>
        <w:t>:par 69.</w:t>
      </w:r>
    </w:p>
  </w:footnote>
  <w:footnote w:id="187">
    <w:p w14:paraId="39034EFA" w14:textId="0A7D3374" w:rsidR="004E3EF9" w:rsidRPr="007E1471" w:rsidRDefault="004E3EF9" w:rsidP="00A31F3A">
      <w:pPr>
        <w:pStyle w:val="FootnoteText"/>
        <w:ind w:left="357" w:hanging="357"/>
        <w:jc w:val="both"/>
        <w:rPr>
          <w:rFonts w:ascii="Arial" w:hAnsi="Arial" w:cs="Arial"/>
        </w:rPr>
      </w:pPr>
      <w:r w:rsidRPr="00A31F3A">
        <w:rPr>
          <w:rStyle w:val="FootnoteReference"/>
          <w:rFonts w:ascii="Arial" w:hAnsi="Arial" w:cs="Arial"/>
        </w:rPr>
        <w:footnoteRef/>
      </w:r>
      <w:r w:rsidRPr="007E1471">
        <w:rPr>
          <w:rFonts w:ascii="Arial" w:hAnsi="Arial" w:cs="Arial"/>
        </w:rPr>
        <w:t xml:space="preserve"> </w:t>
      </w:r>
      <w:r w:rsidR="00644015" w:rsidRPr="007E1471">
        <w:rPr>
          <w:rFonts w:ascii="Arial" w:hAnsi="Arial" w:cs="Arial"/>
        </w:rPr>
        <w:tab/>
      </w:r>
      <w:r w:rsidRPr="007E1471">
        <w:rPr>
          <w:rFonts w:ascii="Arial" w:hAnsi="Arial" w:cs="Arial"/>
        </w:rPr>
        <w:t xml:space="preserve">Muller </w:t>
      </w:r>
      <w:r w:rsidRPr="007E1471">
        <w:rPr>
          <w:rFonts w:ascii="Arial" w:hAnsi="Arial" w:cs="Arial"/>
          <w:i/>
        </w:rPr>
        <w:t>et al</w:t>
      </w:r>
      <w:r w:rsidRPr="007E1471">
        <w:rPr>
          <w:rFonts w:ascii="Arial" w:hAnsi="Arial" w:cs="Arial"/>
        </w:rPr>
        <w:t xml:space="preserve"> 2019</w:t>
      </w:r>
      <w:r w:rsidR="00815394" w:rsidRPr="007E1471">
        <w:rPr>
          <w:rFonts w:ascii="Arial" w:hAnsi="Arial" w:cs="Arial"/>
        </w:rPr>
        <w:t>a</w:t>
      </w:r>
      <w:r w:rsidR="00074F84" w:rsidRPr="007E1471">
        <w:rPr>
          <w:rFonts w:ascii="Arial" w:hAnsi="Arial" w:cs="Arial"/>
        </w:rPr>
        <w:t>:</w:t>
      </w:r>
      <w:r w:rsidRPr="007E1471">
        <w:rPr>
          <w:rFonts w:ascii="Arial" w:hAnsi="Arial" w:cs="Arial"/>
        </w:rPr>
        <w:t>19</w:t>
      </w:r>
      <w:r w:rsidR="00815394" w:rsidRPr="007E1471">
        <w:rPr>
          <w:rFonts w:ascii="Arial" w:hAnsi="Arial" w:cs="Arial"/>
        </w:rPr>
        <w:t>8</w:t>
      </w:r>
      <w:r w:rsidRPr="007E1471">
        <w:rPr>
          <w:rFonts w:ascii="Arial" w:hAnsi="Arial" w:cs="Arial"/>
        </w:rPr>
        <w:t>.</w:t>
      </w:r>
      <w:r w:rsidR="00E11F73" w:rsidRPr="007E1471">
        <w:rPr>
          <w:rFonts w:ascii="Arial" w:hAnsi="Arial" w:cs="Arial"/>
        </w:rPr>
        <w:t xml:space="preserve"> </w:t>
      </w:r>
      <w:r w:rsidR="00001021" w:rsidRPr="007E1471">
        <w:rPr>
          <w:rFonts w:ascii="Arial" w:hAnsi="Arial" w:cs="Arial"/>
        </w:rPr>
        <w:t xml:space="preserve">For instance, </w:t>
      </w:r>
      <w:r w:rsidR="00001021" w:rsidRPr="00A31F3A">
        <w:rPr>
          <w:rFonts w:ascii="Arial" w:hAnsi="Arial" w:cs="Arial"/>
          <w:shd w:val="clear" w:color="auto" w:fill="FFFFFF"/>
        </w:rPr>
        <w:t xml:space="preserve">in </w:t>
      </w:r>
      <w:r w:rsidR="00001021" w:rsidRPr="00A31F3A">
        <w:rPr>
          <w:rFonts w:ascii="Arial" w:hAnsi="Arial" w:cs="Arial"/>
          <w:i/>
          <w:iCs/>
          <w:shd w:val="clear" w:color="auto" w:fill="FFFFFF"/>
        </w:rPr>
        <w:t>Shelving Man (Pty) Ltd v Dawood and Others,</w:t>
      </w:r>
      <w:r w:rsidR="00001021" w:rsidRPr="00A31F3A">
        <w:rPr>
          <w:rFonts w:ascii="Arial" w:hAnsi="Arial" w:cs="Arial"/>
          <w:shd w:val="clear" w:color="auto" w:fill="FFFFFF"/>
        </w:rPr>
        <w:t xml:space="preserve"> the court awarded a spoliation relief in favour of an applicant whose business premises had been unlawfully despoiled.</w:t>
      </w:r>
      <w:r w:rsidR="0046112B" w:rsidRPr="00A31F3A">
        <w:rPr>
          <w:rFonts w:ascii="Arial" w:hAnsi="Arial" w:cs="Arial"/>
          <w:shd w:val="clear" w:color="auto" w:fill="FFFFFF"/>
        </w:rPr>
        <w:t xml:space="preserve"> </w:t>
      </w:r>
      <w:r w:rsidR="00001021" w:rsidRPr="00A31F3A">
        <w:rPr>
          <w:rFonts w:ascii="Arial" w:hAnsi="Arial" w:cs="Arial"/>
          <w:shd w:val="clear" w:color="auto" w:fill="FFFFFF"/>
        </w:rPr>
        <w:t xml:space="preserve">In </w:t>
      </w:r>
      <w:proofErr w:type="spellStart"/>
      <w:r w:rsidR="00001021" w:rsidRPr="00A31F3A">
        <w:rPr>
          <w:rFonts w:ascii="Arial" w:hAnsi="Arial" w:cs="Arial"/>
          <w:i/>
          <w:iCs/>
          <w:shd w:val="clear" w:color="auto" w:fill="FFFFFF"/>
        </w:rPr>
        <w:t>casu</w:t>
      </w:r>
      <w:proofErr w:type="spellEnd"/>
      <w:r w:rsidR="00001021" w:rsidRPr="00A31F3A">
        <w:rPr>
          <w:rFonts w:ascii="Arial" w:hAnsi="Arial" w:cs="Arial"/>
          <w:shd w:val="clear" w:color="auto" w:fill="FFFFFF"/>
        </w:rPr>
        <w:t>, the respondents coerced the applicant’s director (Mr Ashraf Yusuf Omar) into handing over the keys of the applicant’s business premise</w:t>
      </w:r>
      <w:r w:rsidR="0046112B" w:rsidRPr="00A31F3A">
        <w:rPr>
          <w:rFonts w:ascii="Arial" w:hAnsi="Arial" w:cs="Arial"/>
          <w:shd w:val="clear" w:color="auto" w:fill="FFFFFF"/>
        </w:rPr>
        <w:t xml:space="preserve">s. </w:t>
      </w:r>
      <w:r w:rsidR="00001021" w:rsidRPr="00A31F3A">
        <w:rPr>
          <w:rFonts w:ascii="Arial" w:hAnsi="Arial" w:cs="Arial"/>
          <w:shd w:val="clear" w:color="auto" w:fill="FFFFFF"/>
        </w:rPr>
        <w:t>They sent six adults males, whose identity was unknown to Mr Omar, who confronted him and took him to a secluded private office where they aggressively asked him questions about the applicant’s business operations and forced him to hand over the business to the respondents.</w:t>
      </w:r>
      <w:r w:rsidR="0046112B" w:rsidRPr="00A31F3A">
        <w:rPr>
          <w:rFonts w:ascii="Arial" w:hAnsi="Arial" w:cs="Arial"/>
          <w:shd w:val="clear" w:color="auto" w:fill="FFFFFF"/>
        </w:rPr>
        <w:t xml:space="preserve"> </w:t>
      </w:r>
      <w:r w:rsidR="00001021" w:rsidRPr="00A31F3A">
        <w:rPr>
          <w:rFonts w:ascii="Arial" w:hAnsi="Arial" w:cs="Arial"/>
          <w:shd w:val="clear" w:color="auto" w:fill="FFFFFF"/>
        </w:rPr>
        <w:t>The court was satisfied that the respondents acted wrongfully by resorting to self-help in harassing and intimidating the applicant’s director to sign documents of transfer of business operations and premises against his consent and will.</w:t>
      </w:r>
      <w:r w:rsidR="0046112B" w:rsidRPr="00A31F3A">
        <w:rPr>
          <w:rFonts w:ascii="Arial" w:hAnsi="Arial" w:cs="Arial"/>
          <w:shd w:val="clear" w:color="auto" w:fill="FFFFFF"/>
        </w:rPr>
        <w:t xml:space="preserve"> </w:t>
      </w:r>
      <w:r w:rsidR="00001021" w:rsidRPr="00A31F3A">
        <w:rPr>
          <w:rFonts w:ascii="Arial" w:hAnsi="Arial" w:cs="Arial"/>
          <w:shd w:val="clear" w:color="auto" w:fill="FFFFFF"/>
        </w:rPr>
        <w:t>The court held that the essential characteristic of the spoliation remedy is the protection of possession and that no person should be allowed to take matters into his own hands to unlawfully dispossess another of possession of property</w:t>
      </w:r>
      <w:r w:rsidR="00D24AAC" w:rsidRPr="00A31F3A">
        <w:rPr>
          <w:rFonts w:ascii="Arial" w:hAnsi="Arial" w:cs="Arial"/>
          <w:shd w:val="clear" w:color="auto" w:fill="FFFFFF"/>
        </w:rPr>
        <w:t xml:space="preserve"> (</w:t>
      </w:r>
      <w:r w:rsidR="00D24AAC" w:rsidRPr="00A31F3A">
        <w:rPr>
          <w:rFonts w:ascii="Arial" w:hAnsi="Arial" w:cs="Arial"/>
          <w:i/>
          <w:iCs/>
          <w:shd w:val="clear" w:color="auto" w:fill="FFFFFF"/>
        </w:rPr>
        <w:t>Shelving Man (Pty) Ltd v Dawood and Others</w:t>
      </w:r>
      <w:r w:rsidR="00D24AAC" w:rsidRPr="00A31F3A">
        <w:rPr>
          <w:rFonts w:ascii="Arial" w:hAnsi="Arial" w:cs="Arial"/>
          <w:shd w:val="clear" w:color="auto" w:fill="FFFFFF"/>
        </w:rPr>
        <w:t xml:space="preserve"> 2015 </w:t>
      </w:r>
      <w:r w:rsidR="00A31F3A" w:rsidRPr="00A31F3A">
        <w:rPr>
          <w:rFonts w:ascii="Arial" w:hAnsi="Arial" w:cs="Arial"/>
          <w:shd w:val="clear" w:color="auto" w:fill="FFFFFF"/>
        </w:rPr>
        <w:t>(</w:t>
      </w:r>
      <w:r w:rsidR="00D24AAC" w:rsidRPr="00A31F3A">
        <w:rPr>
          <w:rFonts w:ascii="Arial" w:hAnsi="Arial" w:cs="Arial"/>
          <w:shd w:val="clear" w:color="auto" w:fill="FFFFFF"/>
        </w:rPr>
        <w:t>3</w:t>
      </w:r>
      <w:r w:rsidR="00A31F3A" w:rsidRPr="00A31F3A">
        <w:rPr>
          <w:rFonts w:ascii="Arial" w:hAnsi="Arial" w:cs="Arial"/>
          <w:shd w:val="clear" w:color="auto" w:fill="FFFFFF"/>
        </w:rPr>
        <w:t>)</w:t>
      </w:r>
      <w:r w:rsidR="00D24AAC" w:rsidRPr="00A31F3A">
        <w:rPr>
          <w:rFonts w:ascii="Arial" w:hAnsi="Arial" w:cs="Arial"/>
          <w:shd w:val="clear" w:color="auto" w:fill="FFFFFF"/>
        </w:rPr>
        <w:t xml:space="preserve"> SA 243 (KZD):paras</w:t>
      </w:r>
      <w:r w:rsidR="00A31F3A" w:rsidRPr="00A31F3A">
        <w:rPr>
          <w:rFonts w:ascii="Arial" w:hAnsi="Arial" w:cs="Arial"/>
          <w:shd w:val="clear" w:color="auto" w:fill="FFFFFF"/>
        </w:rPr>
        <w:t>.</w:t>
      </w:r>
      <w:r w:rsidR="00D24AAC" w:rsidRPr="00A31F3A">
        <w:rPr>
          <w:rFonts w:ascii="Arial" w:hAnsi="Arial" w:cs="Arial"/>
          <w:shd w:val="clear" w:color="auto" w:fill="FFFFFF"/>
        </w:rPr>
        <w:t xml:space="preserve"> 4,14,18)</w:t>
      </w:r>
      <w:r w:rsidR="0046112B" w:rsidRPr="00A31F3A">
        <w:rPr>
          <w:rFonts w:ascii="Arial" w:hAnsi="Arial" w:cs="Arial"/>
          <w:shd w:val="clear" w:color="auto" w:fill="FFFFFF"/>
        </w:rPr>
        <w:t>.</w:t>
      </w:r>
    </w:p>
  </w:footnote>
  <w:footnote w:id="188">
    <w:p w14:paraId="4EF9B199" w14:textId="715A9378" w:rsidR="004E3EF9" w:rsidRPr="007E1471" w:rsidRDefault="004E3EF9" w:rsidP="00A31F3A">
      <w:pPr>
        <w:pStyle w:val="FootnoteText"/>
        <w:ind w:left="357" w:hanging="357"/>
        <w:jc w:val="both"/>
        <w:rPr>
          <w:rFonts w:ascii="Arial" w:hAnsi="Arial" w:cs="Arial"/>
        </w:rPr>
      </w:pPr>
      <w:r w:rsidRPr="00815394">
        <w:rPr>
          <w:rStyle w:val="FootnoteReference"/>
          <w:rFonts w:ascii="Arial" w:hAnsi="Arial" w:cs="Arial"/>
        </w:rPr>
        <w:footnoteRef/>
      </w:r>
      <w:r w:rsidRPr="007E1471">
        <w:rPr>
          <w:rFonts w:ascii="Arial" w:hAnsi="Arial" w:cs="Arial"/>
        </w:rPr>
        <w:t xml:space="preserve"> </w:t>
      </w:r>
      <w:r w:rsidR="00644015" w:rsidRPr="007E1471">
        <w:rPr>
          <w:rFonts w:ascii="Arial" w:hAnsi="Arial" w:cs="Arial"/>
        </w:rPr>
        <w:tab/>
      </w:r>
      <w:r w:rsidRPr="007E1471">
        <w:rPr>
          <w:rFonts w:ascii="Arial" w:hAnsi="Arial" w:cs="Arial"/>
        </w:rPr>
        <w:t xml:space="preserve">Muller </w:t>
      </w:r>
      <w:r w:rsidRPr="007E1471">
        <w:rPr>
          <w:rFonts w:ascii="Arial" w:hAnsi="Arial" w:cs="Arial"/>
          <w:i/>
        </w:rPr>
        <w:t>et al</w:t>
      </w:r>
      <w:r w:rsidRPr="007E1471">
        <w:rPr>
          <w:rFonts w:ascii="Arial" w:hAnsi="Arial" w:cs="Arial"/>
        </w:rPr>
        <w:t xml:space="preserve"> 2019</w:t>
      </w:r>
      <w:r w:rsidR="00815394" w:rsidRPr="007E1471">
        <w:rPr>
          <w:rFonts w:ascii="Arial" w:hAnsi="Arial" w:cs="Arial"/>
        </w:rPr>
        <w:t>a</w:t>
      </w:r>
      <w:r w:rsidR="00074F84" w:rsidRPr="007E1471">
        <w:rPr>
          <w:rFonts w:ascii="Arial" w:hAnsi="Arial" w:cs="Arial"/>
        </w:rPr>
        <w:t>:</w:t>
      </w:r>
      <w:r w:rsidRPr="007E1471">
        <w:rPr>
          <w:rFonts w:ascii="Arial" w:hAnsi="Arial" w:cs="Arial"/>
        </w:rPr>
        <w:t>19</w:t>
      </w:r>
      <w:r w:rsidR="00815394" w:rsidRPr="007E1471">
        <w:rPr>
          <w:rFonts w:ascii="Arial" w:hAnsi="Arial" w:cs="Arial"/>
        </w:rPr>
        <w:t>8</w:t>
      </w:r>
      <w:r w:rsidRPr="007E1471">
        <w:rPr>
          <w:rFonts w:ascii="Arial" w:hAnsi="Arial" w:cs="Arial"/>
        </w:rPr>
        <w:t>.</w:t>
      </w:r>
    </w:p>
  </w:footnote>
  <w:footnote w:id="189">
    <w:p w14:paraId="5C1F202F" w14:textId="15AA1374" w:rsidR="004E3EF9" w:rsidRPr="00635917" w:rsidRDefault="004E3EF9" w:rsidP="00A31F3A">
      <w:pPr>
        <w:pStyle w:val="FootnoteText"/>
        <w:ind w:left="357" w:hanging="357"/>
        <w:jc w:val="both"/>
        <w:rPr>
          <w:rFonts w:ascii="Arial" w:hAnsi="Arial" w:cs="Arial"/>
          <w:lang w:val="en-GB"/>
        </w:rPr>
      </w:pPr>
      <w:r w:rsidRPr="00815394">
        <w:rPr>
          <w:rStyle w:val="FootnoteReference"/>
          <w:rFonts w:ascii="Arial" w:hAnsi="Arial" w:cs="Arial"/>
        </w:rPr>
        <w:footnoteRef/>
      </w:r>
      <w:r w:rsidRPr="00815394">
        <w:rPr>
          <w:rFonts w:ascii="Arial" w:hAnsi="Arial" w:cs="Arial"/>
        </w:rPr>
        <w:t xml:space="preserve"> </w:t>
      </w:r>
      <w:r w:rsidR="00644015" w:rsidRPr="00815394">
        <w:rPr>
          <w:rFonts w:ascii="Arial" w:hAnsi="Arial" w:cs="Arial"/>
        </w:rPr>
        <w:tab/>
      </w:r>
      <w:r w:rsidRPr="00815394">
        <w:rPr>
          <w:rFonts w:ascii="Arial" w:hAnsi="Arial" w:cs="Arial"/>
          <w:lang w:val="en-GB"/>
        </w:rPr>
        <w:t xml:space="preserve">Muller </w:t>
      </w:r>
      <w:r w:rsidRPr="00815394">
        <w:rPr>
          <w:rFonts w:ascii="Arial" w:hAnsi="Arial" w:cs="Arial"/>
          <w:i/>
          <w:lang w:val="en-GB"/>
        </w:rPr>
        <w:t>et al</w:t>
      </w:r>
      <w:r w:rsidRPr="00815394">
        <w:rPr>
          <w:rFonts w:ascii="Arial" w:hAnsi="Arial" w:cs="Arial"/>
          <w:lang w:val="en-GB"/>
        </w:rPr>
        <w:t xml:space="preserve"> 2019</w:t>
      </w:r>
      <w:r w:rsidR="00815394">
        <w:rPr>
          <w:rFonts w:ascii="Arial" w:hAnsi="Arial" w:cs="Arial"/>
          <w:lang w:val="en-GB"/>
        </w:rPr>
        <w:t>a</w:t>
      </w:r>
      <w:r w:rsidR="00074F84" w:rsidRPr="00815394">
        <w:rPr>
          <w:rFonts w:ascii="Arial" w:hAnsi="Arial" w:cs="Arial"/>
          <w:lang w:val="en-GB"/>
        </w:rPr>
        <w:t>:</w:t>
      </w:r>
      <w:r w:rsidRPr="00815394">
        <w:rPr>
          <w:rFonts w:ascii="Arial" w:hAnsi="Arial" w:cs="Arial"/>
          <w:lang w:val="en-GB"/>
        </w:rPr>
        <w:t>19</w:t>
      </w:r>
      <w:r w:rsidR="00815394" w:rsidRPr="00815394">
        <w:rPr>
          <w:rFonts w:ascii="Arial" w:hAnsi="Arial" w:cs="Arial"/>
          <w:lang w:val="en-GB"/>
        </w:rPr>
        <w:t>8</w:t>
      </w:r>
      <w:r w:rsidRPr="00815394">
        <w:rPr>
          <w:rFonts w:ascii="Arial" w:hAnsi="Arial" w:cs="Arial"/>
          <w:lang w:val="en-GB"/>
        </w:rPr>
        <w:t>.</w:t>
      </w:r>
    </w:p>
  </w:footnote>
  <w:footnote w:id="190">
    <w:p w14:paraId="7A47E2F2" w14:textId="68B66CDD" w:rsidR="00C72D03" w:rsidRPr="007E1471"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7E1471">
        <w:rPr>
          <w:rFonts w:ascii="Arial" w:hAnsi="Arial" w:cs="Arial"/>
        </w:rPr>
        <w:t xml:space="preserve"> </w:t>
      </w:r>
      <w:r w:rsidR="004C624C" w:rsidRPr="007E1471">
        <w:rPr>
          <w:rFonts w:ascii="Arial" w:hAnsi="Arial" w:cs="Arial"/>
        </w:rPr>
        <w:tab/>
      </w:r>
      <w:r w:rsidRPr="007E1471">
        <w:rPr>
          <w:rFonts w:ascii="Arial" w:hAnsi="Arial" w:cs="Arial"/>
        </w:rPr>
        <w:t>Schoeman 1983</w:t>
      </w:r>
      <w:r w:rsidR="00074F84" w:rsidRPr="007E1471">
        <w:rPr>
          <w:rFonts w:ascii="Arial" w:hAnsi="Arial" w:cs="Arial"/>
        </w:rPr>
        <w:t>:</w:t>
      </w:r>
      <w:r w:rsidRPr="007E1471">
        <w:rPr>
          <w:rFonts w:ascii="Arial" w:hAnsi="Arial" w:cs="Arial"/>
        </w:rPr>
        <w:t>10.</w:t>
      </w:r>
    </w:p>
  </w:footnote>
  <w:footnote w:id="191">
    <w:p w14:paraId="32DA5CEB" w14:textId="397B3A45" w:rsidR="00C72D03" w:rsidRPr="007E1471"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7E1471">
        <w:rPr>
          <w:rFonts w:ascii="Arial" w:hAnsi="Arial" w:cs="Arial"/>
        </w:rPr>
        <w:t xml:space="preserve"> </w:t>
      </w:r>
      <w:r w:rsidR="004C624C" w:rsidRPr="007E1471">
        <w:rPr>
          <w:rFonts w:ascii="Arial" w:hAnsi="Arial" w:cs="Arial"/>
        </w:rPr>
        <w:tab/>
      </w:r>
      <w:r w:rsidRPr="007E1471">
        <w:rPr>
          <w:rFonts w:ascii="Arial" w:hAnsi="Arial" w:cs="Arial"/>
        </w:rPr>
        <w:t>Schoeman 1983</w:t>
      </w:r>
      <w:r w:rsidR="00074F84" w:rsidRPr="007E1471">
        <w:rPr>
          <w:rFonts w:ascii="Arial" w:hAnsi="Arial" w:cs="Arial"/>
        </w:rPr>
        <w:t>:</w:t>
      </w:r>
      <w:r w:rsidRPr="007E1471">
        <w:rPr>
          <w:rFonts w:ascii="Arial" w:hAnsi="Arial" w:cs="Arial"/>
        </w:rPr>
        <w:t>10.</w:t>
      </w:r>
    </w:p>
  </w:footnote>
  <w:footnote w:id="192">
    <w:p w14:paraId="7E2B78B6" w14:textId="5126B7B9" w:rsidR="00C72D03" w:rsidRPr="007E1471"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7E1471">
        <w:rPr>
          <w:rFonts w:ascii="Arial" w:hAnsi="Arial" w:cs="Arial"/>
        </w:rPr>
        <w:t xml:space="preserve"> </w:t>
      </w:r>
      <w:r w:rsidR="004C624C" w:rsidRPr="007E1471">
        <w:rPr>
          <w:rFonts w:ascii="Arial" w:hAnsi="Arial" w:cs="Arial"/>
        </w:rPr>
        <w:tab/>
      </w:r>
      <w:r w:rsidRPr="007E1471">
        <w:rPr>
          <w:rFonts w:ascii="Arial" w:hAnsi="Arial" w:cs="Arial"/>
        </w:rPr>
        <w:t>Schoeman 1983</w:t>
      </w:r>
      <w:r w:rsidR="00074F84" w:rsidRPr="007E1471">
        <w:rPr>
          <w:rFonts w:ascii="Arial" w:hAnsi="Arial" w:cs="Arial"/>
        </w:rPr>
        <w:t>:</w:t>
      </w:r>
      <w:r w:rsidRPr="007E1471">
        <w:rPr>
          <w:rFonts w:ascii="Arial" w:hAnsi="Arial" w:cs="Arial"/>
        </w:rPr>
        <w:t>10</w:t>
      </w:r>
      <w:r w:rsidR="004C624C" w:rsidRPr="007E1471">
        <w:rPr>
          <w:rFonts w:ascii="Arial" w:hAnsi="Arial" w:cs="Arial"/>
        </w:rPr>
        <w:t>,</w:t>
      </w:r>
      <w:r w:rsidRPr="007E1471">
        <w:rPr>
          <w:rFonts w:ascii="Arial" w:hAnsi="Arial" w:cs="Arial"/>
        </w:rPr>
        <w:t>11.</w:t>
      </w:r>
    </w:p>
  </w:footnote>
  <w:footnote w:id="193">
    <w:p w14:paraId="64C2DA0C" w14:textId="7208F6F1"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7E1471">
        <w:rPr>
          <w:rFonts w:ascii="Arial" w:hAnsi="Arial" w:cs="Arial"/>
        </w:rPr>
        <w:t xml:space="preserve"> </w:t>
      </w:r>
      <w:r w:rsidR="004C624C" w:rsidRPr="007E1471">
        <w:rPr>
          <w:rFonts w:ascii="Arial" w:hAnsi="Arial" w:cs="Arial"/>
        </w:rPr>
        <w:tab/>
      </w:r>
      <w:proofErr w:type="spellStart"/>
      <w:r w:rsidRPr="007E1471">
        <w:rPr>
          <w:rFonts w:ascii="Arial" w:hAnsi="Arial" w:cs="Arial"/>
        </w:rPr>
        <w:t>Symeonides</w:t>
      </w:r>
      <w:proofErr w:type="spellEnd"/>
      <w:r w:rsidRPr="007E1471">
        <w:rPr>
          <w:rFonts w:ascii="Arial" w:hAnsi="Arial" w:cs="Arial"/>
        </w:rPr>
        <w:t xml:space="preserve"> 1984</w:t>
      </w:r>
      <w:r w:rsidR="00074F84" w:rsidRPr="007E1471">
        <w:rPr>
          <w:rFonts w:ascii="Arial" w:hAnsi="Arial" w:cs="Arial"/>
        </w:rPr>
        <w:t>:</w:t>
      </w:r>
      <w:r w:rsidRPr="007E1471">
        <w:rPr>
          <w:rFonts w:ascii="Arial" w:hAnsi="Arial" w:cs="Arial"/>
        </w:rPr>
        <w:t>130; Schoeman 1983</w:t>
      </w:r>
      <w:r w:rsidR="00074F84" w:rsidRPr="007E1471">
        <w:rPr>
          <w:rFonts w:ascii="Arial" w:hAnsi="Arial" w:cs="Arial"/>
        </w:rPr>
        <w:t>:</w:t>
      </w:r>
      <w:r w:rsidRPr="007E1471">
        <w:rPr>
          <w:rFonts w:ascii="Arial" w:hAnsi="Arial" w:cs="Arial"/>
        </w:rPr>
        <w:t xml:space="preserve">10. </w:t>
      </w:r>
      <w:r w:rsidRPr="00635917">
        <w:rPr>
          <w:rFonts w:ascii="Arial" w:hAnsi="Arial" w:cs="Arial"/>
          <w:lang w:val="en-GB"/>
        </w:rPr>
        <w:t xml:space="preserve">Things are divided into </w:t>
      </w:r>
      <w:proofErr w:type="spellStart"/>
      <w:r w:rsidRPr="00635917">
        <w:rPr>
          <w:rFonts w:ascii="Arial" w:hAnsi="Arial" w:cs="Arial"/>
          <w:lang w:val="en-GB"/>
        </w:rPr>
        <w:t>corporeals</w:t>
      </w:r>
      <w:proofErr w:type="spellEnd"/>
      <w:r w:rsidRPr="00635917">
        <w:rPr>
          <w:rFonts w:ascii="Arial" w:hAnsi="Arial" w:cs="Arial"/>
          <w:lang w:val="en-GB"/>
        </w:rPr>
        <w:t xml:space="preserve"> and </w:t>
      </w:r>
      <w:proofErr w:type="spellStart"/>
      <w:r w:rsidRPr="00635917">
        <w:rPr>
          <w:rFonts w:ascii="Arial" w:hAnsi="Arial" w:cs="Arial"/>
          <w:lang w:val="en-GB"/>
        </w:rPr>
        <w:t>incorporeals</w:t>
      </w:r>
      <w:proofErr w:type="spellEnd"/>
      <w:r w:rsidRPr="00635917">
        <w:rPr>
          <w:rFonts w:ascii="Arial" w:hAnsi="Arial" w:cs="Arial"/>
          <w:lang w:val="en-GB"/>
        </w:rPr>
        <w:t xml:space="preserve">. Incorporeal thing are intangibles that exist in law. Put differently, </w:t>
      </w:r>
      <w:proofErr w:type="spellStart"/>
      <w:r w:rsidRPr="00635917">
        <w:rPr>
          <w:rFonts w:ascii="Arial" w:hAnsi="Arial" w:cs="Arial"/>
          <w:lang w:val="en-GB"/>
        </w:rPr>
        <w:t>incorporeals</w:t>
      </w:r>
      <w:proofErr w:type="spellEnd"/>
      <w:r w:rsidRPr="00635917">
        <w:rPr>
          <w:rFonts w:ascii="Arial" w:hAnsi="Arial" w:cs="Arial"/>
          <w:lang w:val="en-GB"/>
        </w:rPr>
        <w:t xml:space="preserve"> are rights that are attached to </w:t>
      </w:r>
      <w:proofErr w:type="spellStart"/>
      <w:r w:rsidRPr="00635917">
        <w:rPr>
          <w:rFonts w:ascii="Arial" w:hAnsi="Arial" w:cs="Arial"/>
          <w:lang w:val="en-GB"/>
        </w:rPr>
        <w:t>corporeals</w:t>
      </w:r>
      <w:proofErr w:type="spellEnd"/>
      <w:r w:rsidRPr="00635917">
        <w:rPr>
          <w:rFonts w:ascii="Arial" w:hAnsi="Arial" w:cs="Arial"/>
          <w:lang w:val="en-GB"/>
        </w:rPr>
        <w:t xml:space="preserve"> such as land</w:t>
      </w:r>
      <w:r w:rsidR="005B12D7">
        <w:rPr>
          <w:rFonts w:ascii="Arial" w:hAnsi="Arial" w:cs="Arial"/>
          <w:lang w:val="en-GB"/>
        </w:rPr>
        <w:t>,</w:t>
      </w:r>
      <w:r w:rsidRPr="00635917">
        <w:rPr>
          <w:rFonts w:ascii="Arial" w:hAnsi="Arial" w:cs="Arial"/>
          <w:lang w:val="en-GB"/>
        </w:rPr>
        <w:t xml:space="preserve"> i.e. servitudes (Zulueta 1946</w:t>
      </w:r>
      <w:r w:rsidR="00074F84">
        <w:rPr>
          <w:rFonts w:ascii="Arial" w:hAnsi="Arial" w:cs="Arial"/>
          <w:lang w:val="en-GB"/>
        </w:rPr>
        <w:t>:</w:t>
      </w:r>
      <w:r w:rsidRPr="00635917">
        <w:rPr>
          <w:rFonts w:ascii="Arial" w:hAnsi="Arial" w:cs="Arial"/>
          <w:lang w:val="en-GB"/>
        </w:rPr>
        <w:t>69).</w:t>
      </w:r>
    </w:p>
  </w:footnote>
  <w:footnote w:id="194">
    <w:p w14:paraId="2233E8FC" w14:textId="0A3DF532"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4C624C">
        <w:rPr>
          <w:rFonts w:ascii="Arial" w:hAnsi="Arial" w:cs="Arial"/>
        </w:rPr>
        <w:tab/>
      </w:r>
      <w:r w:rsidRPr="00815394">
        <w:rPr>
          <w:rFonts w:ascii="Arial" w:hAnsi="Arial" w:cs="Arial"/>
        </w:rPr>
        <w:t xml:space="preserve">Muller </w:t>
      </w:r>
      <w:r w:rsidRPr="00815394">
        <w:rPr>
          <w:rFonts w:ascii="Arial" w:hAnsi="Arial" w:cs="Arial"/>
          <w:i/>
          <w:iCs/>
        </w:rPr>
        <w:t>et al</w:t>
      </w:r>
      <w:r w:rsidRPr="00815394">
        <w:rPr>
          <w:rFonts w:ascii="Arial" w:hAnsi="Arial" w:cs="Arial"/>
        </w:rPr>
        <w:t xml:space="preserve"> 2019</w:t>
      </w:r>
      <w:r w:rsidR="00815394" w:rsidRPr="00815394">
        <w:rPr>
          <w:rFonts w:ascii="Arial" w:hAnsi="Arial" w:cs="Arial"/>
        </w:rPr>
        <w:t>a</w:t>
      </w:r>
      <w:r w:rsidR="00074F84" w:rsidRPr="00815394">
        <w:rPr>
          <w:rFonts w:ascii="Arial" w:hAnsi="Arial" w:cs="Arial"/>
        </w:rPr>
        <w:t>:</w:t>
      </w:r>
      <w:r w:rsidRPr="00815394">
        <w:rPr>
          <w:rFonts w:ascii="Arial" w:hAnsi="Arial" w:cs="Arial"/>
        </w:rPr>
        <w:t xml:space="preserve">200; </w:t>
      </w:r>
      <w:r w:rsidRPr="007D65D5">
        <w:rPr>
          <w:rFonts w:ascii="Arial" w:hAnsi="Arial" w:cs="Arial"/>
        </w:rPr>
        <w:t>Muller 2019</w:t>
      </w:r>
      <w:r w:rsidR="00074F84" w:rsidRPr="007D65D5">
        <w:rPr>
          <w:rFonts w:ascii="Arial" w:hAnsi="Arial" w:cs="Arial"/>
        </w:rPr>
        <w:t>:</w:t>
      </w:r>
      <w:r w:rsidRPr="007D65D5">
        <w:rPr>
          <w:rFonts w:ascii="Arial" w:hAnsi="Arial" w:cs="Arial"/>
        </w:rPr>
        <w:t>8</w:t>
      </w:r>
      <w:r w:rsidRPr="00635917">
        <w:rPr>
          <w:rFonts w:ascii="Arial" w:hAnsi="Arial" w:cs="Arial"/>
        </w:rPr>
        <w:t>. For instance, it would be difficult for the spoliation remedy to find application in the case of use rights. This is because their intangible nature would make it impossible for a person to physically hold possession or control the objects of their incorporeal rights.</w:t>
      </w:r>
    </w:p>
  </w:footnote>
  <w:footnote w:id="195">
    <w:p w14:paraId="3C7DD13B" w14:textId="57C3E90D" w:rsidR="00C72D03" w:rsidRPr="00635917" w:rsidRDefault="00C72D03" w:rsidP="00E63179">
      <w:pPr>
        <w:pStyle w:val="FootnoteText"/>
        <w:ind w:left="357" w:hanging="357"/>
        <w:jc w:val="both"/>
        <w:rPr>
          <w:lang w:val="en-GB"/>
        </w:rPr>
      </w:pPr>
      <w:r w:rsidRPr="00635917">
        <w:rPr>
          <w:rStyle w:val="FootnoteReference"/>
          <w:rFonts w:ascii="Arial" w:hAnsi="Arial" w:cs="Arial"/>
        </w:rPr>
        <w:footnoteRef/>
      </w:r>
      <w:r w:rsidRPr="007E1471">
        <w:rPr>
          <w:rFonts w:ascii="Arial" w:hAnsi="Arial" w:cs="Arial"/>
          <w:lang w:val="de-DE"/>
        </w:rPr>
        <w:t xml:space="preserve"> </w:t>
      </w:r>
      <w:r w:rsidR="004C624C" w:rsidRPr="007E1471">
        <w:rPr>
          <w:rFonts w:ascii="Arial" w:hAnsi="Arial" w:cs="Arial"/>
          <w:lang w:val="de-DE"/>
        </w:rPr>
        <w:tab/>
      </w:r>
      <w:r w:rsidRPr="007E1471">
        <w:rPr>
          <w:rFonts w:ascii="Arial" w:hAnsi="Arial" w:cs="Arial"/>
          <w:lang w:val="de-DE"/>
        </w:rPr>
        <w:t>Snyder 1991-1992:1886</w:t>
      </w:r>
      <w:r w:rsidR="00815394" w:rsidRPr="007E1471">
        <w:rPr>
          <w:rFonts w:ascii="Arial" w:hAnsi="Arial" w:cs="Arial"/>
          <w:lang w:val="de-DE"/>
        </w:rPr>
        <w:t>;</w:t>
      </w:r>
      <w:r w:rsidRPr="007E1471">
        <w:rPr>
          <w:rFonts w:ascii="Arial" w:hAnsi="Arial" w:cs="Arial"/>
          <w:lang w:val="de-DE"/>
        </w:rPr>
        <w:t xml:space="preserve"> Muller </w:t>
      </w:r>
      <w:r w:rsidRPr="007E1471">
        <w:rPr>
          <w:rFonts w:ascii="Arial" w:hAnsi="Arial" w:cs="Arial"/>
          <w:i/>
          <w:iCs/>
          <w:lang w:val="de-DE"/>
        </w:rPr>
        <w:t>et al</w:t>
      </w:r>
      <w:r w:rsidRPr="007E1471">
        <w:rPr>
          <w:rFonts w:ascii="Arial" w:hAnsi="Arial" w:cs="Arial"/>
          <w:lang w:val="de-DE"/>
        </w:rPr>
        <w:t xml:space="preserve"> 2019</w:t>
      </w:r>
      <w:r w:rsidR="00815394" w:rsidRPr="007E1471">
        <w:rPr>
          <w:rFonts w:ascii="Arial" w:hAnsi="Arial" w:cs="Arial"/>
          <w:lang w:val="de-DE"/>
        </w:rPr>
        <w:t>b</w:t>
      </w:r>
      <w:r w:rsidR="00074F84" w:rsidRPr="007E1471">
        <w:rPr>
          <w:rFonts w:ascii="Arial" w:hAnsi="Arial" w:cs="Arial"/>
          <w:lang w:val="de-DE"/>
        </w:rPr>
        <w:t>:</w:t>
      </w:r>
      <w:r w:rsidRPr="007E1471">
        <w:rPr>
          <w:rFonts w:ascii="Arial" w:hAnsi="Arial" w:cs="Arial"/>
          <w:lang w:val="de-DE"/>
        </w:rPr>
        <w:t xml:space="preserve">337-338. </w:t>
      </w:r>
      <w:r w:rsidRPr="00635917">
        <w:rPr>
          <w:rFonts w:ascii="Arial" w:hAnsi="Arial" w:cs="Arial"/>
          <w:lang w:val="en-GB"/>
        </w:rPr>
        <w:t xml:space="preserve">For instance, under early Roman Law, servitudes could not be procured by prescription because they were incorporeal in nature. However, because of the continued exercise of use allowed by the servitude, the law eventually recognised the exercise of use as a form of </w:t>
      </w:r>
      <w:r w:rsidRPr="00635917">
        <w:rPr>
          <w:rFonts w:ascii="Arial" w:hAnsi="Arial" w:cs="Arial"/>
          <w:i/>
          <w:iCs/>
          <w:lang w:val="en-GB"/>
        </w:rPr>
        <w:t>quasi</w:t>
      </w:r>
      <w:r w:rsidRPr="00635917">
        <w:rPr>
          <w:rFonts w:ascii="Arial" w:hAnsi="Arial" w:cs="Arial"/>
          <w:lang w:val="en-GB"/>
        </w:rPr>
        <w:t xml:space="preserve">-possession worthy of protection under the law of prescription. The user would be regarded as the holder of the servitude if the owner of the property was present for a period of 10 years or would be regarded as a servitude holder after 20 years if the owner was absent </w:t>
      </w:r>
      <w:r w:rsidRPr="00635917">
        <w:rPr>
          <w:rFonts w:ascii="Arial" w:hAnsi="Arial" w:cs="Arial"/>
        </w:rPr>
        <w:t>(Butler 1982</w:t>
      </w:r>
      <w:r w:rsidR="00074F84">
        <w:rPr>
          <w:rFonts w:ascii="Arial" w:hAnsi="Arial" w:cs="Arial"/>
        </w:rPr>
        <w:t>:</w:t>
      </w:r>
      <w:r w:rsidRPr="00635917">
        <w:rPr>
          <w:rFonts w:ascii="Arial" w:hAnsi="Arial" w:cs="Arial"/>
        </w:rPr>
        <w:t>849).</w:t>
      </w:r>
    </w:p>
  </w:footnote>
  <w:footnote w:id="196">
    <w:p w14:paraId="41D09B6D" w14:textId="761FBC64"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A731EF">
        <w:rPr>
          <w:rFonts w:ascii="Arial" w:hAnsi="Arial" w:cs="Arial"/>
          <w:lang w:val="de-DE"/>
        </w:rPr>
        <w:tab/>
      </w:r>
      <w:r w:rsidRPr="00635917">
        <w:rPr>
          <w:rFonts w:ascii="Arial" w:hAnsi="Arial" w:cs="Arial"/>
          <w:lang w:val="de-DE"/>
        </w:rPr>
        <w:t>Snyder 1991-1992:1886.</w:t>
      </w:r>
    </w:p>
  </w:footnote>
  <w:footnote w:id="197">
    <w:p w14:paraId="7AE77A03" w14:textId="3A8B2D42"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A731EF">
        <w:rPr>
          <w:rFonts w:ascii="Arial" w:hAnsi="Arial" w:cs="Arial"/>
          <w:lang w:val="de-DE"/>
        </w:rPr>
        <w:tab/>
      </w:r>
      <w:r w:rsidRPr="00635917">
        <w:rPr>
          <w:rFonts w:ascii="Arial" w:hAnsi="Arial" w:cs="Arial"/>
          <w:lang w:val="de-DE"/>
        </w:rPr>
        <w:t>Van der Walt 1983</w:t>
      </w:r>
      <w:r w:rsidR="00074F84">
        <w:rPr>
          <w:rFonts w:ascii="Arial" w:hAnsi="Arial" w:cs="Arial"/>
          <w:lang w:val="de-DE"/>
        </w:rPr>
        <w:t>:</w:t>
      </w:r>
      <w:r w:rsidRPr="00635917">
        <w:rPr>
          <w:rFonts w:ascii="Arial" w:hAnsi="Arial" w:cs="Arial"/>
          <w:lang w:val="de-DE"/>
        </w:rPr>
        <w:t xml:space="preserve">690; Van der Merwe &amp; </w:t>
      </w:r>
      <w:r w:rsidR="00863355">
        <w:rPr>
          <w:rFonts w:ascii="Arial" w:hAnsi="Arial" w:cs="Arial"/>
          <w:lang w:val="de-DE"/>
        </w:rPr>
        <w:t>De Waal</w:t>
      </w:r>
      <w:r w:rsidRPr="00635917">
        <w:rPr>
          <w:rFonts w:ascii="Arial" w:hAnsi="Arial" w:cs="Arial"/>
          <w:lang w:val="de-DE"/>
        </w:rPr>
        <w:t xml:space="preserve"> 1993:67.</w:t>
      </w:r>
    </w:p>
  </w:footnote>
  <w:footnote w:id="198">
    <w:p w14:paraId="1D40C7FE" w14:textId="1B171079"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731EF">
        <w:rPr>
          <w:rFonts w:ascii="Arial" w:hAnsi="Arial" w:cs="Arial"/>
        </w:rPr>
        <w:tab/>
      </w:r>
      <w:r w:rsidRPr="00635917">
        <w:rPr>
          <w:rFonts w:ascii="Arial" w:hAnsi="Arial" w:cs="Arial"/>
        </w:rPr>
        <w:t>Van der Walt 1989</w:t>
      </w:r>
      <w:r w:rsidR="00074F84">
        <w:rPr>
          <w:rFonts w:ascii="Arial" w:hAnsi="Arial" w:cs="Arial"/>
        </w:rPr>
        <w:t>:</w:t>
      </w:r>
      <w:r w:rsidRPr="00635917">
        <w:rPr>
          <w:rFonts w:ascii="Arial" w:hAnsi="Arial" w:cs="Arial"/>
        </w:rPr>
        <w:t xml:space="preserve">447. This is the case even though the court did not elaborate in detail what </w:t>
      </w:r>
      <w:r w:rsidRPr="00635917">
        <w:rPr>
          <w:rFonts w:ascii="Arial" w:hAnsi="Arial" w:cs="Arial"/>
          <w:i/>
          <w:iCs/>
        </w:rPr>
        <w:t>quasi</w:t>
      </w:r>
      <w:r w:rsidRPr="00635917">
        <w:rPr>
          <w:rFonts w:ascii="Arial" w:hAnsi="Arial" w:cs="Arial"/>
        </w:rPr>
        <w:t xml:space="preserve">-possession really entailed </w:t>
      </w:r>
      <w:r w:rsidR="00A731EF">
        <w:rPr>
          <w:rFonts w:ascii="Arial" w:hAnsi="Arial" w:cs="Arial"/>
        </w:rPr>
        <w:t>(</w:t>
      </w:r>
      <w:r w:rsidRPr="00635917">
        <w:rPr>
          <w:rFonts w:ascii="Arial" w:hAnsi="Arial" w:cs="Arial"/>
        </w:rPr>
        <w:t>Van der Walt 1989</w:t>
      </w:r>
      <w:r w:rsidR="00074F84">
        <w:rPr>
          <w:rFonts w:ascii="Arial" w:hAnsi="Arial" w:cs="Arial"/>
        </w:rPr>
        <w:t>:</w:t>
      </w:r>
      <w:r w:rsidRPr="00635917">
        <w:rPr>
          <w:rFonts w:ascii="Arial" w:hAnsi="Arial" w:cs="Arial"/>
        </w:rPr>
        <w:t>447).</w:t>
      </w:r>
    </w:p>
  </w:footnote>
  <w:footnote w:id="199">
    <w:p w14:paraId="59451B56" w14:textId="1063B9AE"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731EF">
        <w:rPr>
          <w:rFonts w:ascii="Arial" w:hAnsi="Arial" w:cs="Arial"/>
        </w:rPr>
        <w:tab/>
      </w:r>
      <w:r w:rsidRPr="00635917">
        <w:rPr>
          <w:rFonts w:ascii="Arial" w:hAnsi="Arial" w:cs="Arial"/>
          <w:i/>
          <w:shd w:val="clear" w:color="auto" w:fill="FFFFFF"/>
        </w:rPr>
        <w:t>Pretorius and Another v Pretorius</w:t>
      </w:r>
      <w:r w:rsidRPr="00635917">
        <w:rPr>
          <w:rFonts w:ascii="Arial" w:hAnsi="Arial" w:cs="Arial"/>
          <w:shd w:val="clear" w:color="auto" w:fill="FFFFFF"/>
        </w:rPr>
        <w:t xml:space="preserve"> 1927 TPD 178.</w:t>
      </w:r>
    </w:p>
  </w:footnote>
  <w:footnote w:id="200">
    <w:p w14:paraId="4B3697B2" w14:textId="5CD6F1DF"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731EF">
        <w:rPr>
          <w:rFonts w:ascii="Arial" w:hAnsi="Arial" w:cs="Arial"/>
        </w:rPr>
        <w:tab/>
      </w:r>
      <w:r w:rsidRPr="00635917">
        <w:rPr>
          <w:rFonts w:ascii="Arial" w:hAnsi="Arial" w:cs="Arial"/>
          <w:i/>
          <w:shd w:val="clear" w:color="auto" w:fill="FFFFFF"/>
        </w:rPr>
        <w:t>Pretorius and Another v Pretorius</w:t>
      </w:r>
      <w:r w:rsidR="00074F84">
        <w:rPr>
          <w:rFonts w:ascii="Arial" w:hAnsi="Arial" w:cs="Arial"/>
          <w:shd w:val="clear" w:color="auto" w:fill="FFFFFF"/>
        </w:rPr>
        <w:t>:</w:t>
      </w:r>
      <w:r w:rsidRPr="00635917">
        <w:rPr>
          <w:rFonts w:ascii="Arial" w:hAnsi="Arial" w:cs="Arial"/>
          <w:shd w:val="clear" w:color="auto" w:fill="FFFFFF"/>
        </w:rPr>
        <w:t>180.</w:t>
      </w:r>
    </w:p>
  </w:footnote>
  <w:footnote w:id="201">
    <w:p w14:paraId="08665F42" w14:textId="3D09D18D" w:rsidR="00C72D03" w:rsidRPr="00635917" w:rsidRDefault="00C72D03" w:rsidP="00E63179">
      <w:pPr>
        <w:spacing w:after="0" w:line="240" w:lineRule="auto"/>
        <w:ind w:left="357" w:hanging="357"/>
        <w:jc w:val="both"/>
        <w:rPr>
          <w:rFonts w:ascii="Arial" w:hAnsi="Arial" w:cs="Arial"/>
          <w:sz w:val="20"/>
          <w:szCs w:val="20"/>
        </w:rPr>
      </w:pPr>
      <w:r w:rsidRPr="00635917">
        <w:rPr>
          <w:rStyle w:val="FootnoteReference"/>
          <w:rFonts w:ascii="Arial" w:hAnsi="Arial" w:cs="Arial"/>
          <w:sz w:val="20"/>
          <w:szCs w:val="20"/>
        </w:rPr>
        <w:footnoteRef/>
      </w:r>
      <w:r w:rsidRPr="00635917">
        <w:rPr>
          <w:rFonts w:ascii="Arial" w:hAnsi="Arial" w:cs="Arial"/>
          <w:sz w:val="20"/>
          <w:szCs w:val="20"/>
        </w:rPr>
        <w:t xml:space="preserve"> </w:t>
      </w:r>
      <w:r w:rsidR="00A731EF">
        <w:rPr>
          <w:rFonts w:ascii="Arial" w:hAnsi="Arial" w:cs="Arial"/>
          <w:sz w:val="20"/>
          <w:szCs w:val="20"/>
        </w:rPr>
        <w:tab/>
      </w:r>
      <w:r w:rsidRPr="00635917">
        <w:rPr>
          <w:rFonts w:ascii="Arial" w:hAnsi="Arial" w:cs="Arial"/>
          <w:i/>
          <w:sz w:val="20"/>
          <w:szCs w:val="20"/>
          <w:shd w:val="clear" w:color="auto" w:fill="FFFFFF"/>
        </w:rPr>
        <w:t>Pretorius and Another v Pretorius</w:t>
      </w:r>
      <w:r w:rsidR="00074F84">
        <w:rPr>
          <w:rFonts w:ascii="Arial" w:hAnsi="Arial" w:cs="Arial"/>
          <w:sz w:val="20"/>
          <w:szCs w:val="20"/>
          <w:shd w:val="clear" w:color="auto" w:fill="FFFFFF"/>
        </w:rPr>
        <w:t>:</w:t>
      </w:r>
      <w:r w:rsidRPr="00635917">
        <w:rPr>
          <w:rFonts w:ascii="Arial" w:hAnsi="Arial" w:cs="Arial"/>
          <w:sz w:val="20"/>
          <w:szCs w:val="20"/>
          <w:shd w:val="clear" w:color="auto" w:fill="FFFFFF"/>
        </w:rPr>
        <w:t xml:space="preserve"> 180-181; Kleyn 2013</w:t>
      </w:r>
      <w:r w:rsidR="00074F84">
        <w:rPr>
          <w:rFonts w:ascii="Arial" w:hAnsi="Arial" w:cs="Arial"/>
          <w:sz w:val="20"/>
          <w:szCs w:val="20"/>
          <w:shd w:val="clear" w:color="auto" w:fill="FFFFFF"/>
        </w:rPr>
        <w:t>:</w:t>
      </w:r>
      <w:r w:rsidRPr="00635917">
        <w:rPr>
          <w:rFonts w:ascii="Arial" w:hAnsi="Arial" w:cs="Arial"/>
          <w:sz w:val="20"/>
          <w:szCs w:val="20"/>
          <w:shd w:val="clear" w:color="auto" w:fill="FFFFFF"/>
        </w:rPr>
        <w:t>7.</w:t>
      </w:r>
    </w:p>
  </w:footnote>
  <w:footnote w:id="202">
    <w:p w14:paraId="5A61276A" w14:textId="13A0F748"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731EF">
        <w:rPr>
          <w:rFonts w:ascii="Arial" w:hAnsi="Arial" w:cs="Arial"/>
        </w:rPr>
        <w:tab/>
      </w:r>
      <w:r w:rsidRPr="00635917">
        <w:rPr>
          <w:rFonts w:ascii="Arial" w:hAnsi="Arial" w:cs="Arial"/>
          <w:i/>
          <w:lang w:val="en-GB"/>
        </w:rPr>
        <w:t>Nienaber v Stuckey</w:t>
      </w:r>
      <w:r w:rsidR="00074F84">
        <w:rPr>
          <w:rFonts w:ascii="Arial" w:hAnsi="Arial" w:cs="Arial"/>
          <w:lang w:val="en-GB"/>
        </w:rPr>
        <w:t>:</w:t>
      </w:r>
      <w:r w:rsidRPr="00635917">
        <w:rPr>
          <w:rFonts w:ascii="Arial" w:hAnsi="Arial" w:cs="Arial"/>
          <w:lang w:val="en-GB"/>
        </w:rPr>
        <w:t>1055-1056.</w:t>
      </w:r>
    </w:p>
  </w:footnote>
  <w:footnote w:id="203">
    <w:p w14:paraId="5C31EF70" w14:textId="236DB052" w:rsidR="00C72D03" w:rsidRPr="00635917" w:rsidRDefault="00C72D03"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 (Pty) Ltd</w:t>
      </w:r>
      <w:r w:rsidRPr="00635917">
        <w:rPr>
          <w:rFonts w:ascii="Arial" w:hAnsi="Arial" w:cs="Arial"/>
          <w:shd w:val="clear" w:color="auto" w:fill="FFFFFF"/>
        </w:rPr>
        <w:t xml:space="preserve"> </w:t>
      </w:r>
      <w:r w:rsidR="00874D10">
        <w:rPr>
          <w:rFonts w:ascii="Arial" w:hAnsi="Arial" w:cs="Arial"/>
          <w:shd w:val="clear" w:color="auto" w:fill="FFFFFF"/>
        </w:rPr>
        <w:t>[</w:t>
      </w:r>
      <w:r w:rsidRPr="00635917">
        <w:rPr>
          <w:rFonts w:ascii="Arial" w:hAnsi="Arial" w:cs="Arial"/>
          <w:shd w:val="clear" w:color="auto" w:fill="FFFFFF"/>
        </w:rPr>
        <w:t>1952</w:t>
      </w:r>
      <w:r w:rsidR="00874D10">
        <w:rPr>
          <w:rFonts w:ascii="Arial" w:hAnsi="Arial" w:cs="Arial"/>
          <w:shd w:val="clear" w:color="auto" w:fill="FFFFFF"/>
        </w:rPr>
        <w:t>]</w:t>
      </w:r>
      <w:r w:rsidRPr="00635917">
        <w:rPr>
          <w:rFonts w:ascii="Arial" w:hAnsi="Arial" w:cs="Arial"/>
          <w:shd w:val="clear" w:color="auto" w:fill="FFFFFF"/>
        </w:rPr>
        <w:t xml:space="preserve"> ALL SA 156 (W)</w:t>
      </w:r>
      <w:r w:rsidR="00074F84">
        <w:rPr>
          <w:rFonts w:ascii="Arial" w:hAnsi="Arial" w:cs="Arial"/>
          <w:shd w:val="clear" w:color="auto" w:fill="FFFFFF"/>
        </w:rPr>
        <w:t>:</w:t>
      </w:r>
      <w:r w:rsidRPr="00635917">
        <w:rPr>
          <w:rFonts w:ascii="Arial" w:hAnsi="Arial" w:cs="Arial"/>
          <w:shd w:val="clear" w:color="auto" w:fill="FFFFFF"/>
        </w:rPr>
        <w:t xml:space="preserve"> 157. In </w:t>
      </w:r>
      <w:r w:rsidRPr="00635917">
        <w:rPr>
          <w:rFonts w:ascii="Arial" w:hAnsi="Arial" w:cs="Arial"/>
          <w:i/>
          <w:iCs/>
          <w:shd w:val="clear" w:color="auto" w:fill="FFFFFF"/>
        </w:rPr>
        <w:t>Painter v Strauss,</w:t>
      </w:r>
      <w:r w:rsidRPr="00635917">
        <w:rPr>
          <w:rFonts w:ascii="Arial" w:hAnsi="Arial" w:cs="Arial"/>
          <w:shd w:val="clear" w:color="auto" w:fill="FFFFFF"/>
        </w:rPr>
        <w:t xml:space="preserve"> a year before this judgment, the court had already appreciated the fact that </w:t>
      </w:r>
      <w:r w:rsidR="00814DA1">
        <w:rPr>
          <w:rFonts w:ascii="Arial" w:hAnsi="Arial" w:cs="Arial"/>
          <w:shd w:val="clear" w:color="auto" w:fill="FFFFFF"/>
        </w:rPr>
        <w:t xml:space="preserve">the </w:t>
      </w:r>
      <w:r w:rsidRPr="00635917">
        <w:rPr>
          <w:rFonts w:ascii="Arial" w:hAnsi="Arial" w:cs="Arial"/>
          <w:shd w:val="clear" w:color="auto" w:fill="FFFFFF"/>
        </w:rPr>
        <w:t xml:space="preserve">spoliation remedy is competent to anyone deprived of an incorporeal right. It was held that the </w:t>
      </w:r>
      <w:proofErr w:type="spellStart"/>
      <w:r w:rsidRPr="00635917">
        <w:rPr>
          <w:rFonts w:ascii="Arial" w:hAnsi="Arial" w:cs="Arial"/>
          <w:i/>
          <w:iCs/>
          <w:shd w:val="clear" w:color="auto" w:fill="FFFFFF"/>
        </w:rPr>
        <w:t>spoliatus</w:t>
      </w:r>
      <w:proofErr w:type="spellEnd"/>
      <w:r w:rsidRPr="00635917">
        <w:rPr>
          <w:rFonts w:ascii="Arial" w:hAnsi="Arial" w:cs="Arial"/>
          <w:i/>
          <w:iCs/>
          <w:shd w:val="clear" w:color="auto" w:fill="FFFFFF"/>
        </w:rPr>
        <w:t xml:space="preserve"> </w:t>
      </w:r>
      <w:r w:rsidRPr="00635917">
        <w:rPr>
          <w:rFonts w:ascii="Arial" w:hAnsi="Arial" w:cs="Arial"/>
          <w:shd w:val="clear" w:color="auto" w:fill="FFFFFF"/>
        </w:rPr>
        <w:t xml:space="preserve">withdrawal of the applicant’s authority to arrange with the </w:t>
      </w:r>
      <w:r w:rsidR="00814DA1">
        <w:rPr>
          <w:rFonts w:ascii="Arial" w:hAnsi="Arial" w:cs="Arial"/>
          <w:shd w:val="clear" w:color="auto" w:fill="FFFFFF"/>
        </w:rPr>
        <w:t>D</w:t>
      </w:r>
      <w:r w:rsidRPr="00635917">
        <w:rPr>
          <w:rFonts w:ascii="Arial" w:hAnsi="Arial" w:cs="Arial"/>
          <w:shd w:val="clear" w:color="auto" w:fill="FFFFFF"/>
        </w:rPr>
        <w:t xml:space="preserve">epartment of </w:t>
      </w:r>
      <w:r w:rsidR="00814DA1">
        <w:rPr>
          <w:rFonts w:ascii="Arial" w:hAnsi="Arial" w:cs="Arial"/>
          <w:shd w:val="clear" w:color="auto" w:fill="FFFFFF"/>
        </w:rPr>
        <w:t>I</w:t>
      </w:r>
      <w:r w:rsidRPr="00635917">
        <w:rPr>
          <w:rFonts w:ascii="Arial" w:hAnsi="Arial" w:cs="Arial"/>
          <w:shd w:val="clear" w:color="auto" w:fill="FFFFFF"/>
        </w:rPr>
        <w:t>rrigation for the supply of water on land without the applicant’s consent amounted to deprivation of the applicant’s right to obtaining water for irrigation purposes (</w:t>
      </w:r>
      <w:r w:rsidRPr="00635917">
        <w:rPr>
          <w:rFonts w:ascii="Arial" w:hAnsi="Arial" w:cs="Arial"/>
          <w:i/>
          <w:iCs/>
          <w:shd w:val="clear" w:color="auto" w:fill="FFFFFF"/>
        </w:rPr>
        <w:t>Painter v Strauss</w:t>
      </w:r>
      <w:r w:rsidRPr="00635917">
        <w:rPr>
          <w:rFonts w:ascii="Arial" w:hAnsi="Arial" w:cs="Arial"/>
          <w:shd w:val="clear" w:color="auto" w:fill="FFFFFF"/>
        </w:rPr>
        <w:t xml:space="preserve"> 1951 (3) SA 307 (O)</w:t>
      </w:r>
      <w:r w:rsidR="00074F84">
        <w:rPr>
          <w:rFonts w:ascii="Arial" w:hAnsi="Arial" w:cs="Arial"/>
          <w:shd w:val="clear" w:color="auto" w:fill="FFFFFF"/>
        </w:rPr>
        <w:t>:</w:t>
      </w:r>
      <w:r w:rsidRPr="00635917">
        <w:rPr>
          <w:rFonts w:ascii="Arial" w:hAnsi="Arial" w:cs="Arial"/>
          <w:shd w:val="clear" w:color="auto" w:fill="FFFFFF"/>
        </w:rPr>
        <w:t>318).</w:t>
      </w:r>
    </w:p>
  </w:footnote>
  <w:footnote w:id="204">
    <w:p w14:paraId="02BB850A" w14:textId="37B9AD14"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w:t>
      </w:r>
      <w:r w:rsidRPr="00635917">
        <w:rPr>
          <w:rFonts w:ascii="Arial" w:hAnsi="Arial" w:cs="Arial"/>
          <w:shd w:val="clear" w:color="auto" w:fill="FFFFFF"/>
        </w:rPr>
        <w:t>:157.</w:t>
      </w:r>
    </w:p>
  </w:footnote>
  <w:footnote w:id="205">
    <w:p w14:paraId="6EEB92F1" w14:textId="33EEF772"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w:t>
      </w:r>
      <w:r w:rsidR="00074F84">
        <w:rPr>
          <w:rFonts w:ascii="Arial" w:hAnsi="Arial" w:cs="Arial"/>
          <w:shd w:val="clear" w:color="auto" w:fill="FFFFFF"/>
        </w:rPr>
        <w:t>:</w:t>
      </w:r>
      <w:r w:rsidRPr="00635917">
        <w:rPr>
          <w:rFonts w:ascii="Arial" w:hAnsi="Arial" w:cs="Arial"/>
          <w:shd w:val="clear" w:color="auto" w:fill="FFFFFF"/>
        </w:rPr>
        <w:t>157.</w:t>
      </w:r>
    </w:p>
  </w:footnote>
  <w:footnote w:id="206">
    <w:p w14:paraId="5E711E3D" w14:textId="0F57E580"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w:t>
      </w:r>
      <w:r w:rsidR="009434E9">
        <w:rPr>
          <w:rFonts w:ascii="Arial" w:hAnsi="Arial" w:cs="Arial"/>
          <w:iCs/>
          <w:shd w:val="clear" w:color="auto" w:fill="FFFFFF"/>
        </w:rPr>
        <w:t>:</w:t>
      </w:r>
      <w:r w:rsidRPr="00635917">
        <w:rPr>
          <w:rFonts w:ascii="Arial" w:hAnsi="Arial" w:cs="Arial"/>
          <w:shd w:val="clear" w:color="auto" w:fill="FFFFFF"/>
        </w:rPr>
        <w:t>158.</w:t>
      </w:r>
    </w:p>
  </w:footnote>
  <w:footnote w:id="207">
    <w:p w14:paraId="34A1F04A" w14:textId="4709FBF1"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w:t>
      </w:r>
      <w:r w:rsidR="00074F84">
        <w:rPr>
          <w:rFonts w:ascii="Arial" w:hAnsi="Arial" w:cs="Arial"/>
          <w:shd w:val="clear" w:color="auto" w:fill="FFFFFF"/>
        </w:rPr>
        <w:t>:</w:t>
      </w:r>
      <w:r w:rsidRPr="00635917">
        <w:rPr>
          <w:rFonts w:ascii="Arial" w:hAnsi="Arial" w:cs="Arial"/>
          <w:shd w:val="clear" w:color="auto" w:fill="FFFFFF"/>
        </w:rPr>
        <w:t>158-160.</w:t>
      </w:r>
    </w:p>
  </w:footnote>
  <w:footnote w:id="208">
    <w:p w14:paraId="438C1076" w14:textId="6C384AF5"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D53701">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w:t>
      </w:r>
      <w:r w:rsidR="00074F84">
        <w:rPr>
          <w:rFonts w:ascii="Arial" w:hAnsi="Arial" w:cs="Arial"/>
          <w:shd w:val="clear" w:color="auto" w:fill="FFFFFF"/>
        </w:rPr>
        <w:t>:</w:t>
      </w:r>
      <w:r w:rsidRPr="00635917">
        <w:rPr>
          <w:rFonts w:ascii="Arial" w:hAnsi="Arial" w:cs="Arial"/>
          <w:shd w:val="clear" w:color="auto" w:fill="FFFFFF"/>
        </w:rPr>
        <w:t>160.</w:t>
      </w:r>
    </w:p>
  </w:footnote>
  <w:footnote w:id="209">
    <w:p w14:paraId="6F6066F1" w14:textId="4EC1380B" w:rsidR="00C72D03" w:rsidRPr="00635917" w:rsidRDefault="00C72D03"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w:t>
      </w:r>
      <w:r w:rsidR="003834CA">
        <w:rPr>
          <w:rFonts w:ascii="Arial" w:hAnsi="Arial" w:cs="Arial"/>
          <w:i/>
          <w:shd w:val="clear" w:color="auto" w:fill="FFFFFF"/>
        </w:rPr>
        <w:t>s</w:t>
      </w:r>
      <w:r w:rsidR="003834CA">
        <w:rPr>
          <w:rFonts w:ascii="Arial" w:hAnsi="Arial" w:cs="Arial"/>
          <w:iCs/>
          <w:shd w:val="clear" w:color="auto" w:fill="FFFFFF"/>
        </w:rPr>
        <w:t>:</w:t>
      </w:r>
      <w:r w:rsidRPr="00635917">
        <w:rPr>
          <w:rFonts w:ascii="Arial" w:hAnsi="Arial" w:cs="Arial"/>
          <w:shd w:val="clear" w:color="auto" w:fill="FFFFFF"/>
        </w:rPr>
        <w:t>161.</w:t>
      </w:r>
    </w:p>
  </w:footnote>
  <w:footnote w:id="210">
    <w:p w14:paraId="605A10DA" w14:textId="2BBE7123"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E5288D">
        <w:rPr>
          <w:rFonts w:ascii="Arial" w:hAnsi="Arial" w:cs="Arial"/>
        </w:rPr>
        <w:t xml:space="preserve">Muller </w:t>
      </w:r>
      <w:r w:rsidRPr="00E5288D">
        <w:rPr>
          <w:rFonts w:ascii="Arial" w:hAnsi="Arial" w:cs="Arial"/>
          <w:i/>
          <w:iCs/>
        </w:rPr>
        <w:t>et a</w:t>
      </w:r>
      <w:r w:rsidR="003834CA" w:rsidRPr="00E5288D">
        <w:rPr>
          <w:rFonts w:ascii="Arial" w:hAnsi="Arial" w:cs="Arial"/>
          <w:i/>
          <w:iCs/>
        </w:rPr>
        <w:t>l</w:t>
      </w:r>
      <w:r w:rsidR="003834CA" w:rsidRPr="00E5288D">
        <w:rPr>
          <w:rFonts w:ascii="Arial" w:hAnsi="Arial" w:cs="Arial"/>
        </w:rPr>
        <w:t xml:space="preserve"> 2019</w:t>
      </w:r>
      <w:r w:rsidR="00E5288D" w:rsidRPr="00E5288D">
        <w:rPr>
          <w:rFonts w:ascii="Arial" w:hAnsi="Arial" w:cs="Arial"/>
        </w:rPr>
        <w:t>a</w:t>
      </w:r>
      <w:r w:rsidR="00074F84" w:rsidRPr="00E5288D">
        <w:rPr>
          <w:rFonts w:ascii="Arial" w:hAnsi="Arial" w:cs="Arial"/>
        </w:rPr>
        <w:t>:</w:t>
      </w:r>
      <w:r w:rsidRPr="00E5288D">
        <w:rPr>
          <w:rFonts w:ascii="Arial" w:hAnsi="Arial" w:cs="Arial"/>
        </w:rPr>
        <w:t>200;</w:t>
      </w:r>
      <w:r w:rsidRPr="00635917">
        <w:rPr>
          <w:rFonts w:ascii="Arial" w:hAnsi="Arial" w:cs="Arial"/>
        </w:rPr>
        <w:t xml:space="preserve"> Scott 2014</w:t>
      </w:r>
      <w:r w:rsidR="00074F84">
        <w:rPr>
          <w:rFonts w:ascii="Arial" w:hAnsi="Arial" w:cs="Arial"/>
        </w:rPr>
        <w:t>:</w:t>
      </w:r>
      <w:r w:rsidRPr="00635917">
        <w:rPr>
          <w:rFonts w:ascii="Arial" w:hAnsi="Arial" w:cs="Arial"/>
        </w:rPr>
        <w:t xml:space="preserve">151. This is problematic because the requirement of physical possession cannot be proved in cases of </w:t>
      </w:r>
      <w:r w:rsidRPr="00635917">
        <w:rPr>
          <w:rFonts w:ascii="Arial" w:hAnsi="Arial" w:cs="Arial"/>
          <w:i/>
          <w:iCs/>
        </w:rPr>
        <w:t>quasi</w:t>
      </w:r>
      <w:r w:rsidRPr="00635917">
        <w:rPr>
          <w:rFonts w:ascii="Arial" w:hAnsi="Arial" w:cs="Arial"/>
        </w:rPr>
        <w:t xml:space="preserve">-possession of </w:t>
      </w:r>
      <w:proofErr w:type="spellStart"/>
      <w:r w:rsidRPr="00635917">
        <w:rPr>
          <w:rFonts w:ascii="Arial" w:hAnsi="Arial" w:cs="Arial"/>
        </w:rPr>
        <w:t>incorporeals</w:t>
      </w:r>
      <w:proofErr w:type="spellEnd"/>
      <w:r w:rsidRPr="00635917">
        <w:rPr>
          <w:rFonts w:ascii="Arial" w:hAnsi="Arial" w:cs="Arial"/>
        </w:rPr>
        <w:t xml:space="preserve">. Van der Walt states that the solution is to be found in the </w:t>
      </w:r>
      <w:r w:rsidRPr="00635917">
        <w:rPr>
          <w:rFonts w:ascii="Arial" w:hAnsi="Arial" w:cs="Arial"/>
          <w:i/>
          <w:iCs/>
        </w:rPr>
        <w:t>dictum</w:t>
      </w:r>
      <w:r w:rsidRPr="00635917">
        <w:rPr>
          <w:rFonts w:ascii="Arial" w:hAnsi="Arial" w:cs="Arial"/>
        </w:rPr>
        <w:t xml:space="preserve"> that </w:t>
      </w:r>
      <w:proofErr w:type="spellStart"/>
      <w:r w:rsidRPr="00635917">
        <w:rPr>
          <w:rFonts w:ascii="Arial" w:hAnsi="Arial" w:cs="Arial"/>
          <w:i/>
          <w:iCs/>
        </w:rPr>
        <w:t>spoliatus</w:t>
      </w:r>
      <w:proofErr w:type="spellEnd"/>
      <w:r w:rsidRPr="00635917">
        <w:rPr>
          <w:rFonts w:ascii="Arial" w:hAnsi="Arial" w:cs="Arial"/>
          <w:i/>
          <w:iCs/>
        </w:rPr>
        <w:t xml:space="preserve"> ante omnia </w:t>
      </w:r>
      <w:proofErr w:type="spellStart"/>
      <w:r w:rsidRPr="00635917">
        <w:rPr>
          <w:rFonts w:ascii="Arial" w:hAnsi="Arial" w:cs="Arial"/>
          <w:i/>
          <w:iCs/>
        </w:rPr>
        <w:t>restituendus</w:t>
      </w:r>
      <w:proofErr w:type="spellEnd"/>
      <w:r w:rsidRPr="00635917">
        <w:rPr>
          <w:rFonts w:ascii="Arial" w:hAnsi="Arial" w:cs="Arial"/>
          <w:i/>
          <w:iCs/>
        </w:rPr>
        <w:t xml:space="preserve"> </w:t>
      </w:r>
      <w:proofErr w:type="spellStart"/>
      <w:r w:rsidRPr="00635917">
        <w:rPr>
          <w:rFonts w:ascii="Arial" w:hAnsi="Arial" w:cs="Arial"/>
          <w:i/>
          <w:iCs/>
        </w:rPr>
        <w:t>est</w:t>
      </w:r>
      <w:proofErr w:type="spellEnd"/>
      <w:r w:rsidRPr="00635917">
        <w:rPr>
          <w:rFonts w:ascii="Arial" w:hAnsi="Arial" w:cs="Arial"/>
        </w:rPr>
        <w:t xml:space="preserve">, which means that since the applicant need not prove his right to possession, he only </w:t>
      </w:r>
      <w:r w:rsidR="003834CA" w:rsidRPr="00635917">
        <w:rPr>
          <w:rFonts w:ascii="Arial" w:hAnsi="Arial" w:cs="Arial"/>
        </w:rPr>
        <w:t>must</w:t>
      </w:r>
      <w:r w:rsidRPr="00635917">
        <w:rPr>
          <w:rFonts w:ascii="Arial" w:hAnsi="Arial" w:cs="Arial"/>
        </w:rPr>
        <w:t xml:space="preserve"> prove factual possession (Van der Walt 1983</w:t>
      </w:r>
      <w:r w:rsidR="00074F84">
        <w:rPr>
          <w:rFonts w:ascii="Arial" w:hAnsi="Arial" w:cs="Arial"/>
        </w:rPr>
        <w:t>:</w:t>
      </w:r>
      <w:r w:rsidRPr="00635917">
        <w:rPr>
          <w:rFonts w:ascii="Arial" w:hAnsi="Arial" w:cs="Arial"/>
        </w:rPr>
        <w:t>691).</w:t>
      </w:r>
    </w:p>
  </w:footnote>
  <w:footnote w:id="211">
    <w:p w14:paraId="7A456B36" w14:textId="4BB456CA"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 xml:space="preserve">Bennett Pringle (Pty) Ltd v Adelaide Municipality </w:t>
      </w:r>
      <w:r w:rsidRPr="00635917">
        <w:rPr>
          <w:rFonts w:ascii="Arial" w:hAnsi="Arial" w:cs="Arial"/>
          <w:shd w:val="clear" w:color="auto" w:fill="FFFFFF"/>
        </w:rPr>
        <w:t>1977 (1) SA 230 (E)</w:t>
      </w:r>
      <w:r w:rsidR="00074F84">
        <w:rPr>
          <w:rFonts w:ascii="Arial" w:hAnsi="Arial" w:cs="Arial"/>
          <w:shd w:val="clear" w:color="auto" w:fill="FFFFFF"/>
        </w:rPr>
        <w:t>:</w:t>
      </w:r>
      <w:r w:rsidRPr="00635917">
        <w:rPr>
          <w:rFonts w:ascii="Arial" w:hAnsi="Arial" w:cs="Arial"/>
          <w:shd w:val="clear" w:color="auto" w:fill="FFFFFF"/>
        </w:rPr>
        <w:t>231.</w:t>
      </w:r>
    </w:p>
  </w:footnote>
  <w:footnote w:id="212">
    <w:p w14:paraId="542EE5A9" w14:textId="108EC383"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232.</w:t>
      </w:r>
    </w:p>
  </w:footnote>
  <w:footnote w:id="213">
    <w:p w14:paraId="262D65BA" w14:textId="7DADA0D0"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232.</w:t>
      </w:r>
    </w:p>
  </w:footnote>
  <w:footnote w:id="214">
    <w:p w14:paraId="36A46889" w14:textId="346F3E0F"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233</w:t>
      </w:r>
      <w:r w:rsidR="00E3736D">
        <w:rPr>
          <w:rFonts w:ascii="Arial" w:hAnsi="Arial" w:cs="Arial"/>
          <w:shd w:val="clear" w:color="auto" w:fill="FFFFFF"/>
        </w:rPr>
        <w:t>,</w:t>
      </w:r>
      <w:r w:rsidRPr="00635917">
        <w:rPr>
          <w:rFonts w:ascii="Arial" w:hAnsi="Arial" w:cs="Arial"/>
          <w:shd w:val="clear" w:color="auto" w:fill="FFFFFF"/>
        </w:rPr>
        <w:t xml:space="preserve"> 236.</w:t>
      </w:r>
    </w:p>
  </w:footnote>
  <w:footnote w:id="215">
    <w:p w14:paraId="5C4B330C" w14:textId="18C43735"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233.</w:t>
      </w:r>
    </w:p>
  </w:footnote>
  <w:footnote w:id="216">
    <w:p w14:paraId="4BF2470C" w14:textId="145EB35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236.</w:t>
      </w:r>
    </w:p>
  </w:footnote>
  <w:footnote w:id="217">
    <w:p w14:paraId="289C8295" w14:textId="5CAB938F"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834CA">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234.</w:t>
      </w:r>
    </w:p>
  </w:footnote>
  <w:footnote w:id="218">
    <w:p w14:paraId="174A6533" w14:textId="3436FDB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234.</w:t>
      </w:r>
    </w:p>
  </w:footnote>
  <w:footnote w:id="219">
    <w:p w14:paraId="1C190B8E" w14:textId="0146EBA7" w:rsidR="00C72D03" w:rsidRPr="00635917" w:rsidRDefault="00C72D03"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 xml:space="preserve">Bennett Pringle (Pty) Ltd v Adelaide </w:t>
      </w:r>
      <w:r w:rsidRPr="000E549E">
        <w:rPr>
          <w:rFonts w:ascii="Arial" w:hAnsi="Arial" w:cs="Arial"/>
          <w:shd w:val="clear" w:color="auto" w:fill="FFFFFF"/>
        </w:rPr>
        <w:t>Municipality</w:t>
      </w:r>
      <w:r w:rsidR="000E549E">
        <w:rPr>
          <w:rFonts w:ascii="Arial" w:hAnsi="Arial" w:cs="Arial"/>
          <w:shd w:val="clear" w:color="auto" w:fill="FFFFFF"/>
        </w:rPr>
        <w:t>:</w:t>
      </w:r>
      <w:r w:rsidRPr="000E549E">
        <w:rPr>
          <w:rFonts w:ascii="Arial" w:hAnsi="Arial" w:cs="Arial"/>
          <w:shd w:val="clear" w:color="auto" w:fill="FFFFFF"/>
        </w:rPr>
        <w:t>237</w:t>
      </w:r>
      <w:r w:rsidRPr="00635917">
        <w:rPr>
          <w:rFonts w:ascii="Arial" w:hAnsi="Arial" w:cs="Arial"/>
          <w:shd w:val="clear" w:color="auto" w:fill="FFFFFF"/>
        </w:rPr>
        <w:t>.</w:t>
      </w:r>
    </w:p>
  </w:footnote>
  <w:footnote w:id="220">
    <w:p w14:paraId="07DCF8A4" w14:textId="0033E84B"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237.</w:t>
      </w:r>
    </w:p>
  </w:footnote>
  <w:footnote w:id="221">
    <w:p w14:paraId="433B6BF1" w14:textId="18514ECC"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238.</w:t>
      </w:r>
    </w:p>
  </w:footnote>
  <w:footnote w:id="222">
    <w:p w14:paraId="59A8D783" w14:textId="223D9545"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238.</w:t>
      </w:r>
    </w:p>
  </w:footnote>
  <w:footnote w:id="223">
    <w:p w14:paraId="3D60AA10" w14:textId="5E68E5D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shd w:val="clear" w:color="auto" w:fill="FFFFFF"/>
        </w:rPr>
        <w:t>Bennett Pringle (Pty) Ltd v Adelaide Municipality</w:t>
      </w:r>
      <w:r w:rsidR="00074F84">
        <w:rPr>
          <w:rFonts w:ascii="Arial" w:hAnsi="Arial" w:cs="Arial"/>
          <w:shd w:val="clear" w:color="auto" w:fill="FFFFFF"/>
        </w:rPr>
        <w:t>:</w:t>
      </w:r>
      <w:r w:rsidRPr="00635917">
        <w:rPr>
          <w:rFonts w:ascii="Arial" w:hAnsi="Arial" w:cs="Arial"/>
          <w:shd w:val="clear" w:color="auto" w:fill="FFFFFF"/>
        </w:rPr>
        <w:t>238.</w:t>
      </w:r>
    </w:p>
  </w:footnote>
  <w:footnote w:id="224">
    <w:p w14:paraId="4068E9C0" w14:textId="11489D0A"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proofErr w:type="spellStart"/>
      <w:r w:rsidRPr="00635917">
        <w:rPr>
          <w:rFonts w:ascii="Arial" w:hAnsi="Arial" w:cs="Arial"/>
          <w:i/>
          <w:shd w:val="clear" w:color="auto" w:fill="FFFFFF"/>
        </w:rPr>
        <w:t>Ntshwaqele</w:t>
      </w:r>
      <w:proofErr w:type="spellEnd"/>
      <w:r w:rsidRPr="00635917">
        <w:rPr>
          <w:rFonts w:ascii="Arial" w:hAnsi="Arial" w:cs="Arial"/>
          <w:i/>
          <w:shd w:val="clear" w:color="auto" w:fill="FFFFFF"/>
        </w:rPr>
        <w:t xml:space="preserve"> and Others v Chairman, Western Cape Regional Services Council and Others</w:t>
      </w:r>
      <w:r w:rsidRPr="00635917">
        <w:rPr>
          <w:rFonts w:ascii="Arial" w:hAnsi="Arial" w:cs="Arial"/>
          <w:iCs/>
          <w:shd w:val="clear" w:color="auto" w:fill="FFFFFF"/>
        </w:rPr>
        <w:t xml:space="preserve"> 1988 (3) SA 218 (C)</w:t>
      </w:r>
      <w:r w:rsidR="00074F84">
        <w:rPr>
          <w:rFonts w:ascii="Arial" w:hAnsi="Arial" w:cs="Arial"/>
          <w:iCs/>
          <w:shd w:val="clear" w:color="auto" w:fill="FFFFFF"/>
        </w:rPr>
        <w:t>:</w:t>
      </w:r>
      <w:r w:rsidRPr="00635917">
        <w:rPr>
          <w:rFonts w:ascii="Arial" w:hAnsi="Arial" w:cs="Arial"/>
          <w:iCs/>
          <w:shd w:val="clear" w:color="auto" w:fill="FFFFFF"/>
        </w:rPr>
        <w:t>221.</w:t>
      </w:r>
    </w:p>
  </w:footnote>
  <w:footnote w:id="225">
    <w:p w14:paraId="13DC3E99" w14:textId="62E2CCA9"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lang w:val="en-GB"/>
        </w:rPr>
        <w:t>Jansen v Madden</w:t>
      </w:r>
      <w:r w:rsidRPr="00635917">
        <w:rPr>
          <w:rFonts w:ascii="Arial" w:hAnsi="Arial" w:cs="Arial"/>
          <w:lang w:val="en-GB"/>
        </w:rPr>
        <w:t xml:space="preserve"> </w:t>
      </w:r>
      <w:r w:rsidR="00AC6361">
        <w:rPr>
          <w:rFonts w:ascii="Arial" w:hAnsi="Arial" w:cs="Arial"/>
          <w:lang w:val="en-GB"/>
        </w:rPr>
        <w:t>[</w:t>
      </w:r>
      <w:r w:rsidRPr="00635917">
        <w:rPr>
          <w:rFonts w:ascii="Arial" w:hAnsi="Arial" w:cs="Arial"/>
          <w:lang w:val="en-GB"/>
        </w:rPr>
        <w:t>1968</w:t>
      </w:r>
      <w:r w:rsidR="00AC6361">
        <w:rPr>
          <w:rFonts w:ascii="Arial" w:hAnsi="Arial" w:cs="Arial"/>
          <w:lang w:val="en-GB"/>
        </w:rPr>
        <w:t>]</w:t>
      </w:r>
      <w:r w:rsidRPr="00635917">
        <w:rPr>
          <w:rFonts w:ascii="Arial" w:hAnsi="Arial" w:cs="Arial"/>
          <w:lang w:val="en-GB"/>
        </w:rPr>
        <w:t xml:space="preserve"> 1 ALL SA 83 (GW)</w:t>
      </w:r>
      <w:r w:rsidR="00074F84">
        <w:rPr>
          <w:rFonts w:ascii="Arial" w:hAnsi="Arial" w:cs="Arial"/>
          <w:lang w:val="en-GB"/>
        </w:rPr>
        <w:t>:</w:t>
      </w:r>
      <w:r w:rsidRPr="00635917">
        <w:rPr>
          <w:rFonts w:ascii="Arial" w:hAnsi="Arial" w:cs="Arial"/>
          <w:lang w:val="en-GB"/>
        </w:rPr>
        <w:t>85.</w:t>
      </w:r>
    </w:p>
  </w:footnote>
  <w:footnote w:id="226">
    <w:p w14:paraId="035A30E1" w14:textId="7085B869"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0E549E">
        <w:rPr>
          <w:rFonts w:ascii="Arial" w:hAnsi="Arial" w:cs="Arial"/>
        </w:rPr>
        <w:tab/>
      </w:r>
      <w:r w:rsidRPr="00635917">
        <w:rPr>
          <w:rFonts w:ascii="Arial" w:hAnsi="Arial" w:cs="Arial"/>
          <w:i/>
          <w:iCs/>
        </w:rPr>
        <w:t>Jansen v Madden</w:t>
      </w:r>
      <w:r w:rsidR="00074F84">
        <w:rPr>
          <w:rFonts w:ascii="Arial" w:hAnsi="Arial" w:cs="Arial"/>
        </w:rPr>
        <w:t>:</w:t>
      </w:r>
      <w:r w:rsidRPr="00635917">
        <w:rPr>
          <w:rFonts w:ascii="Arial" w:hAnsi="Arial" w:cs="Arial"/>
        </w:rPr>
        <w:t>86-87.</w:t>
      </w:r>
    </w:p>
  </w:footnote>
  <w:footnote w:id="227">
    <w:p w14:paraId="3611CB2E" w14:textId="4A9EE874"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C6361">
        <w:rPr>
          <w:rFonts w:ascii="Arial" w:hAnsi="Arial" w:cs="Arial"/>
        </w:rPr>
        <w:tab/>
      </w:r>
      <w:r w:rsidRPr="00635917">
        <w:rPr>
          <w:rFonts w:ascii="Arial" w:hAnsi="Arial" w:cs="Arial"/>
          <w:i/>
          <w:lang w:val="en-GB"/>
        </w:rPr>
        <w:t xml:space="preserve">Jansen v </w:t>
      </w:r>
      <w:r w:rsidRPr="00AC6361">
        <w:rPr>
          <w:rFonts w:ascii="Arial" w:hAnsi="Arial" w:cs="Arial"/>
          <w:iCs/>
          <w:lang w:val="en-GB"/>
        </w:rPr>
        <w:t>Madden</w:t>
      </w:r>
      <w:r w:rsidR="00AC6361">
        <w:rPr>
          <w:rFonts w:ascii="Arial" w:hAnsi="Arial" w:cs="Arial"/>
          <w:iCs/>
          <w:lang w:val="en-GB"/>
        </w:rPr>
        <w:t>:</w:t>
      </w:r>
      <w:r w:rsidRPr="00AC6361">
        <w:rPr>
          <w:rFonts w:ascii="Arial" w:hAnsi="Arial" w:cs="Arial"/>
          <w:iCs/>
          <w:lang w:val="en-GB"/>
        </w:rPr>
        <w:t>87</w:t>
      </w:r>
      <w:r w:rsidRPr="00635917">
        <w:rPr>
          <w:rFonts w:ascii="Arial" w:hAnsi="Arial" w:cs="Arial"/>
          <w:lang w:val="en-GB"/>
        </w:rPr>
        <w:t xml:space="preserve">; </w:t>
      </w:r>
      <w:proofErr w:type="spellStart"/>
      <w:r w:rsidRPr="00635917">
        <w:rPr>
          <w:rFonts w:ascii="Arial" w:hAnsi="Arial" w:cs="Arial"/>
          <w:lang w:val="en-GB"/>
        </w:rPr>
        <w:t>Boggenpoel</w:t>
      </w:r>
      <w:proofErr w:type="spellEnd"/>
      <w:r w:rsidRPr="00635917">
        <w:rPr>
          <w:rFonts w:ascii="Arial" w:hAnsi="Arial" w:cs="Arial"/>
          <w:lang w:val="en-GB"/>
        </w:rPr>
        <w:t xml:space="preserve"> 2017</w:t>
      </w:r>
      <w:r w:rsidR="00074F84">
        <w:rPr>
          <w:rFonts w:ascii="Arial" w:hAnsi="Arial" w:cs="Arial"/>
          <w:lang w:val="en-GB"/>
        </w:rPr>
        <w:t>:</w:t>
      </w:r>
      <w:r w:rsidRPr="00635917">
        <w:rPr>
          <w:rFonts w:ascii="Arial" w:hAnsi="Arial" w:cs="Arial"/>
          <w:lang w:val="en-GB"/>
        </w:rPr>
        <w:t>107.</w:t>
      </w:r>
    </w:p>
  </w:footnote>
  <w:footnote w:id="228">
    <w:p w14:paraId="63AC7A54" w14:textId="5C6B3832" w:rsidR="00C72D03" w:rsidRPr="00635917" w:rsidRDefault="00C72D03" w:rsidP="00E63179">
      <w:pPr>
        <w:spacing w:after="0" w:line="240" w:lineRule="auto"/>
        <w:ind w:left="357" w:hanging="357"/>
        <w:jc w:val="both"/>
        <w:rPr>
          <w:rFonts w:ascii="Arial" w:hAnsi="Arial" w:cs="Arial"/>
          <w:sz w:val="20"/>
          <w:szCs w:val="20"/>
          <w:shd w:val="clear" w:color="auto" w:fill="FFFFFF"/>
        </w:rPr>
      </w:pPr>
      <w:r w:rsidRPr="00635917">
        <w:rPr>
          <w:rStyle w:val="FootnoteReference"/>
          <w:rFonts w:ascii="Arial" w:hAnsi="Arial" w:cs="Arial"/>
          <w:sz w:val="20"/>
          <w:szCs w:val="20"/>
        </w:rPr>
        <w:footnoteRef/>
      </w:r>
      <w:r w:rsidRPr="00635917">
        <w:rPr>
          <w:rFonts w:ascii="Arial" w:hAnsi="Arial" w:cs="Arial"/>
          <w:sz w:val="20"/>
          <w:szCs w:val="20"/>
        </w:rPr>
        <w:t xml:space="preserve"> </w:t>
      </w:r>
      <w:r w:rsidR="00AC6361">
        <w:rPr>
          <w:rFonts w:ascii="Arial" w:hAnsi="Arial" w:cs="Arial"/>
          <w:sz w:val="20"/>
          <w:szCs w:val="20"/>
        </w:rPr>
        <w:tab/>
      </w:r>
      <w:r w:rsidRPr="00635917">
        <w:rPr>
          <w:rFonts w:ascii="Arial" w:hAnsi="Arial" w:cs="Arial"/>
          <w:i/>
          <w:sz w:val="20"/>
          <w:szCs w:val="20"/>
        </w:rPr>
        <w:t>Van Wyk v Kleynhans</w:t>
      </w:r>
      <w:r w:rsidRPr="00635917">
        <w:rPr>
          <w:rFonts w:ascii="Arial" w:hAnsi="Arial" w:cs="Arial"/>
          <w:sz w:val="20"/>
          <w:szCs w:val="20"/>
        </w:rPr>
        <w:t xml:space="preserve"> </w:t>
      </w:r>
      <w:r w:rsidR="00B86E56">
        <w:rPr>
          <w:rFonts w:ascii="Arial" w:hAnsi="Arial" w:cs="Arial"/>
          <w:sz w:val="20"/>
          <w:szCs w:val="20"/>
        </w:rPr>
        <w:t>[</w:t>
      </w:r>
      <w:r w:rsidRPr="00635917">
        <w:rPr>
          <w:rFonts w:ascii="Arial" w:hAnsi="Arial" w:cs="Arial"/>
          <w:sz w:val="20"/>
          <w:szCs w:val="20"/>
        </w:rPr>
        <w:t>1969</w:t>
      </w:r>
      <w:r w:rsidR="00B86E56">
        <w:rPr>
          <w:rFonts w:ascii="Arial" w:hAnsi="Arial" w:cs="Arial"/>
          <w:sz w:val="20"/>
          <w:szCs w:val="20"/>
        </w:rPr>
        <w:t>]</w:t>
      </w:r>
      <w:r w:rsidRPr="00635917">
        <w:rPr>
          <w:rFonts w:ascii="Arial" w:hAnsi="Arial" w:cs="Arial"/>
          <w:sz w:val="20"/>
          <w:szCs w:val="20"/>
        </w:rPr>
        <w:t xml:space="preserve"> 1 ALL SA 75 (GW)</w:t>
      </w:r>
      <w:r w:rsidR="00074F84">
        <w:rPr>
          <w:rFonts w:ascii="Arial" w:hAnsi="Arial" w:cs="Arial"/>
          <w:sz w:val="20"/>
          <w:szCs w:val="20"/>
        </w:rPr>
        <w:t>:</w:t>
      </w:r>
      <w:r w:rsidRPr="00635917">
        <w:rPr>
          <w:rFonts w:ascii="Arial" w:hAnsi="Arial" w:cs="Arial"/>
          <w:sz w:val="20"/>
          <w:szCs w:val="20"/>
        </w:rPr>
        <w:t>78.</w:t>
      </w:r>
    </w:p>
  </w:footnote>
  <w:footnote w:id="229">
    <w:p w14:paraId="6ADDC174" w14:textId="794C8DE8"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C6361">
        <w:rPr>
          <w:rFonts w:ascii="Arial" w:hAnsi="Arial" w:cs="Arial"/>
        </w:rPr>
        <w:tab/>
      </w:r>
      <w:r w:rsidRPr="00635917">
        <w:rPr>
          <w:rFonts w:ascii="Arial" w:hAnsi="Arial" w:cs="Arial"/>
          <w:i/>
        </w:rPr>
        <w:t xml:space="preserve">Van Wyk v </w:t>
      </w:r>
      <w:r w:rsidRPr="00C949F6">
        <w:rPr>
          <w:rFonts w:ascii="Arial" w:hAnsi="Arial" w:cs="Arial"/>
          <w:iCs/>
        </w:rPr>
        <w:t>Kleynhans</w:t>
      </w:r>
      <w:r w:rsidR="00C949F6">
        <w:rPr>
          <w:rFonts w:ascii="Arial" w:hAnsi="Arial" w:cs="Arial"/>
          <w:iCs/>
        </w:rPr>
        <w:t>:</w:t>
      </w:r>
      <w:r w:rsidRPr="00C949F6">
        <w:rPr>
          <w:rFonts w:ascii="Arial" w:hAnsi="Arial" w:cs="Arial"/>
          <w:iCs/>
        </w:rPr>
        <w:t>78</w:t>
      </w:r>
      <w:r w:rsidRPr="00635917">
        <w:rPr>
          <w:rFonts w:ascii="Arial" w:hAnsi="Arial" w:cs="Arial"/>
        </w:rPr>
        <w:t>.</w:t>
      </w:r>
      <w:r w:rsidR="00A06D3A">
        <w:rPr>
          <w:rFonts w:ascii="Arial" w:hAnsi="Arial" w:cs="Arial"/>
        </w:rPr>
        <w:t xml:space="preserve"> </w:t>
      </w:r>
      <w:r w:rsidR="00A06D3A" w:rsidRPr="00635917">
        <w:rPr>
          <w:rFonts w:ascii="Arial" w:hAnsi="Arial" w:cs="Arial"/>
          <w:shd w:val="clear" w:color="auto" w:fill="FFFFFF"/>
        </w:rPr>
        <w:t xml:space="preserve">Van der Walt states with approval that in </w:t>
      </w:r>
      <w:r w:rsidR="00A06D3A" w:rsidRPr="00635917">
        <w:rPr>
          <w:rFonts w:ascii="Arial" w:hAnsi="Arial" w:cs="Arial"/>
          <w:i/>
          <w:iCs/>
          <w:shd w:val="clear" w:color="auto" w:fill="FFFFFF"/>
        </w:rPr>
        <w:t>quasi</w:t>
      </w:r>
      <w:r w:rsidR="00A06D3A" w:rsidRPr="00635917">
        <w:rPr>
          <w:rFonts w:ascii="Arial" w:hAnsi="Arial" w:cs="Arial"/>
          <w:shd w:val="clear" w:color="auto" w:fill="FFFFFF"/>
        </w:rPr>
        <w:t>-possession cases the applicant</w:t>
      </w:r>
      <w:r w:rsidR="00A06D3A" w:rsidRPr="00635917">
        <w:rPr>
          <w:rFonts w:ascii="Arial" w:hAnsi="Arial" w:cs="Arial"/>
        </w:rPr>
        <w:t xml:space="preserve"> is not required to prove his right to the incorporeal, but the </w:t>
      </w:r>
      <w:r w:rsidR="00A06D3A" w:rsidRPr="00635917">
        <w:rPr>
          <w:rFonts w:ascii="Arial" w:hAnsi="Arial" w:cs="Arial"/>
          <w:shd w:val="clear" w:color="auto" w:fill="FFFFFF"/>
        </w:rPr>
        <w:t>actual or factual exercise of the right in question (</w:t>
      </w:r>
      <w:r w:rsidR="00A06D3A" w:rsidRPr="00635917">
        <w:rPr>
          <w:rFonts w:ascii="Arial" w:hAnsi="Arial" w:cs="Arial"/>
        </w:rPr>
        <w:t>Van der Walt 1983</w:t>
      </w:r>
      <w:r w:rsidR="00A06D3A">
        <w:rPr>
          <w:rFonts w:ascii="Arial" w:hAnsi="Arial" w:cs="Arial"/>
        </w:rPr>
        <w:t>:</w:t>
      </w:r>
      <w:r w:rsidR="00A06D3A" w:rsidRPr="00635917">
        <w:rPr>
          <w:rFonts w:ascii="Arial" w:hAnsi="Arial" w:cs="Arial"/>
        </w:rPr>
        <w:t>691).</w:t>
      </w:r>
    </w:p>
  </w:footnote>
  <w:footnote w:id="230">
    <w:p w14:paraId="58537048" w14:textId="42F8069E"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C6361">
        <w:rPr>
          <w:rFonts w:ascii="Arial" w:hAnsi="Arial" w:cs="Arial"/>
        </w:rPr>
        <w:tab/>
      </w:r>
      <w:proofErr w:type="spellStart"/>
      <w:r w:rsidRPr="00635917">
        <w:rPr>
          <w:rFonts w:ascii="Arial" w:hAnsi="Arial" w:cs="Arial"/>
          <w:i/>
          <w:shd w:val="clear" w:color="auto" w:fill="FFFFFF"/>
        </w:rPr>
        <w:t>Ntshwaqele</w:t>
      </w:r>
      <w:proofErr w:type="spellEnd"/>
      <w:r w:rsidRPr="00635917">
        <w:rPr>
          <w:rFonts w:ascii="Arial" w:hAnsi="Arial" w:cs="Arial"/>
          <w:i/>
          <w:shd w:val="clear" w:color="auto" w:fill="FFFFFF"/>
        </w:rPr>
        <w:t xml:space="preserve"> and Others v Chairman, Western Cape Regional Services Council and Others</w:t>
      </w:r>
      <w:r w:rsidR="00074F84">
        <w:rPr>
          <w:rFonts w:ascii="Arial" w:hAnsi="Arial" w:cs="Arial"/>
          <w:iCs/>
          <w:shd w:val="clear" w:color="auto" w:fill="FFFFFF"/>
        </w:rPr>
        <w:t>:</w:t>
      </w:r>
      <w:r w:rsidRPr="00635917">
        <w:rPr>
          <w:rFonts w:ascii="Arial" w:hAnsi="Arial" w:cs="Arial"/>
          <w:iCs/>
          <w:shd w:val="clear" w:color="auto" w:fill="FFFFFF"/>
        </w:rPr>
        <w:t>218.</w:t>
      </w:r>
    </w:p>
  </w:footnote>
  <w:footnote w:id="231">
    <w:p w14:paraId="14075ECA" w14:textId="0ECEF3FD"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C6361">
        <w:rPr>
          <w:rFonts w:ascii="Arial" w:hAnsi="Arial" w:cs="Arial"/>
        </w:rPr>
        <w:tab/>
      </w:r>
      <w:proofErr w:type="spellStart"/>
      <w:r w:rsidRPr="00635917">
        <w:rPr>
          <w:rFonts w:ascii="Arial" w:hAnsi="Arial" w:cs="Arial"/>
          <w:i/>
          <w:shd w:val="clear" w:color="auto" w:fill="FFFFFF"/>
        </w:rPr>
        <w:t>Ntshwaqele</w:t>
      </w:r>
      <w:proofErr w:type="spellEnd"/>
      <w:r w:rsidRPr="00635917">
        <w:rPr>
          <w:rFonts w:ascii="Arial" w:hAnsi="Arial" w:cs="Arial"/>
          <w:i/>
          <w:shd w:val="clear" w:color="auto" w:fill="FFFFFF"/>
        </w:rPr>
        <w:t xml:space="preserve"> and Others v Chairman, Western Cape Regional Services Council and Others</w:t>
      </w:r>
      <w:r w:rsidR="00074F84">
        <w:rPr>
          <w:rFonts w:ascii="Arial" w:hAnsi="Arial" w:cs="Arial"/>
          <w:iCs/>
          <w:shd w:val="clear" w:color="auto" w:fill="FFFFFF"/>
        </w:rPr>
        <w:t>:</w:t>
      </w:r>
      <w:r w:rsidRPr="00635917">
        <w:rPr>
          <w:rFonts w:ascii="Arial" w:hAnsi="Arial" w:cs="Arial"/>
          <w:iCs/>
          <w:shd w:val="clear" w:color="auto" w:fill="FFFFFF"/>
        </w:rPr>
        <w:t>219.</w:t>
      </w:r>
    </w:p>
  </w:footnote>
  <w:footnote w:id="232">
    <w:p w14:paraId="79CC1CAF" w14:textId="3CF89F58"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C6361">
        <w:rPr>
          <w:rFonts w:ascii="Arial" w:hAnsi="Arial" w:cs="Arial"/>
        </w:rPr>
        <w:tab/>
      </w:r>
      <w:proofErr w:type="spellStart"/>
      <w:r w:rsidRPr="00635917">
        <w:rPr>
          <w:rFonts w:ascii="Arial" w:hAnsi="Arial" w:cs="Arial"/>
          <w:i/>
          <w:shd w:val="clear" w:color="auto" w:fill="FFFFFF"/>
        </w:rPr>
        <w:t>Ntshwaqele</w:t>
      </w:r>
      <w:proofErr w:type="spellEnd"/>
      <w:r w:rsidRPr="00635917">
        <w:rPr>
          <w:rFonts w:ascii="Arial" w:hAnsi="Arial" w:cs="Arial"/>
          <w:i/>
          <w:shd w:val="clear" w:color="auto" w:fill="FFFFFF"/>
        </w:rPr>
        <w:t xml:space="preserve"> and Others v Chairman, Western Cape Regional Services Council and Others</w:t>
      </w:r>
      <w:r w:rsidR="00074F84">
        <w:rPr>
          <w:rFonts w:ascii="Arial" w:hAnsi="Arial" w:cs="Arial"/>
          <w:iCs/>
          <w:shd w:val="clear" w:color="auto" w:fill="FFFFFF"/>
        </w:rPr>
        <w:t>:</w:t>
      </w:r>
      <w:r w:rsidRPr="00635917">
        <w:rPr>
          <w:rFonts w:ascii="Arial" w:hAnsi="Arial" w:cs="Arial"/>
          <w:iCs/>
          <w:shd w:val="clear" w:color="auto" w:fill="FFFFFF"/>
        </w:rPr>
        <w:t xml:space="preserve">222. </w:t>
      </w:r>
      <w:r w:rsidRPr="00635917">
        <w:rPr>
          <w:rFonts w:ascii="Arial" w:hAnsi="Arial" w:cs="Arial"/>
          <w:shd w:val="clear" w:color="auto" w:fill="FFFFFF"/>
        </w:rPr>
        <w:t>It was agreed that the applicant need not prove the alleged right but</w:t>
      </w:r>
      <w:r w:rsidR="00814DA1">
        <w:rPr>
          <w:rFonts w:ascii="Arial" w:hAnsi="Arial" w:cs="Arial"/>
          <w:shd w:val="clear" w:color="auto" w:fill="FFFFFF"/>
        </w:rPr>
        <w:t xml:space="preserve"> must</w:t>
      </w:r>
      <w:r w:rsidRPr="00635917">
        <w:rPr>
          <w:rFonts w:ascii="Arial" w:hAnsi="Arial" w:cs="Arial"/>
          <w:shd w:val="clear" w:color="auto" w:fill="FFFFFF"/>
        </w:rPr>
        <w:t xml:space="preserve"> show that he exercised acts associated with possession of the alleged right.</w:t>
      </w:r>
    </w:p>
  </w:footnote>
  <w:footnote w:id="233">
    <w:p w14:paraId="26755359" w14:textId="0C261980" w:rsidR="00C72D03" w:rsidRPr="00635917" w:rsidRDefault="00C72D03" w:rsidP="00E63179">
      <w:pPr>
        <w:pStyle w:val="FootnoteText"/>
        <w:ind w:left="357" w:hanging="357"/>
        <w:jc w:val="both"/>
        <w:rPr>
          <w:lang w:val="en-US"/>
        </w:rPr>
      </w:pPr>
      <w:r w:rsidRPr="00635917">
        <w:rPr>
          <w:rStyle w:val="FootnoteReference"/>
          <w:rFonts w:ascii="Arial" w:hAnsi="Arial" w:cs="Arial"/>
        </w:rPr>
        <w:footnoteRef/>
      </w:r>
      <w:r w:rsidR="00AC6361">
        <w:rPr>
          <w:rFonts w:ascii="Arial" w:hAnsi="Arial" w:cs="Arial"/>
          <w:i/>
        </w:rPr>
        <w:t xml:space="preserve"> </w:t>
      </w:r>
      <w:r w:rsidR="00AC6361">
        <w:rPr>
          <w:rFonts w:ascii="Arial" w:hAnsi="Arial" w:cs="Arial"/>
          <w:i/>
        </w:rPr>
        <w:tab/>
      </w:r>
      <w:r w:rsidRPr="00635917">
        <w:rPr>
          <w:rFonts w:ascii="Arial" w:hAnsi="Arial" w:cs="Arial"/>
          <w:i/>
        </w:rPr>
        <w:t>Van Wyk v Kleynhan</w:t>
      </w:r>
      <w:r w:rsidR="00C949F6">
        <w:rPr>
          <w:rFonts w:ascii="Arial" w:hAnsi="Arial" w:cs="Arial"/>
          <w:i/>
        </w:rPr>
        <w:t>s</w:t>
      </w:r>
      <w:r w:rsidR="00074F84">
        <w:rPr>
          <w:rFonts w:ascii="Arial" w:hAnsi="Arial" w:cs="Arial"/>
        </w:rPr>
        <w:t>:</w:t>
      </w:r>
      <w:r w:rsidRPr="00635917">
        <w:rPr>
          <w:rFonts w:ascii="Arial" w:hAnsi="Arial" w:cs="Arial"/>
        </w:rPr>
        <w:t xml:space="preserve">78; </w:t>
      </w:r>
      <w:proofErr w:type="spellStart"/>
      <w:r w:rsidRPr="00635917">
        <w:rPr>
          <w:rFonts w:ascii="Arial" w:hAnsi="Arial" w:cs="Arial"/>
          <w:i/>
          <w:shd w:val="clear" w:color="auto" w:fill="FFFFFF"/>
        </w:rPr>
        <w:t>Ntshwaqele</w:t>
      </w:r>
      <w:proofErr w:type="spellEnd"/>
      <w:r w:rsidRPr="00635917">
        <w:rPr>
          <w:rFonts w:ascii="Arial" w:hAnsi="Arial" w:cs="Arial"/>
          <w:i/>
          <w:shd w:val="clear" w:color="auto" w:fill="FFFFFF"/>
        </w:rPr>
        <w:t xml:space="preserve"> and Others v Chairman, Western Cape Regional Services Council and Others</w:t>
      </w:r>
      <w:r w:rsidR="00074F84">
        <w:rPr>
          <w:rFonts w:ascii="Arial" w:hAnsi="Arial" w:cs="Arial"/>
          <w:iCs/>
          <w:shd w:val="clear" w:color="auto" w:fill="FFFFFF"/>
        </w:rPr>
        <w:t>:</w:t>
      </w:r>
      <w:r w:rsidRPr="00635917">
        <w:rPr>
          <w:rFonts w:ascii="Arial" w:hAnsi="Arial" w:cs="Arial"/>
          <w:iCs/>
          <w:shd w:val="clear" w:color="auto" w:fill="FFFFFF"/>
        </w:rPr>
        <w:t>218</w:t>
      </w:r>
      <w:r w:rsidR="00C949F6">
        <w:rPr>
          <w:rFonts w:ascii="Arial" w:hAnsi="Arial" w:cs="Arial"/>
          <w:iCs/>
          <w:shd w:val="clear" w:color="auto" w:fill="FFFFFF"/>
        </w:rPr>
        <w:t xml:space="preserve">, </w:t>
      </w:r>
      <w:r w:rsidRPr="00635917">
        <w:rPr>
          <w:rFonts w:ascii="Arial" w:hAnsi="Arial" w:cs="Arial"/>
          <w:iCs/>
          <w:shd w:val="clear" w:color="auto" w:fill="FFFFFF"/>
        </w:rPr>
        <w:t xml:space="preserve">221. It was made </w:t>
      </w:r>
      <w:r w:rsidRPr="00635917">
        <w:rPr>
          <w:rFonts w:ascii="Arial" w:hAnsi="Arial" w:cs="Arial"/>
          <w:shd w:val="clear" w:color="auto" w:fill="FFFFFF"/>
        </w:rPr>
        <w:t xml:space="preserve">abundantly clear that proof of the alleged incorporeal right was not required when examining the possession requirement in cases of </w:t>
      </w:r>
      <w:r w:rsidRPr="00635917">
        <w:rPr>
          <w:rFonts w:ascii="Arial" w:hAnsi="Arial" w:cs="Arial"/>
          <w:i/>
          <w:iCs/>
          <w:shd w:val="clear" w:color="auto" w:fill="FFFFFF"/>
        </w:rPr>
        <w:t>quasi</w:t>
      </w:r>
      <w:r w:rsidRPr="00635917">
        <w:rPr>
          <w:rFonts w:ascii="Arial" w:hAnsi="Arial" w:cs="Arial"/>
          <w:shd w:val="clear" w:color="auto" w:fill="FFFFFF"/>
        </w:rPr>
        <w:t>-possession because it would frustrate the bases and purpose of the spoliation remedy.</w:t>
      </w:r>
    </w:p>
  </w:footnote>
  <w:footnote w:id="234">
    <w:p w14:paraId="7E0B34DA" w14:textId="07BCB7C1" w:rsidR="00C72D03" w:rsidRPr="007E1471"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7E1471">
        <w:rPr>
          <w:rFonts w:ascii="Arial" w:hAnsi="Arial" w:cs="Arial"/>
        </w:rPr>
        <w:t xml:space="preserve"> </w:t>
      </w:r>
      <w:r w:rsidR="00C949F6" w:rsidRPr="007E1471">
        <w:rPr>
          <w:rFonts w:ascii="Arial" w:hAnsi="Arial" w:cs="Arial"/>
        </w:rPr>
        <w:tab/>
      </w:r>
      <w:proofErr w:type="spellStart"/>
      <w:r w:rsidRPr="007E1471">
        <w:rPr>
          <w:rFonts w:ascii="Arial" w:hAnsi="Arial" w:cs="Arial"/>
        </w:rPr>
        <w:t>Boggenpoel</w:t>
      </w:r>
      <w:proofErr w:type="spellEnd"/>
      <w:r w:rsidRPr="007E1471">
        <w:rPr>
          <w:rFonts w:ascii="Arial" w:hAnsi="Arial" w:cs="Arial"/>
        </w:rPr>
        <w:t xml:space="preserve"> 2015</w:t>
      </w:r>
      <w:r w:rsidR="00074F84" w:rsidRPr="007E1471">
        <w:rPr>
          <w:rFonts w:ascii="Arial" w:hAnsi="Arial" w:cs="Arial"/>
        </w:rPr>
        <w:t>:</w:t>
      </w:r>
      <w:r w:rsidRPr="007E1471">
        <w:rPr>
          <w:rFonts w:ascii="Arial" w:hAnsi="Arial" w:cs="Arial"/>
        </w:rPr>
        <w:t>81.</w:t>
      </w:r>
    </w:p>
  </w:footnote>
  <w:footnote w:id="235">
    <w:p w14:paraId="0EF77FE4" w14:textId="4211F462"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7E1471">
        <w:rPr>
          <w:rFonts w:ascii="Arial" w:hAnsi="Arial" w:cs="Arial"/>
          <w:shd w:val="clear" w:color="auto" w:fill="FFFFFF"/>
        </w:rPr>
        <w:t xml:space="preserve"> </w:t>
      </w:r>
      <w:r w:rsidR="00C949F6" w:rsidRPr="007E1471">
        <w:rPr>
          <w:rFonts w:ascii="Arial" w:hAnsi="Arial" w:cs="Arial"/>
          <w:shd w:val="clear" w:color="auto" w:fill="FFFFFF"/>
        </w:rPr>
        <w:tab/>
      </w:r>
      <w:r w:rsidRPr="007E1471">
        <w:rPr>
          <w:rFonts w:ascii="Arial" w:hAnsi="Arial" w:cs="Arial"/>
          <w:shd w:val="clear" w:color="auto" w:fill="FFFFFF"/>
        </w:rPr>
        <w:t xml:space="preserve">Horn </w:t>
      </w:r>
      <w:r w:rsidRPr="007E1471">
        <w:rPr>
          <w:rFonts w:ascii="Arial" w:hAnsi="Arial" w:cs="Arial"/>
          <w:i/>
          <w:iCs/>
          <w:shd w:val="clear" w:color="auto" w:fill="FFFFFF"/>
        </w:rPr>
        <w:t>et al</w:t>
      </w:r>
      <w:r w:rsidRPr="007E1471">
        <w:rPr>
          <w:rFonts w:ascii="Arial" w:hAnsi="Arial" w:cs="Arial"/>
          <w:shd w:val="clear" w:color="auto" w:fill="FFFFFF"/>
        </w:rPr>
        <w:t xml:space="preserve"> 2021</w:t>
      </w:r>
      <w:r w:rsidR="00074F84" w:rsidRPr="007E1471">
        <w:rPr>
          <w:rFonts w:ascii="Arial" w:hAnsi="Arial" w:cs="Arial"/>
          <w:shd w:val="clear" w:color="auto" w:fill="FFFFFF"/>
        </w:rPr>
        <w:t>:</w:t>
      </w:r>
      <w:r w:rsidRPr="007E1471">
        <w:rPr>
          <w:rFonts w:ascii="Arial" w:hAnsi="Arial" w:cs="Arial"/>
          <w:shd w:val="clear" w:color="auto" w:fill="FFFFFF"/>
        </w:rPr>
        <w:t xml:space="preserve">250; </w:t>
      </w:r>
      <w:r w:rsidRPr="007E1471">
        <w:rPr>
          <w:rFonts w:ascii="Arial" w:hAnsi="Arial" w:cs="Arial"/>
        </w:rPr>
        <w:t xml:space="preserve">Muller </w:t>
      </w:r>
      <w:r w:rsidRPr="007E1471">
        <w:rPr>
          <w:rFonts w:ascii="Arial" w:hAnsi="Arial" w:cs="Arial"/>
          <w:i/>
          <w:iCs/>
        </w:rPr>
        <w:t>et a</w:t>
      </w:r>
      <w:r w:rsidR="00C949F6" w:rsidRPr="007E1471">
        <w:rPr>
          <w:rFonts w:ascii="Arial" w:hAnsi="Arial" w:cs="Arial"/>
          <w:i/>
          <w:iCs/>
        </w:rPr>
        <w:t>l</w:t>
      </w:r>
      <w:r w:rsidR="00C949F6" w:rsidRPr="007E1471">
        <w:rPr>
          <w:rFonts w:ascii="Arial" w:hAnsi="Arial" w:cs="Arial"/>
        </w:rPr>
        <w:t xml:space="preserve"> 2019</w:t>
      </w:r>
      <w:r w:rsidR="00E5288D" w:rsidRPr="007E1471">
        <w:rPr>
          <w:rFonts w:ascii="Arial" w:hAnsi="Arial" w:cs="Arial"/>
        </w:rPr>
        <w:t>a</w:t>
      </w:r>
      <w:r w:rsidR="00074F84" w:rsidRPr="007E1471">
        <w:rPr>
          <w:rFonts w:ascii="Arial" w:hAnsi="Arial" w:cs="Arial"/>
        </w:rPr>
        <w:t>:</w:t>
      </w:r>
      <w:r w:rsidRPr="007E1471">
        <w:rPr>
          <w:rFonts w:ascii="Arial" w:hAnsi="Arial" w:cs="Arial"/>
        </w:rPr>
        <w:t>200; Kleyn 2013</w:t>
      </w:r>
      <w:r w:rsidR="00074F84" w:rsidRPr="007E1471">
        <w:rPr>
          <w:rFonts w:ascii="Arial" w:hAnsi="Arial" w:cs="Arial"/>
        </w:rPr>
        <w:t>:</w:t>
      </w:r>
      <w:r w:rsidRPr="007E1471">
        <w:rPr>
          <w:rFonts w:ascii="Arial" w:hAnsi="Arial" w:cs="Arial"/>
        </w:rPr>
        <w:t xml:space="preserve">5. </w:t>
      </w:r>
      <w:r w:rsidRPr="00E5288D">
        <w:rPr>
          <w:rFonts w:ascii="Arial" w:hAnsi="Arial" w:cs="Arial"/>
        </w:rPr>
        <w:t>The spoliation remedy was not designed to have a catch-all function to protect the incorporeal control of all rights, only a certain type of control is protected. Otherwise, if this protection was extended to all rights, the spoliation remedy would be used to enforce personal rights, which would break</w:t>
      </w:r>
      <w:r w:rsidR="00B03E6F">
        <w:rPr>
          <w:rFonts w:ascii="Arial" w:hAnsi="Arial" w:cs="Arial"/>
        </w:rPr>
        <w:t xml:space="preserve"> </w:t>
      </w:r>
      <w:r w:rsidRPr="00E5288D">
        <w:rPr>
          <w:rFonts w:ascii="Arial" w:hAnsi="Arial" w:cs="Arial"/>
        </w:rPr>
        <w:t xml:space="preserve">down the distinction between the law of contract and the law of </w:t>
      </w:r>
      <w:r w:rsidR="000B0379">
        <w:rPr>
          <w:rFonts w:ascii="Arial" w:hAnsi="Arial" w:cs="Arial"/>
        </w:rPr>
        <w:t>p</w:t>
      </w:r>
      <w:r w:rsidRPr="00E5288D">
        <w:rPr>
          <w:rFonts w:ascii="Arial" w:hAnsi="Arial" w:cs="Arial"/>
        </w:rPr>
        <w:t xml:space="preserve">roperty (Muller </w:t>
      </w:r>
      <w:r w:rsidRPr="00E5288D">
        <w:rPr>
          <w:rFonts w:ascii="Arial" w:hAnsi="Arial" w:cs="Arial"/>
          <w:i/>
          <w:iCs/>
        </w:rPr>
        <w:t>et al</w:t>
      </w:r>
      <w:r w:rsidR="00C949F6" w:rsidRPr="00E5288D">
        <w:rPr>
          <w:rFonts w:ascii="Arial" w:hAnsi="Arial" w:cs="Arial"/>
        </w:rPr>
        <w:t xml:space="preserve"> 2019</w:t>
      </w:r>
      <w:r w:rsidR="00E5288D" w:rsidRPr="00E5288D">
        <w:rPr>
          <w:rFonts w:ascii="Arial" w:hAnsi="Arial" w:cs="Arial"/>
        </w:rPr>
        <w:t>a</w:t>
      </w:r>
      <w:r w:rsidR="00074F84" w:rsidRPr="00E5288D">
        <w:rPr>
          <w:rFonts w:ascii="Arial" w:hAnsi="Arial" w:cs="Arial"/>
        </w:rPr>
        <w:t>:</w:t>
      </w:r>
      <w:r w:rsidRPr="00E5288D">
        <w:rPr>
          <w:rFonts w:ascii="Arial" w:hAnsi="Arial" w:cs="Arial"/>
        </w:rPr>
        <w:t>200).</w:t>
      </w:r>
    </w:p>
  </w:footnote>
  <w:footnote w:id="236">
    <w:p w14:paraId="47F2087F" w14:textId="16598D93"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949F6">
        <w:rPr>
          <w:rFonts w:ascii="Arial" w:hAnsi="Arial" w:cs="Arial"/>
          <w:lang w:val="de-DE"/>
        </w:rPr>
        <w:tab/>
      </w:r>
      <w:r w:rsidRPr="00635917">
        <w:rPr>
          <w:rFonts w:ascii="Arial" w:hAnsi="Arial" w:cs="Arial"/>
          <w:lang w:val="de-DE"/>
        </w:rPr>
        <w:t>Boggenepoel 2015</w:t>
      </w:r>
      <w:r w:rsidR="00074F84">
        <w:rPr>
          <w:rFonts w:ascii="Arial" w:hAnsi="Arial" w:cs="Arial"/>
          <w:lang w:val="de-DE"/>
        </w:rPr>
        <w:t>:</w:t>
      </w:r>
      <w:r w:rsidRPr="00635917">
        <w:rPr>
          <w:rFonts w:ascii="Arial" w:hAnsi="Arial" w:cs="Arial"/>
          <w:lang w:val="de-DE"/>
        </w:rPr>
        <w:t>85.</w:t>
      </w:r>
    </w:p>
  </w:footnote>
  <w:footnote w:id="237">
    <w:p w14:paraId="2B3CD298" w14:textId="090A5183"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C949F6">
        <w:rPr>
          <w:rFonts w:ascii="Arial" w:hAnsi="Arial" w:cs="Arial"/>
          <w:lang w:val="de-DE"/>
        </w:rPr>
        <w:tab/>
      </w:r>
      <w:r w:rsidRPr="00635917">
        <w:rPr>
          <w:rFonts w:ascii="Arial" w:hAnsi="Arial" w:cs="Arial"/>
          <w:lang w:val="de-DE"/>
        </w:rPr>
        <w:t>Boggenepoel 2015</w:t>
      </w:r>
      <w:r w:rsidR="00074F84">
        <w:rPr>
          <w:rFonts w:ascii="Arial" w:hAnsi="Arial" w:cs="Arial"/>
          <w:lang w:val="de-DE"/>
        </w:rPr>
        <w:t>:</w:t>
      </w:r>
      <w:r w:rsidRPr="00635917">
        <w:rPr>
          <w:rFonts w:ascii="Arial" w:hAnsi="Arial" w:cs="Arial"/>
          <w:lang w:val="de-DE"/>
        </w:rPr>
        <w:t>85; Van der Walt 1989</w:t>
      </w:r>
      <w:r w:rsidR="00074F84">
        <w:rPr>
          <w:rFonts w:ascii="Arial" w:hAnsi="Arial" w:cs="Arial"/>
          <w:lang w:val="de-DE"/>
        </w:rPr>
        <w:t>:</w:t>
      </w:r>
      <w:r w:rsidRPr="00635917">
        <w:rPr>
          <w:rFonts w:ascii="Arial" w:hAnsi="Arial" w:cs="Arial"/>
          <w:lang w:val="de-DE"/>
        </w:rPr>
        <w:t>447</w:t>
      </w:r>
      <w:r w:rsidRPr="00E5288D">
        <w:rPr>
          <w:rFonts w:ascii="Arial" w:hAnsi="Arial" w:cs="Arial"/>
          <w:lang w:val="de-DE"/>
        </w:rPr>
        <w:t xml:space="preserve">; Muller </w:t>
      </w:r>
      <w:r w:rsidRPr="00E5288D">
        <w:rPr>
          <w:rFonts w:ascii="Arial" w:hAnsi="Arial" w:cs="Arial"/>
          <w:i/>
          <w:iCs/>
          <w:lang w:val="de-DE"/>
        </w:rPr>
        <w:t>et al</w:t>
      </w:r>
      <w:r w:rsidR="00074F84" w:rsidRPr="00E5288D">
        <w:rPr>
          <w:rFonts w:ascii="Arial" w:hAnsi="Arial" w:cs="Arial"/>
          <w:lang w:val="de-DE"/>
        </w:rPr>
        <w:t>:</w:t>
      </w:r>
      <w:r w:rsidRPr="00E5288D">
        <w:rPr>
          <w:rFonts w:ascii="Arial" w:hAnsi="Arial" w:cs="Arial"/>
          <w:lang w:val="de-DE"/>
        </w:rPr>
        <w:t>2019</w:t>
      </w:r>
      <w:r w:rsidR="00E5288D" w:rsidRPr="00E5288D">
        <w:rPr>
          <w:rFonts w:ascii="Arial" w:hAnsi="Arial" w:cs="Arial"/>
          <w:lang w:val="de-DE"/>
        </w:rPr>
        <w:t>b</w:t>
      </w:r>
      <w:r w:rsidR="00074F84" w:rsidRPr="00E5288D">
        <w:rPr>
          <w:rFonts w:ascii="Arial" w:hAnsi="Arial" w:cs="Arial"/>
          <w:lang w:val="de-DE"/>
        </w:rPr>
        <w:t>:</w:t>
      </w:r>
      <w:r w:rsidRPr="00E5288D">
        <w:rPr>
          <w:rFonts w:ascii="Arial" w:hAnsi="Arial" w:cs="Arial"/>
          <w:lang w:val="de-DE"/>
        </w:rPr>
        <w:t>339.</w:t>
      </w:r>
    </w:p>
  </w:footnote>
  <w:footnote w:id="238">
    <w:p w14:paraId="5767DE9E" w14:textId="537FB706" w:rsidR="00C72D03" w:rsidRPr="007E1471"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24409E" w:rsidRPr="007E1471">
        <w:rPr>
          <w:rFonts w:ascii="Arial" w:hAnsi="Arial" w:cs="Arial"/>
          <w:lang w:val="de-DE"/>
        </w:rPr>
        <w:tab/>
      </w:r>
      <w:r w:rsidRPr="007E1471">
        <w:rPr>
          <w:rFonts w:ascii="Arial" w:hAnsi="Arial" w:cs="Arial"/>
          <w:lang w:val="de-DE"/>
        </w:rPr>
        <w:t>Kleyn 2013</w:t>
      </w:r>
      <w:r w:rsidR="00074F84" w:rsidRPr="007E1471">
        <w:rPr>
          <w:rFonts w:ascii="Arial" w:hAnsi="Arial" w:cs="Arial"/>
          <w:lang w:val="de-DE"/>
        </w:rPr>
        <w:t>:</w:t>
      </w:r>
      <w:r w:rsidRPr="007E1471">
        <w:rPr>
          <w:rFonts w:ascii="Arial" w:hAnsi="Arial" w:cs="Arial"/>
          <w:lang w:val="de-DE"/>
        </w:rPr>
        <w:t xml:space="preserve">6; Muller </w:t>
      </w:r>
      <w:r w:rsidRPr="007E1471">
        <w:rPr>
          <w:rFonts w:ascii="Arial" w:hAnsi="Arial" w:cs="Arial"/>
          <w:i/>
          <w:iCs/>
          <w:lang w:val="de-DE"/>
        </w:rPr>
        <w:t>et al</w:t>
      </w:r>
      <w:r w:rsidR="00E5288D" w:rsidRPr="007E1471">
        <w:rPr>
          <w:rFonts w:ascii="Arial" w:hAnsi="Arial" w:cs="Arial"/>
          <w:lang w:val="de-DE"/>
        </w:rPr>
        <w:t xml:space="preserve"> </w:t>
      </w:r>
      <w:r w:rsidRPr="007E1471">
        <w:rPr>
          <w:rFonts w:ascii="Arial" w:hAnsi="Arial" w:cs="Arial"/>
          <w:lang w:val="de-DE"/>
        </w:rPr>
        <w:t>2019</w:t>
      </w:r>
      <w:r w:rsidR="00E5288D" w:rsidRPr="007E1471">
        <w:rPr>
          <w:rFonts w:ascii="Arial" w:hAnsi="Arial" w:cs="Arial"/>
          <w:lang w:val="de-DE"/>
        </w:rPr>
        <w:t>b</w:t>
      </w:r>
      <w:r w:rsidR="00074F84" w:rsidRPr="007E1471">
        <w:rPr>
          <w:rFonts w:ascii="Arial" w:hAnsi="Arial" w:cs="Arial"/>
          <w:lang w:val="de-DE"/>
        </w:rPr>
        <w:t>:</w:t>
      </w:r>
      <w:r w:rsidRPr="007E1471">
        <w:rPr>
          <w:rFonts w:ascii="Arial" w:hAnsi="Arial" w:cs="Arial"/>
          <w:lang w:val="de-DE"/>
        </w:rPr>
        <w:t>339.</w:t>
      </w:r>
    </w:p>
  </w:footnote>
  <w:footnote w:id="239">
    <w:p w14:paraId="46D44597" w14:textId="06D77F69" w:rsidR="00C72D03" w:rsidRPr="00635917" w:rsidRDefault="00C72D03" w:rsidP="00E63179">
      <w:pPr>
        <w:pStyle w:val="FootnoteText"/>
        <w:ind w:left="357" w:hanging="357"/>
        <w:jc w:val="both"/>
        <w:rPr>
          <w:rFonts w:ascii="Arial" w:hAnsi="Arial" w:cs="Arial"/>
        </w:rPr>
      </w:pPr>
      <w:r w:rsidRPr="00E5288D">
        <w:rPr>
          <w:rStyle w:val="FootnoteReference"/>
          <w:rFonts w:ascii="Arial" w:hAnsi="Arial" w:cs="Arial"/>
        </w:rPr>
        <w:footnoteRef/>
      </w:r>
      <w:r w:rsidRPr="00E5288D">
        <w:rPr>
          <w:rFonts w:ascii="Arial" w:hAnsi="Arial" w:cs="Arial"/>
        </w:rPr>
        <w:t xml:space="preserve"> </w:t>
      </w:r>
      <w:r w:rsidR="0024409E" w:rsidRPr="00E5288D">
        <w:rPr>
          <w:rFonts w:ascii="Arial" w:hAnsi="Arial" w:cs="Arial"/>
        </w:rPr>
        <w:tab/>
      </w:r>
      <w:proofErr w:type="spellStart"/>
      <w:r w:rsidRPr="00E5288D">
        <w:rPr>
          <w:rFonts w:ascii="Arial" w:hAnsi="Arial" w:cs="Arial"/>
        </w:rPr>
        <w:t>Boggenpoel</w:t>
      </w:r>
      <w:proofErr w:type="spellEnd"/>
      <w:r w:rsidRPr="00E5288D">
        <w:rPr>
          <w:rFonts w:ascii="Arial" w:hAnsi="Arial" w:cs="Arial"/>
        </w:rPr>
        <w:t xml:space="preserve"> 2015</w:t>
      </w:r>
      <w:r w:rsidR="00074F84" w:rsidRPr="00E5288D">
        <w:rPr>
          <w:rFonts w:ascii="Arial" w:hAnsi="Arial" w:cs="Arial"/>
        </w:rPr>
        <w:t>:</w:t>
      </w:r>
      <w:r w:rsidRPr="00E5288D">
        <w:rPr>
          <w:rFonts w:ascii="Arial" w:hAnsi="Arial" w:cs="Arial"/>
        </w:rPr>
        <w:t>85.</w:t>
      </w:r>
    </w:p>
  </w:footnote>
  <w:footnote w:id="240">
    <w:p w14:paraId="587E84CD" w14:textId="570A8494"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 Otavi</w:t>
      </w:r>
      <w:r w:rsidRPr="00635917">
        <w:rPr>
          <w:rFonts w:ascii="Arial" w:hAnsi="Arial" w:cs="Arial"/>
        </w:rPr>
        <w:t xml:space="preserve"> 1989 </w:t>
      </w:r>
      <w:r w:rsidR="00B9348E">
        <w:rPr>
          <w:rFonts w:ascii="Arial" w:hAnsi="Arial" w:cs="Arial"/>
        </w:rPr>
        <w:t>(</w:t>
      </w:r>
      <w:r w:rsidRPr="00635917">
        <w:rPr>
          <w:rFonts w:ascii="Arial" w:hAnsi="Arial" w:cs="Arial"/>
        </w:rPr>
        <w:t>1</w:t>
      </w:r>
      <w:r w:rsidR="00B9348E">
        <w:rPr>
          <w:rFonts w:ascii="Arial" w:hAnsi="Arial" w:cs="Arial"/>
        </w:rPr>
        <w:t>)</w:t>
      </w:r>
      <w:r w:rsidRPr="00635917">
        <w:rPr>
          <w:rFonts w:ascii="Arial" w:hAnsi="Arial" w:cs="Arial"/>
        </w:rPr>
        <w:t xml:space="preserve"> SA 508 (A)</w:t>
      </w:r>
      <w:r w:rsidR="00074F84">
        <w:rPr>
          <w:rFonts w:ascii="Arial" w:hAnsi="Arial" w:cs="Arial"/>
        </w:rPr>
        <w:t>:</w:t>
      </w:r>
      <w:r w:rsidRPr="00635917">
        <w:rPr>
          <w:rFonts w:ascii="Arial" w:hAnsi="Arial" w:cs="Arial"/>
        </w:rPr>
        <w:t xml:space="preserve">512. The appellant based his claim on the decision of the court in </w:t>
      </w:r>
      <w:r w:rsidRPr="00635917">
        <w:rPr>
          <w:rFonts w:ascii="Arial" w:hAnsi="Arial" w:cs="Arial"/>
          <w:i/>
          <w:iCs/>
        </w:rPr>
        <w:t>Jansen v Madden</w:t>
      </w:r>
      <w:r w:rsidRPr="00635917">
        <w:rPr>
          <w:rFonts w:ascii="Arial" w:hAnsi="Arial" w:cs="Arial"/>
        </w:rPr>
        <w:t xml:space="preserve"> where it was held that for a person to claim dispossession of the right, he must prove on the balance of probabilities that he is the holder of the alleged right (</w:t>
      </w:r>
      <w:r w:rsidRPr="00635917">
        <w:rPr>
          <w:rFonts w:ascii="Arial" w:hAnsi="Arial" w:cs="Arial"/>
          <w:i/>
          <w:lang w:val="en-GB"/>
        </w:rPr>
        <w:t>Jansen v Madden</w:t>
      </w:r>
      <w:r w:rsidR="00074F84">
        <w:rPr>
          <w:rFonts w:ascii="Arial" w:hAnsi="Arial" w:cs="Arial"/>
          <w:lang w:val="en-GB"/>
        </w:rPr>
        <w:t>:</w:t>
      </w:r>
      <w:r w:rsidRPr="00635917">
        <w:rPr>
          <w:rFonts w:ascii="Arial" w:hAnsi="Arial" w:cs="Arial"/>
          <w:lang w:val="en-GB"/>
        </w:rPr>
        <w:t>87).</w:t>
      </w:r>
    </w:p>
  </w:footnote>
  <w:footnote w:id="241">
    <w:p w14:paraId="08B9893D" w14:textId="43439C76"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 Otavi</w:t>
      </w:r>
      <w:r w:rsidR="00B9348E">
        <w:rPr>
          <w:rFonts w:ascii="Arial" w:hAnsi="Arial" w:cs="Arial"/>
        </w:rPr>
        <w:t>:</w:t>
      </w:r>
      <w:r w:rsidRPr="00635917">
        <w:rPr>
          <w:rFonts w:ascii="Arial" w:hAnsi="Arial" w:cs="Arial"/>
        </w:rPr>
        <w:t xml:space="preserve">513G. Such insistence is contrary to principles governing the spoliation remedy because it </w:t>
      </w:r>
      <w:r w:rsidRPr="00635917">
        <w:rPr>
          <w:rFonts w:ascii="Arial" w:hAnsi="Arial" w:cs="Arial"/>
          <w:shd w:val="clear" w:color="auto" w:fill="FFFFFF"/>
        </w:rPr>
        <w:t>would require courts to investigate the merits of the case</w:t>
      </w:r>
      <w:r w:rsidRPr="00635917">
        <w:rPr>
          <w:rFonts w:ascii="Arial" w:hAnsi="Arial" w:cs="Arial"/>
        </w:rPr>
        <w:t xml:space="preserve"> (</w:t>
      </w:r>
      <w:proofErr w:type="spellStart"/>
      <w:r w:rsidRPr="00635917">
        <w:rPr>
          <w:rFonts w:ascii="Arial" w:hAnsi="Arial" w:cs="Arial"/>
        </w:rPr>
        <w:t>Boggenpoel</w:t>
      </w:r>
      <w:proofErr w:type="spellEnd"/>
      <w:r w:rsidRPr="00635917">
        <w:rPr>
          <w:rFonts w:ascii="Arial" w:hAnsi="Arial" w:cs="Arial"/>
        </w:rPr>
        <w:t xml:space="preserve"> 2017:108)</w:t>
      </w:r>
      <w:r w:rsidR="00B9348E">
        <w:rPr>
          <w:rFonts w:ascii="Arial" w:hAnsi="Arial" w:cs="Arial"/>
        </w:rPr>
        <w:t>.</w:t>
      </w:r>
    </w:p>
  </w:footnote>
  <w:footnote w:id="242">
    <w:p w14:paraId="50D297B1" w14:textId="13D626C6"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w:t>
      </w:r>
      <w:r w:rsidRPr="00635917">
        <w:rPr>
          <w:rFonts w:ascii="Arial" w:hAnsi="Arial" w:cs="Arial"/>
        </w:rPr>
        <w:t xml:space="preserve"> </w:t>
      </w:r>
      <w:r w:rsidRPr="00635917">
        <w:rPr>
          <w:rFonts w:ascii="Arial" w:hAnsi="Arial" w:cs="Arial"/>
          <w:i/>
          <w:iCs/>
        </w:rPr>
        <w:t>Otavi</w:t>
      </w:r>
      <w:r w:rsidR="00074F84">
        <w:rPr>
          <w:rFonts w:ascii="Arial" w:hAnsi="Arial" w:cs="Arial"/>
        </w:rPr>
        <w:t>:</w:t>
      </w:r>
      <w:r w:rsidRPr="00635917">
        <w:rPr>
          <w:rFonts w:ascii="Arial" w:hAnsi="Arial" w:cs="Arial"/>
        </w:rPr>
        <w:t>514J; Zlotnick 1994</w:t>
      </w:r>
      <w:r w:rsidR="00074F84">
        <w:rPr>
          <w:rFonts w:ascii="Arial" w:hAnsi="Arial" w:cs="Arial"/>
        </w:rPr>
        <w:t>:</w:t>
      </w:r>
      <w:r w:rsidRPr="00635917">
        <w:rPr>
          <w:rFonts w:ascii="Arial" w:hAnsi="Arial" w:cs="Arial"/>
        </w:rPr>
        <w:t>695.</w:t>
      </w:r>
    </w:p>
  </w:footnote>
  <w:footnote w:id="243">
    <w:p w14:paraId="3A12336C" w14:textId="5DE11EEC"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w:t>
      </w:r>
      <w:r w:rsidRPr="00635917">
        <w:rPr>
          <w:rFonts w:ascii="Arial" w:hAnsi="Arial" w:cs="Arial"/>
        </w:rPr>
        <w:t xml:space="preserve"> </w:t>
      </w:r>
      <w:r w:rsidRPr="00635917">
        <w:rPr>
          <w:rFonts w:ascii="Arial" w:hAnsi="Arial" w:cs="Arial"/>
          <w:i/>
          <w:iCs/>
        </w:rPr>
        <w:t>Otavi</w:t>
      </w:r>
      <w:r w:rsidR="00074F84">
        <w:rPr>
          <w:rFonts w:ascii="Arial" w:hAnsi="Arial" w:cs="Arial"/>
        </w:rPr>
        <w:t>:</w:t>
      </w:r>
      <w:r w:rsidRPr="00635917">
        <w:rPr>
          <w:rFonts w:ascii="Arial" w:hAnsi="Arial" w:cs="Arial"/>
        </w:rPr>
        <w:t>514D</w:t>
      </w:r>
      <w:r w:rsidR="00356251">
        <w:rPr>
          <w:rFonts w:ascii="Arial" w:hAnsi="Arial" w:cs="Arial"/>
        </w:rPr>
        <w:t>,</w:t>
      </w:r>
      <w:r w:rsidRPr="00635917">
        <w:rPr>
          <w:rFonts w:ascii="Arial" w:hAnsi="Arial" w:cs="Arial"/>
        </w:rPr>
        <w:t xml:space="preserve"> 514H.</w:t>
      </w:r>
    </w:p>
  </w:footnote>
  <w:footnote w:id="244">
    <w:p w14:paraId="674B9312" w14:textId="6CA6784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 Otavi</w:t>
      </w:r>
      <w:r w:rsidR="00074F84">
        <w:rPr>
          <w:rFonts w:ascii="Arial" w:hAnsi="Arial" w:cs="Arial"/>
        </w:rPr>
        <w:t>:</w:t>
      </w:r>
      <w:r w:rsidRPr="00635917">
        <w:rPr>
          <w:rFonts w:ascii="Arial" w:hAnsi="Arial" w:cs="Arial"/>
        </w:rPr>
        <w:t>516G.</w:t>
      </w:r>
    </w:p>
  </w:footnote>
  <w:footnote w:id="245">
    <w:p w14:paraId="5955F566" w14:textId="222BEC9D"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4409E">
        <w:rPr>
          <w:rFonts w:ascii="Arial" w:hAnsi="Arial" w:cs="Arial"/>
        </w:rPr>
        <w:tab/>
      </w:r>
      <w:r w:rsidRPr="00635917">
        <w:rPr>
          <w:rFonts w:ascii="Arial" w:hAnsi="Arial" w:cs="Arial"/>
          <w:i/>
          <w:iCs/>
          <w:shd w:val="clear" w:color="auto" w:fill="FFFFFF"/>
        </w:rPr>
        <w:t>Shoprite Checkers Ltd v Pangbourne Properties Ltd</w:t>
      </w:r>
      <w:r w:rsidRPr="00635917">
        <w:rPr>
          <w:rFonts w:ascii="Arial" w:hAnsi="Arial" w:cs="Arial"/>
          <w:shd w:val="clear" w:color="auto" w:fill="FFFFFF"/>
        </w:rPr>
        <w:t xml:space="preserve"> 1994 (1) SA 616 (W)</w:t>
      </w:r>
      <w:r w:rsidR="00074F84">
        <w:rPr>
          <w:rFonts w:ascii="Arial" w:hAnsi="Arial" w:cs="Arial"/>
        </w:rPr>
        <w:t>:</w:t>
      </w:r>
      <w:r w:rsidRPr="00635917">
        <w:rPr>
          <w:rFonts w:ascii="Arial" w:hAnsi="Arial" w:cs="Arial"/>
        </w:rPr>
        <w:t>621.</w:t>
      </w:r>
    </w:p>
  </w:footnote>
  <w:footnote w:id="246">
    <w:p w14:paraId="51B43E6B" w14:textId="7110AE65"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24409E">
        <w:rPr>
          <w:rFonts w:ascii="Arial" w:hAnsi="Arial" w:cs="Arial"/>
          <w:lang w:val="de-DE"/>
        </w:rPr>
        <w:tab/>
      </w:r>
      <w:r w:rsidRPr="00635917">
        <w:rPr>
          <w:rFonts w:ascii="Arial" w:hAnsi="Arial" w:cs="Arial"/>
          <w:lang w:val="de-DE"/>
        </w:rPr>
        <w:t>Van der Walt 1989</w:t>
      </w:r>
      <w:r w:rsidR="00074F84">
        <w:rPr>
          <w:rFonts w:ascii="Arial" w:hAnsi="Arial" w:cs="Arial"/>
          <w:lang w:val="de-DE"/>
        </w:rPr>
        <w:t>:</w:t>
      </w:r>
      <w:r w:rsidRPr="00635917">
        <w:rPr>
          <w:rFonts w:ascii="Arial" w:hAnsi="Arial" w:cs="Arial"/>
          <w:lang w:val="de-DE"/>
        </w:rPr>
        <w:t>446.</w:t>
      </w:r>
    </w:p>
  </w:footnote>
  <w:footnote w:id="247">
    <w:p w14:paraId="0ACB6C16" w14:textId="27FF43C4"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24409E">
        <w:rPr>
          <w:rFonts w:ascii="Arial" w:hAnsi="Arial" w:cs="Arial"/>
          <w:lang w:val="de-DE"/>
        </w:rPr>
        <w:tab/>
      </w:r>
      <w:r w:rsidRPr="00635917">
        <w:rPr>
          <w:rFonts w:ascii="Arial" w:hAnsi="Arial" w:cs="Arial"/>
          <w:lang w:val="de-DE"/>
        </w:rPr>
        <w:t>Van der Walt 1989</w:t>
      </w:r>
      <w:r w:rsidR="00074F84">
        <w:rPr>
          <w:rFonts w:ascii="Arial" w:hAnsi="Arial" w:cs="Arial"/>
          <w:lang w:val="de-DE"/>
        </w:rPr>
        <w:t>:</w:t>
      </w:r>
      <w:r w:rsidRPr="00635917">
        <w:rPr>
          <w:rFonts w:ascii="Arial" w:hAnsi="Arial" w:cs="Arial"/>
          <w:lang w:val="de-DE"/>
        </w:rPr>
        <w:t>450; Zlotnick 1994</w:t>
      </w:r>
      <w:r w:rsidR="00074F84">
        <w:rPr>
          <w:rFonts w:ascii="Arial" w:hAnsi="Arial" w:cs="Arial"/>
          <w:lang w:val="de-DE"/>
        </w:rPr>
        <w:t>:</w:t>
      </w:r>
      <w:r w:rsidRPr="00635917">
        <w:rPr>
          <w:rFonts w:ascii="Arial" w:hAnsi="Arial" w:cs="Arial"/>
          <w:lang w:val="de-DE"/>
        </w:rPr>
        <w:t>695.</w:t>
      </w:r>
    </w:p>
  </w:footnote>
  <w:footnote w:id="248">
    <w:p w14:paraId="38FE39F8" w14:textId="0A210294"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rPr>
        <w:t>Zlotnick 1994</w:t>
      </w:r>
      <w:r w:rsidR="00074F84">
        <w:rPr>
          <w:rFonts w:ascii="Arial" w:hAnsi="Arial" w:cs="Arial"/>
        </w:rPr>
        <w:t>:</w:t>
      </w:r>
      <w:r w:rsidRPr="00635917">
        <w:rPr>
          <w:rFonts w:ascii="Arial" w:hAnsi="Arial" w:cs="Arial"/>
        </w:rPr>
        <w:t>696.</w:t>
      </w:r>
    </w:p>
  </w:footnote>
  <w:footnote w:id="249">
    <w:p w14:paraId="0C02BEDB" w14:textId="2F6C9C71" w:rsidR="00C72D03" w:rsidRPr="00635917" w:rsidRDefault="00C72D03"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rPr>
        <w:t>Zlotnick 1994</w:t>
      </w:r>
      <w:r w:rsidR="00074F84">
        <w:rPr>
          <w:rFonts w:ascii="Arial" w:hAnsi="Arial" w:cs="Arial"/>
        </w:rPr>
        <w:t>:</w:t>
      </w:r>
      <w:r w:rsidRPr="00635917">
        <w:rPr>
          <w:rFonts w:ascii="Arial" w:hAnsi="Arial" w:cs="Arial"/>
        </w:rPr>
        <w:t>695.</w:t>
      </w:r>
    </w:p>
  </w:footnote>
  <w:footnote w:id="250">
    <w:p w14:paraId="60609047" w14:textId="74BA6920"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rPr>
        <w:t>Kleyn 2013</w:t>
      </w:r>
      <w:r w:rsidR="00074F84">
        <w:rPr>
          <w:rFonts w:ascii="Arial" w:hAnsi="Arial" w:cs="Arial"/>
        </w:rPr>
        <w:t>:</w:t>
      </w:r>
      <w:r w:rsidRPr="00635917">
        <w:rPr>
          <w:rFonts w:ascii="Arial" w:hAnsi="Arial" w:cs="Arial"/>
        </w:rPr>
        <w:t>8.</w:t>
      </w:r>
    </w:p>
  </w:footnote>
  <w:footnote w:id="251">
    <w:p w14:paraId="738BE0E3" w14:textId="7C0EA68C"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proofErr w:type="spellStart"/>
      <w:r w:rsidRPr="00635917">
        <w:rPr>
          <w:rFonts w:ascii="Arial" w:hAnsi="Arial" w:cs="Arial"/>
        </w:rPr>
        <w:t>Boggenpoel</w:t>
      </w:r>
      <w:proofErr w:type="spellEnd"/>
      <w:r w:rsidRPr="00635917">
        <w:rPr>
          <w:rFonts w:ascii="Arial" w:hAnsi="Arial" w:cs="Arial"/>
        </w:rPr>
        <w:t xml:space="preserve"> 2015</w:t>
      </w:r>
      <w:r w:rsidR="00074F84">
        <w:rPr>
          <w:rFonts w:ascii="Arial" w:hAnsi="Arial" w:cs="Arial"/>
        </w:rPr>
        <w:t>:</w:t>
      </w:r>
      <w:r w:rsidRPr="00635917">
        <w:rPr>
          <w:rFonts w:ascii="Arial" w:hAnsi="Arial" w:cs="Arial"/>
        </w:rPr>
        <w:t xml:space="preserve">86. The authority for this statement is found in the </w:t>
      </w:r>
      <w:r w:rsidR="00783E9F">
        <w:rPr>
          <w:rFonts w:ascii="Arial" w:hAnsi="Arial" w:cs="Arial"/>
        </w:rPr>
        <w:t xml:space="preserve">locus </w:t>
      </w:r>
      <w:r w:rsidRPr="00635917">
        <w:rPr>
          <w:rFonts w:ascii="Arial" w:hAnsi="Arial" w:cs="Arial"/>
        </w:rPr>
        <w:t xml:space="preserve">classicus judgement of the court in </w:t>
      </w:r>
      <w:r w:rsidRPr="00635917">
        <w:rPr>
          <w:rFonts w:ascii="Arial" w:hAnsi="Arial" w:cs="Arial"/>
          <w:i/>
          <w:iCs/>
        </w:rPr>
        <w:t>Naidoo v Moodley</w:t>
      </w:r>
      <w:r w:rsidRPr="00635917">
        <w:rPr>
          <w:rFonts w:ascii="Arial" w:hAnsi="Arial" w:cs="Arial"/>
        </w:rPr>
        <w:t xml:space="preserve"> and </w:t>
      </w:r>
      <w:r w:rsidRPr="00635917">
        <w:rPr>
          <w:rFonts w:ascii="Arial" w:hAnsi="Arial" w:cs="Arial"/>
          <w:i/>
          <w:iCs/>
        </w:rPr>
        <w:t xml:space="preserve">Froman v </w:t>
      </w:r>
      <w:proofErr w:type="spellStart"/>
      <w:r w:rsidRPr="00635917">
        <w:rPr>
          <w:rFonts w:ascii="Arial" w:hAnsi="Arial" w:cs="Arial"/>
          <w:i/>
          <w:iCs/>
        </w:rPr>
        <w:t>Herbmore</w:t>
      </w:r>
      <w:proofErr w:type="spellEnd"/>
      <w:r w:rsidRPr="00635917">
        <w:rPr>
          <w:rFonts w:ascii="Arial" w:hAnsi="Arial" w:cs="Arial"/>
          <w:i/>
          <w:iCs/>
        </w:rPr>
        <w:t xml:space="preserve"> Timber and Hardware</w:t>
      </w:r>
      <w:r w:rsidRPr="00635917">
        <w:rPr>
          <w:rFonts w:ascii="Arial" w:hAnsi="Arial" w:cs="Arial"/>
          <w:shd w:val="clear" w:color="auto" w:fill="FFFFFF"/>
        </w:rPr>
        <w:t>.</w:t>
      </w:r>
    </w:p>
  </w:footnote>
  <w:footnote w:id="252">
    <w:p w14:paraId="34948FE4" w14:textId="41D56336" w:rsidR="002E67BC" w:rsidRDefault="002E67BC">
      <w:pPr>
        <w:pStyle w:val="FootnoteText"/>
      </w:pPr>
      <w:r>
        <w:rPr>
          <w:rStyle w:val="FootnoteReference"/>
        </w:rPr>
        <w:footnoteRef/>
      </w:r>
      <w:r>
        <w:t xml:space="preserve">   </w:t>
      </w:r>
      <w:r w:rsidRPr="00635917">
        <w:rPr>
          <w:rFonts w:ascii="Arial" w:hAnsi="Arial" w:cs="Arial"/>
        </w:rPr>
        <w:t>Kleyn 2013</w:t>
      </w:r>
      <w:r>
        <w:rPr>
          <w:rFonts w:ascii="Arial" w:hAnsi="Arial" w:cs="Arial"/>
        </w:rPr>
        <w:t>:</w:t>
      </w:r>
      <w:r w:rsidRPr="00635917">
        <w:rPr>
          <w:rFonts w:ascii="Arial" w:hAnsi="Arial" w:cs="Arial"/>
        </w:rPr>
        <w:t>10.</w:t>
      </w:r>
    </w:p>
  </w:footnote>
  <w:footnote w:id="253">
    <w:p w14:paraId="583F5049" w14:textId="4B455417"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rPr>
        <w:t>Kleyn 2013</w:t>
      </w:r>
      <w:r w:rsidR="00074F84">
        <w:rPr>
          <w:rFonts w:ascii="Arial" w:hAnsi="Arial" w:cs="Arial"/>
        </w:rPr>
        <w:t>:</w:t>
      </w:r>
      <w:r w:rsidRPr="00635917">
        <w:rPr>
          <w:rFonts w:ascii="Arial" w:hAnsi="Arial" w:cs="Arial"/>
        </w:rPr>
        <w:t>10.</w:t>
      </w:r>
    </w:p>
  </w:footnote>
  <w:footnote w:id="254">
    <w:p w14:paraId="0FF7E90C" w14:textId="3708B843"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510FD0">
        <w:rPr>
          <w:rFonts w:ascii="Arial" w:hAnsi="Arial" w:cs="Arial"/>
        </w:rPr>
        <w:t>Muller 2019</w:t>
      </w:r>
      <w:r w:rsidR="00074F84" w:rsidRPr="00510FD0">
        <w:rPr>
          <w:rFonts w:ascii="Arial" w:hAnsi="Arial" w:cs="Arial"/>
        </w:rPr>
        <w:t>:</w:t>
      </w:r>
      <w:r w:rsidRPr="00510FD0">
        <w:rPr>
          <w:rFonts w:ascii="Arial" w:hAnsi="Arial" w:cs="Arial"/>
        </w:rPr>
        <w:t>8</w:t>
      </w:r>
      <w:r w:rsidRPr="00635917">
        <w:rPr>
          <w:rFonts w:ascii="Arial" w:hAnsi="Arial" w:cs="Arial"/>
        </w:rPr>
        <w:t>.</w:t>
      </w:r>
    </w:p>
  </w:footnote>
  <w:footnote w:id="255">
    <w:p w14:paraId="34B433BF" w14:textId="365ADC3D" w:rsidR="00C72D03" w:rsidRPr="00635917" w:rsidRDefault="00C72D03" w:rsidP="00E63179">
      <w:pPr>
        <w:pStyle w:val="FootnoteText"/>
        <w:ind w:left="357" w:hanging="357"/>
        <w:jc w:val="both"/>
        <w:rPr>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Naidoo v Moodley</w:t>
      </w:r>
      <w:r w:rsidR="00074F84">
        <w:rPr>
          <w:rFonts w:ascii="Arial" w:hAnsi="Arial" w:cs="Arial"/>
          <w:shd w:val="clear" w:color="auto" w:fill="FFFFFF"/>
        </w:rPr>
        <w:t>:</w:t>
      </w:r>
      <w:r w:rsidRPr="00635917">
        <w:rPr>
          <w:rFonts w:ascii="Arial" w:hAnsi="Arial" w:cs="Arial"/>
          <w:shd w:val="clear" w:color="auto" w:fill="FFFFFF"/>
        </w:rPr>
        <w:t>565.</w:t>
      </w:r>
    </w:p>
  </w:footnote>
  <w:footnote w:id="256">
    <w:p w14:paraId="0031FDAF" w14:textId="69CD6C2C"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Naidoo v Moodley</w:t>
      </w:r>
      <w:r w:rsidR="00074F84">
        <w:rPr>
          <w:rFonts w:ascii="Arial" w:hAnsi="Arial" w:cs="Arial"/>
          <w:shd w:val="clear" w:color="auto" w:fill="FFFFFF"/>
        </w:rPr>
        <w:t>:</w:t>
      </w:r>
      <w:r w:rsidRPr="00635917">
        <w:rPr>
          <w:rFonts w:ascii="Arial" w:hAnsi="Arial" w:cs="Arial"/>
          <w:shd w:val="clear" w:color="auto" w:fill="FFFFFF"/>
        </w:rPr>
        <w:t xml:space="preserve">565. </w:t>
      </w:r>
      <w:proofErr w:type="spellStart"/>
      <w:r w:rsidRPr="00635917">
        <w:rPr>
          <w:rFonts w:ascii="Arial" w:hAnsi="Arial" w:cs="Arial"/>
          <w:shd w:val="clear" w:color="auto" w:fill="FFFFFF"/>
        </w:rPr>
        <w:t>Boggenpoel</w:t>
      </w:r>
      <w:proofErr w:type="spellEnd"/>
      <w:r w:rsidRPr="00635917">
        <w:rPr>
          <w:rFonts w:ascii="Arial" w:hAnsi="Arial" w:cs="Arial"/>
          <w:shd w:val="clear" w:color="auto" w:fill="FFFFFF"/>
        </w:rPr>
        <w:t xml:space="preserve"> 2017</w:t>
      </w:r>
      <w:r w:rsidR="00074F84">
        <w:rPr>
          <w:rFonts w:ascii="Arial" w:hAnsi="Arial" w:cs="Arial"/>
          <w:shd w:val="clear" w:color="auto" w:fill="FFFFFF"/>
        </w:rPr>
        <w:t>:</w:t>
      </w:r>
      <w:r w:rsidRPr="00635917">
        <w:rPr>
          <w:rFonts w:ascii="Arial" w:hAnsi="Arial" w:cs="Arial"/>
          <w:shd w:val="clear" w:color="auto" w:fill="FFFFFF"/>
        </w:rPr>
        <w:t>114.</w:t>
      </w:r>
    </w:p>
  </w:footnote>
  <w:footnote w:id="257">
    <w:p w14:paraId="18DDC724" w14:textId="290AD24D"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 xml:space="preserve">Froman v </w:t>
      </w:r>
      <w:proofErr w:type="spellStart"/>
      <w:r w:rsidRPr="00635917">
        <w:rPr>
          <w:rFonts w:ascii="Arial" w:hAnsi="Arial" w:cs="Arial"/>
          <w:i/>
          <w:iCs/>
          <w:shd w:val="clear" w:color="auto" w:fill="FFFFFF"/>
        </w:rPr>
        <w:t>Herbmore</w:t>
      </w:r>
      <w:proofErr w:type="spellEnd"/>
      <w:r w:rsidRPr="00635917">
        <w:rPr>
          <w:rFonts w:ascii="Arial" w:hAnsi="Arial" w:cs="Arial"/>
          <w:i/>
          <w:iCs/>
          <w:shd w:val="clear" w:color="auto" w:fill="FFFFFF"/>
        </w:rPr>
        <w:t xml:space="preserve"> Timber and Hardware (Pty) Ltd</w:t>
      </w:r>
      <w:r w:rsidR="00074F84">
        <w:rPr>
          <w:rFonts w:ascii="Arial" w:hAnsi="Arial" w:cs="Arial"/>
          <w:shd w:val="clear" w:color="auto" w:fill="FFFFFF"/>
        </w:rPr>
        <w:t>:</w:t>
      </w:r>
      <w:r w:rsidRPr="00635917">
        <w:rPr>
          <w:rFonts w:ascii="Arial" w:hAnsi="Arial" w:cs="Arial"/>
          <w:shd w:val="clear" w:color="auto" w:fill="FFFFFF"/>
        </w:rPr>
        <w:t>291.</w:t>
      </w:r>
    </w:p>
  </w:footnote>
  <w:footnote w:id="258">
    <w:p w14:paraId="0F2D7C23" w14:textId="0666CEAF"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 xml:space="preserve">Froman v </w:t>
      </w:r>
      <w:proofErr w:type="spellStart"/>
      <w:r w:rsidRPr="00635917">
        <w:rPr>
          <w:rFonts w:ascii="Arial" w:hAnsi="Arial" w:cs="Arial"/>
          <w:i/>
          <w:iCs/>
          <w:shd w:val="clear" w:color="auto" w:fill="FFFFFF"/>
        </w:rPr>
        <w:t>Herbmore</w:t>
      </w:r>
      <w:proofErr w:type="spellEnd"/>
      <w:r w:rsidRPr="00635917">
        <w:rPr>
          <w:rFonts w:ascii="Arial" w:hAnsi="Arial" w:cs="Arial"/>
          <w:i/>
          <w:iCs/>
          <w:shd w:val="clear" w:color="auto" w:fill="FFFFFF"/>
        </w:rPr>
        <w:t xml:space="preserve"> Timber and Hardware (Pty) Ltd</w:t>
      </w:r>
      <w:r w:rsidR="00074F84">
        <w:rPr>
          <w:rFonts w:ascii="Arial" w:hAnsi="Arial" w:cs="Arial"/>
          <w:shd w:val="clear" w:color="auto" w:fill="FFFFFF"/>
        </w:rPr>
        <w:t>:</w:t>
      </w:r>
      <w:r w:rsidRPr="00635917">
        <w:rPr>
          <w:rFonts w:ascii="Arial" w:hAnsi="Arial" w:cs="Arial"/>
          <w:shd w:val="clear" w:color="auto" w:fill="FFFFFF"/>
        </w:rPr>
        <w:t>291.</w:t>
      </w:r>
    </w:p>
  </w:footnote>
  <w:footnote w:id="259">
    <w:p w14:paraId="5EFFF434" w14:textId="063E69DC"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 xml:space="preserve">Froman v </w:t>
      </w:r>
      <w:proofErr w:type="spellStart"/>
      <w:r w:rsidRPr="00635917">
        <w:rPr>
          <w:rFonts w:ascii="Arial" w:hAnsi="Arial" w:cs="Arial"/>
          <w:i/>
          <w:iCs/>
          <w:shd w:val="clear" w:color="auto" w:fill="FFFFFF"/>
        </w:rPr>
        <w:t>Herbmore</w:t>
      </w:r>
      <w:proofErr w:type="spellEnd"/>
      <w:r w:rsidRPr="00635917">
        <w:rPr>
          <w:rFonts w:ascii="Arial" w:hAnsi="Arial" w:cs="Arial"/>
          <w:i/>
          <w:iCs/>
          <w:shd w:val="clear" w:color="auto" w:fill="FFFFFF"/>
        </w:rPr>
        <w:t xml:space="preserve"> Timber and Hardware (Pty) Ltd</w:t>
      </w:r>
      <w:r w:rsidR="00074F84">
        <w:rPr>
          <w:rFonts w:ascii="Arial" w:hAnsi="Arial" w:cs="Arial"/>
          <w:shd w:val="clear" w:color="auto" w:fill="FFFFFF"/>
        </w:rPr>
        <w:t>:</w:t>
      </w:r>
      <w:r w:rsidRPr="00635917">
        <w:rPr>
          <w:rFonts w:ascii="Arial" w:hAnsi="Arial" w:cs="Arial"/>
          <w:shd w:val="clear" w:color="auto" w:fill="FFFFFF"/>
        </w:rPr>
        <w:t>292.</w:t>
      </w:r>
    </w:p>
  </w:footnote>
  <w:footnote w:id="260">
    <w:p w14:paraId="1C4868B5" w14:textId="12B1D534" w:rsidR="00C72D03" w:rsidRPr="00635917" w:rsidRDefault="00C72D03"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and </w:t>
      </w:r>
      <w:proofErr w:type="spellStart"/>
      <w:r w:rsidRPr="00635917">
        <w:rPr>
          <w:rFonts w:ascii="Arial" w:hAnsi="Arial" w:cs="Arial"/>
          <w:i/>
          <w:shd w:val="clear" w:color="auto" w:fill="FFFFFF"/>
        </w:rPr>
        <w:t>Nisenbuam</w:t>
      </w:r>
      <w:proofErr w:type="spellEnd"/>
      <w:r w:rsidRPr="00635917">
        <w:rPr>
          <w:rFonts w:ascii="Arial" w:hAnsi="Arial" w:cs="Arial"/>
          <w:i/>
          <w:shd w:val="clear" w:color="auto" w:fill="FFFFFF"/>
        </w:rPr>
        <w:t xml:space="preserve"> v Express buildings (Pty) Ltd</w:t>
      </w:r>
      <w:r w:rsidR="00074F84">
        <w:rPr>
          <w:rFonts w:ascii="Arial" w:hAnsi="Arial" w:cs="Arial"/>
          <w:shd w:val="clear" w:color="auto" w:fill="FFFFFF"/>
        </w:rPr>
        <w:t>:</w:t>
      </w:r>
      <w:r w:rsidRPr="00635917">
        <w:rPr>
          <w:rFonts w:ascii="Arial" w:hAnsi="Arial" w:cs="Arial"/>
          <w:shd w:val="clear" w:color="auto" w:fill="FFFFFF"/>
        </w:rPr>
        <w:t>161.</w:t>
      </w:r>
    </w:p>
  </w:footnote>
  <w:footnote w:id="261">
    <w:p w14:paraId="20E5B070" w14:textId="60FC0468" w:rsidR="00C72D03" w:rsidRPr="00635917" w:rsidRDefault="00C72D03" w:rsidP="00E63179">
      <w:pPr>
        <w:pStyle w:val="FootnoteText"/>
        <w:ind w:left="357" w:hanging="357"/>
        <w:jc w:val="both"/>
        <w:rPr>
          <w:rFonts w:ascii="Arial" w:hAnsi="Arial" w:cs="Arial"/>
          <w:lang w:val="en-US"/>
        </w:rPr>
      </w:pPr>
      <w:r w:rsidRPr="00635917">
        <w:rPr>
          <w:rStyle w:val="FootnoteReference"/>
          <w:rFonts w:ascii="Arial" w:hAnsi="Arial" w:cs="Arial"/>
        </w:rPr>
        <w:footnoteRef/>
      </w:r>
      <w:r w:rsidRPr="00635917">
        <w:rPr>
          <w:rFonts w:ascii="Arial" w:hAnsi="Arial" w:cs="Arial"/>
        </w:rPr>
        <w:t xml:space="preserve"> </w:t>
      </w:r>
      <w:r w:rsidR="00A5319D">
        <w:rPr>
          <w:rFonts w:ascii="Arial" w:hAnsi="Arial" w:cs="Arial"/>
        </w:rPr>
        <w:tab/>
      </w:r>
      <w:r w:rsidRPr="00635917">
        <w:rPr>
          <w:rFonts w:ascii="Arial" w:hAnsi="Arial" w:cs="Arial"/>
          <w:i/>
          <w:iCs/>
          <w:shd w:val="clear" w:color="auto" w:fill="FFFFFF"/>
        </w:rPr>
        <w:t xml:space="preserve">Froman v </w:t>
      </w:r>
      <w:proofErr w:type="spellStart"/>
      <w:r w:rsidRPr="00635917">
        <w:rPr>
          <w:rFonts w:ascii="Arial" w:hAnsi="Arial" w:cs="Arial"/>
          <w:i/>
          <w:iCs/>
          <w:shd w:val="clear" w:color="auto" w:fill="FFFFFF"/>
        </w:rPr>
        <w:t>Herbmore</w:t>
      </w:r>
      <w:proofErr w:type="spellEnd"/>
      <w:r w:rsidRPr="00635917">
        <w:rPr>
          <w:rFonts w:ascii="Arial" w:hAnsi="Arial" w:cs="Arial"/>
          <w:i/>
          <w:iCs/>
          <w:shd w:val="clear" w:color="auto" w:fill="FFFFFF"/>
        </w:rPr>
        <w:t xml:space="preserve"> Timber and Hardware (Pty) Ltd</w:t>
      </w:r>
      <w:r w:rsidR="00074F84">
        <w:rPr>
          <w:rFonts w:ascii="Arial" w:hAnsi="Arial" w:cs="Arial"/>
          <w:shd w:val="clear" w:color="auto" w:fill="FFFFFF"/>
        </w:rPr>
        <w:t>:</w:t>
      </w:r>
      <w:r w:rsidRPr="00635917">
        <w:rPr>
          <w:rFonts w:ascii="Arial" w:hAnsi="Arial" w:cs="Arial"/>
          <w:shd w:val="clear" w:color="auto" w:fill="FFFFFF"/>
        </w:rPr>
        <w:t>292.</w:t>
      </w:r>
    </w:p>
  </w:footnote>
  <w:footnote w:id="262">
    <w:p w14:paraId="26AE7382" w14:textId="3F41F6CD" w:rsidR="00C72D03" w:rsidRPr="00635917" w:rsidRDefault="00C72D03"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893FA5">
        <w:rPr>
          <w:rFonts w:ascii="Arial" w:hAnsi="Arial" w:cs="Arial"/>
        </w:rPr>
        <w:tab/>
      </w:r>
      <w:proofErr w:type="spellStart"/>
      <w:r w:rsidRPr="00635917">
        <w:rPr>
          <w:rFonts w:ascii="Arial" w:hAnsi="Arial" w:cs="Arial"/>
        </w:rPr>
        <w:t>Boggenpoel</w:t>
      </w:r>
      <w:proofErr w:type="spellEnd"/>
      <w:r w:rsidRPr="00635917">
        <w:rPr>
          <w:rFonts w:ascii="Arial" w:hAnsi="Arial" w:cs="Arial"/>
        </w:rPr>
        <w:t xml:space="preserve"> 2017</w:t>
      </w:r>
      <w:r w:rsidR="00074F84">
        <w:rPr>
          <w:rFonts w:ascii="Arial" w:hAnsi="Arial" w:cs="Arial"/>
        </w:rPr>
        <w:t>:</w:t>
      </w:r>
      <w:r w:rsidRPr="00635917">
        <w:rPr>
          <w:rFonts w:ascii="Arial" w:hAnsi="Arial" w:cs="Arial"/>
        </w:rPr>
        <w:t>114.</w:t>
      </w:r>
    </w:p>
  </w:footnote>
  <w:footnote w:id="263">
    <w:p w14:paraId="0D920C42" w14:textId="60A5FB53"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93FA5">
        <w:rPr>
          <w:rFonts w:ascii="Arial" w:hAnsi="Arial" w:cs="Arial"/>
        </w:rPr>
        <w:tab/>
      </w:r>
      <w:r w:rsidRPr="00635917">
        <w:rPr>
          <w:rFonts w:ascii="Arial" w:hAnsi="Arial" w:cs="Arial"/>
        </w:rPr>
        <w:t>Muller 2019</w:t>
      </w:r>
      <w:r w:rsidR="00074F84">
        <w:rPr>
          <w:rFonts w:ascii="Arial" w:hAnsi="Arial" w:cs="Arial"/>
        </w:rPr>
        <w:t>:</w:t>
      </w:r>
      <w:r w:rsidRPr="00635917">
        <w:rPr>
          <w:rFonts w:ascii="Arial" w:hAnsi="Arial" w:cs="Arial"/>
        </w:rPr>
        <w:t>12-13.</w:t>
      </w:r>
    </w:p>
  </w:footnote>
  <w:footnote w:id="264">
    <w:p w14:paraId="36ED0523" w14:textId="25D1382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93FA5">
        <w:rPr>
          <w:rFonts w:ascii="Arial" w:hAnsi="Arial" w:cs="Arial"/>
        </w:rPr>
        <w:tab/>
      </w:r>
      <w:r w:rsidRPr="00635917">
        <w:rPr>
          <w:rFonts w:ascii="Arial" w:hAnsi="Arial" w:cs="Arial"/>
          <w:i/>
          <w:iCs/>
          <w:shd w:val="clear" w:color="auto" w:fill="FFFFFF"/>
        </w:rPr>
        <w:t>Zulu v Minister of Works, KwaZulu and Others</w:t>
      </w:r>
      <w:r w:rsidR="0013249E">
        <w:rPr>
          <w:rFonts w:ascii="Arial" w:hAnsi="Arial" w:cs="Arial"/>
          <w:shd w:val="clear" w:color="auto" w:fill="FFFFFF"/>
        </w:rPr>
        <w:t>:</w:t>
      </w:r>
      <w:r w:rsidRPr="00635917">
        <w:rPr>
          <w:rFonts w:ascii="Arial" w:hAnsi="Arial" w:cs="Arial"/>
          <w:shd w:val="clear" w:color="auto" w:fill="FFFFFF"/>
        </w:rPr>
        <w:t>186.</w:t>
      </w:r>
    </w:p>
  </w:footnote>
  <w:footnote w:id="265">
    <w:p w14:paraId="3DEADC4B" w14:textId="2DDD8201"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93FA5">
        <w:rPr>
          <w:rFonts w:ascii="Arial" w:hAnsi="Arial" w:cs="Arial"/>
        </w:rPr>
        <w:tab/>
      </w:r>
      <w:r w:rsidRPr="00635917">
        <w:rPr>
          <w:rFonts w:ascii="Arial" w:hAnsi="Arial" w:cs="Arial"/>
          <w:i/>
          <w:iCs/>
          <w:shd w:val="clear" w:color="auto" w:fill="FFFFFF"/>
        </w:rPr>
        <w:t>Zulu v Minister of Works, KwaZulu and Others</w:t>
      </w:r>
      <w:r w:rsidR="00074F84">
        <w:rPr>
          <w:rFonts w:ascii="Arial" w:hAnsi="Arial" w:cs="Arial"/>
          <w:shd w:val="clear" w:color="auto" w:fill="FFFFFF"/>
        </w:rPr>
        <w:t>:</w:t>
      </w:r>
      <w:r w:rsidRPr="00635917">
        <w:rPr>
          <w:rFonts w:ascii="Arial" w:hAnsi="Arial" w:cs="Arial"/>
          <w:shd w:val="clear" w:color="auto" w:fill="FFFFFF"/>
        </w:rPr>
        <w:t>82-183.</w:t>
      </w:r>
    </w:p>
  </w:footnote>
  <w:footnote w:id="266">
    <w:p w14:paraId="7611F525" w14:textId="100DBCE7"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93FA5">
        <w:rPr>
          <w:rFonts w:ascii="Arial" w:hAnsi="Arial" w:cs="Arial"/>
        </w:rPr>
        <w:tab/>
      </w:r>
      <w:r w:rsidRPr="00635917">
        <w:rPr>
          <w:rFonts w:ascii="Arial" w:hAnsi="Arial" w:cs="Arial"/>
          <w:i/>
          <w:iCs/>
          <w:shd w:val="clear" w:color="auto" w:fill="FFFFFF"/>
        </w:rPr>
        <w:t>Zulu v Minister of Works, KwaZulu and Others</w:t>
      </w:r>
      <w:r w:rsidR="00074F84">
        <w:rPr>
          <w:rFonts w:ascii="Arial" w:hAnsi="Arial" w:cs="Arial"/>
          <w:shd w:val="clear" w:color="auto" w:fill="FFFFFF"/>
        </w:rPr>
        <w:t>:</w:t>
      </w:r>
      <w:r w:rsidRPr="00635917">
        <w:rPr>
          <w:rFonts w:ascii="Arial" w:hAnsi="Arial" w:cs="Arial"/>
          <w:shd w:val="clear" w:color="auto" w:fill="FFFFFF"/>
        </w:rPr>
        <w:t>86</w:t>
      </w:r>
      <w:r w:rsidR="00273A89">
        <w:rPr>
          <w:rFonts w:ascii="Arial" w:hAnsi="Arial" w:cs="Arial"/>
          <w:shd w:val="clear" w:color="auto" w:fill="FFFFFF"/>
        </w:rPr>
        <w:t>,</w:t>
      </w:r>
      <w:r w:rsidRPr="00635917">
        <w:rPr>
          <w:rFonts w:ascii="Arial" w:hAnsi="Arial" w:cs="Arial"/>
          <w:shd w:val="clear" w:color="auto" w:fill="FFFFFF"/>
        </w:rPr>
        <w:t xml:space="preserve"> 190.</w:t>
      </w:r>
    </w:p>
  </w:footnote>
  <w:footnote w:id="267">
    <w:p w14:paraId="29F68CB8" w14:textId="74047A46"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893FA5">
        <w:rPr>
          <w:rFonts w:ascii="Arial" w:hAnsi="Arial" w:cs="Arial"/>
          <w:lang w:val="de-DE"/>
        </w:rPr>
        <w:tab/>
      </w:r>
      <w:r w:rsidRPr="00875AC1">
        <w:rPr>
          <w:rFonts w:ascii="Arial" w:hAnsi="Arial" w:cs="Arial"/>
          <w:lang w:val="de-DE"/>
        </w:rPr>
        <w:t xml:space="preserve">Muller </w:t>
      </w:r>
      <w:r w:rsidRPr="00875AC1">
        <w:rPr>
          <w:rFonts w:ascii="Arial" w:hAnsi="Arial" w:cs="Arial"/>
          <w:i/>
          <w:iCs/>
          <w:lang w:val="de-DE"/>
        </w:rPr>
        <w:t>et al</w:t>
      </w:r>
      <w:r w:rsidR="00273A89" w:rsidRPr="00875AC1">
        <w:rPr>
          <w:rFonts w:ascii="Arial" w:hAnsi="Arial" w:cs="Arial"/>
          <w:i/>
          <w:iCs/>
          <w:lang w:val="de-DE"/>
        </w:rPr>
        <w:t xml:space="preserve"> </w:t>
      </w:r>
      <w:r w:rsidR="00273A89" w:rsidRPr="00875AC1">
        <w:rPr>
          <w:rFonts w:ascii="Arial" w:hAnsi="Arial" w:cs="Arial"/>
          <w:lang w:val="de-DE"/>
        </w:rPr>
        <w:t>2019</w:t>
      </w:r>
      <w:r w:rsidR="00875AC1" w:rsidRPr="00875AC1">
        <w:rPr>
          <w:rFonts w:ascii="Arial" w:hAnsi="Arial" w:cs="Arial"/>
          <w:lang w:val="de-DE"/>
        </w:rPr>
        <w:t>b</w:t>
      </w:r>
      <w:r w:rsidR="00074F84" w:rsidRPr="00875AC1">
        <w:rPr>
          <w:rFonts w:ascii="Arial" w:hAnsi="Arial" w:cs="Arial"/>
          <w:lang w:val="de-DE"/>
        </w:rPr>
        <w:t>:</w:t>
      </w:r>
      <w:r w:rsidRPr="00875AC1">
        <w:rPr>
          <w:rFonts w:ascii="Arial" w:hAnsi="Arial" w:cs="Arial"/>
          <w:lang w:val="de-DE"/>
        </w:rPr>
        <w:t>339.</w:t>
      </w:r>
    </w:p>
  </w:footnote>
  <w:footnote w:id="268">
    <w:p w14:paraId="7281477B" w14:textId="0EB5DFAB" w:rsidR="00C72D03" w:rsidRPr="00635917" w:rsidRDefault="00C72D03"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893FA5">
        <w:rPr>
          <w:rFonts w:ascii="Arial" w:hAnsi="Arial" w:cs="Arial"/>
          <w:lang w:val="de-DE"/>
        </w:rPr>
        <w:tab/>
      </w:r>
      <w:r w:rsidRPr="00635917">
        <w:rPr>
          <w:rFonts w:ascii="Arial" w:hAnsi="Arial" w:cs="Arial"/>
          <w:lang w:val="de-DE"/>
        </w:rPr>
        <w:t>Van der Walt 2002</w:t>
      </w:r>
      <w:r w:rsidR="00074F84">
        <w:rPr>
          <w:rFonts w:ascii="Arial" w:hAnsi="Arial" w:cs="Arial"/>
          <w:lang w:val="de-DE"/>
        </w:rPr>
        <w:t>:</w:t>
      </w:r>
      <w:r w:rsidRPr="00635917">
        <w:rPr>
          <w:rFonts w:ascii="Arial" w:hAnsi="Arial" w:cs="Arial"/>
          <w:lang w:val="de-DE"/>
        </w:rPr>
        <w:t>276.</w:t>
      </w:r>
    </w:p>
  </w:footnote>
  <w:footnote w:id="269">
    <w:p w14:paraId="64A03550" w14:textId="7A14ABED" w:rsidR="00C72D03" w:rsidRPr="00635917" w:rsidRDefault="00C72D03" w:rsidP="009D3A31">
      <w:pPr>
        <w:pStyle w:val="FootnoteText"/>
        <w:ind w:left="357" w:hanging="357"/>
        <w:jc w:val="both"/>
        <w:rPr>
          <w:rFonts w:ascii="Arial" w:hAnsi="Arial" w:cs="Arial"/>
          <w:lang w:val="de-DE"/>
        </w:rPr>
      </w:pPr>
      <w:r w:rsidRPr="00635917">
        <w:rPr>
          <w:rStyle w:val="FootnoteReference"/>
          <w:rFonts w:ascii="Arial" w:hAnsi="Arial" w:cs="Arial"/>
        </w:rPr>
        <w:footnoteRef/>
      </w:r>
      <w:r w:rsidRPr="00635917">
        <w:rPr>
          <w:rFonts w:ascii="Arial" w:hAnsi="Arial" w:cs="Arial"/>
          <w:lang w:val="de-DE"/>
        </w:rPr>
        <w:t xml:space="preserve"> </w:t>
      </w:r>
      <w:r w:rsidR="00273A89">
        <w:rPr>
          <w:rFonts w:ascii="Arial" w:hAnsi="Arial" w:cs="Arial"/>
          <w:lang w:val="de-DE"/>
        </w:rPr>
        <w:tab/>
      </w:r>
      <w:r w:rsidRPr="00635917">
        <w:rPr>
          <w:rFonts w:ascii="Arial" w:hAnsi="Arial" w:cs="Arial"/>
          <w:lang w:val="de-DE"/>
        </w:rPr>
        <w:t>Van der Walt 2002</w:t>
      </w:r>
      <w:r w:rsidR="00074F84">
        <w:rPr>
          <w:rFonts w:ascii="Arial" w:hAnsi="Arial" w:cs="Arial"/>
          <w:lang w:val="de-DE"/>
        </w:rPr>
        <w:t>:</w:t>
      </w:r>
      <w:r w:rsidRPr="00635917">
        <w:rPr>
          <w:rFonts w:ascii="Arial" w:hAnsi="Arial" w:cs="Arial"/>
          <w:lang w:val="de-DE"/>
        </w:rPr>
        <w:t>278.</w:t>
      </w:r>
    </w:p>
  </w:footnote>
  <w:footnote w:id="270">
    <w:p w14:paraId="712A332C" w14:textId="0614A447" w:rsidR="00C72D03" w:rsidRPr="00635917" w:rsidRDefault="00C72D03" w:rsidP="009D3A31">
      <w:pPr>
        <w:pStyle w:val="FootnoteText"/>
        <w:ind w:left="357" w:hanging="357"/>
        <w:jc w:val="both"/>
        <w:rPr>
          <w:lang w:val="de-DE"/>
        </w:rPr>
      </w:pPr>
      <w:r w:rsidRPr="00635917">
        <w:rPr>
          <w:rStyle w:val="FootnoteReference"/>
          <w:rFonts w:ascii="Arial" w:hAnsi="Arial" w:cs="Arial"/>
        </w:rPr>
        <w:footnoteRef/>
      </w:r>
      <w:r w:rsidRPr="00635917">
        <w:rPr>
          <w:rFonts w:ascii="Arial" w:hAnsi="Arial" w:cs="Arial"/>
          <w:lang w:val="de-DE"/>
        </w:rPr>
        <w:t xml:space="preserve"> </w:t>
      </w:r>
      <w:r w:rsidR="00273A89">
        <w:rPr>
          <w:rFonts w:ascii="Arial" w:hAnsi="Arial" w:cs="Arial"/>
          <w:lang w:val="de-DE"/>
        </w:rPr>
        <w:tab/>
      </w:r>
      <w:r w:rsidRPr="00635917">
        <w:rPr>
          <w:rFonts w:ascii="Arial" w:hAnsi="Arial" w:cs="Arial"/>
          <w:lang w:val="de-DE"/>
        </w:rPr>
        <w:t>Van der Walt &amp; Pienaar 2016</w:t>
      </w:r>
      <w:r w:rsidR="00074F84">
        <w:rPr>
          <w:rFonts w:ascii="Arial" w:hAnsi="Arial" w:cs="Arial"/>
          <w:lang w:val="de-DE"/>
        </w:rPr>
        <w:t>:</w:t>
      </w:r>
      <w:r w:rsidRPr="00635917">
        <w:rPr>
          <w:rFonts w:ascii="Arial" w:hAnsi="Arial" w:cs="Arial"/>
          <w:lang w:val="de-DE"/>
        </w:rPr>
        <w:t>230.</w:t>
      </w:r>
    </w:p>
  </w:footnote>
  <w:footnote w:id="271">
    <w:p w14:paraId="7AFA1B83" w14:textId="6BB02ECE" w:rsidR="00C72D03" w:rsidRPr="00635917" w:rsidRDefault="00C72D03" w:rsidP="009D3A31">
      <w:pPr>
        <w:spacing w:after="0" w:line="240" w:lineRule="auto"/>
        <w:ind w:left="357" w:hanging="357"/>
        <w:jc w:val="both"/>
        <w:rPr>
          <w:rFonts w:ascii="Arial" w:hAnsi="Arial" w:cs="Arial"/>
          <w:sz w:val="20"/>
          <w:szCs w:val="20"/>
          <w:shd w:val="clear" w:color="auto" w:fill="FFFFFF"/>
        </w:rPr>
      </w:pPr>
      <w:r w:rsidRPr="00635917">
        <w:rPr>
          <w:rStyle w:val="FootnoteReference"/>
          <w:rFonts w:ascii="Arial" w:hAnsi="Arial" w:cs="Arial"/>
          <w:sz w:val="20"/>
          <w:szCs w:val="20"/>
        </w:rPr>
        <w:footnoteRef/>
      </w:r>
      <w:r w:rsidRPr="00635917">
        <w:rPr>
          <w:rFonts w:ascii="Arial" w:hAnsi="Arial" w:cs="Arial"/>
          <w:sz w:val="20"/>
          <w:szCs w:val="20"/>
        </w:rPr>
        <w:t xml:space="preserve"> </w:t>
      </w:r>
      <w:r w:rsidR="00273A89">
        <w:rPr>
          <w:rFonts w:ascii="Arial" w:hAnsi="Arial" w:cs="Arial"/>
          <w:sz w:val="20"/>
          <w:szCs w:val="20"/>
        </w:rPr>
        <w:tab/>
      </w:r>
      <w:r w:rsidRPr="00635917">
        <w:rPr>
          <w:rFonts w:ascii="Arial" w:hAnsi="Arial" w:cs="Arial"/>
          <w:sz w:val="20"/>
          <w:szCs w:val="20"/>
          <w:shd w:val="clear" w:color="auto" w:fill="FFFFFF"/>
        </w:rPr>
        <w:t xml:space="preserve">Had the court applied the spoliation principles to the facts correctly, the use of water by </w:t>
      </w:r>
      <w:r w:rsidR="00783E9F">
        <w:rPr>
          <w:rFonts w:ascii="Arial" w:hAnsi="Arial" w:cs="Arial"/>
          <w:sz w:val="20"/>
          <w:szCs w:val="20"/>
          <w:shd w:val="clear" w:color="auto" w:fill="FFFFFF"/>
        </w:rPr>
        <w:t xml:space="preserve">the </w:t>
      </w:r>
      <w:r w:rsidRPr="00635917">
        <w:rPr>
          <w:rFonts w:ascii="Arial" w:hAnsi="Arial" w:cs="Arial"/>
          <w:sz w:val="20"/>
          <w:szCs w:val="20"/>
          <w:shd w:val="clear" w:color="auto" w:fill="FFFFFF"/>
        </w:rPr>
        <w:t>applicant ought to have been decisive for awarding the spoliation relief.</w:t>
      </w:r>
    </w:p>
  </w:footnote>
  <w:footnote w:id="272">
    <w:p w14:paraId="67FE6C98" w14:textId="46429AC6" w:rsidR="00C72D03" w:rsidRPr="00635917" w:rsidRDefault="00C72D03" w:rsidP="009D3A31">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73A89">
        <w:rPr>
          <w:rFonts w:ascii="Arial" w:hAnsi="Arial" w:cs="Arial"/>
        </w:rPr>
        <w:tab/>
      </w:r>
      <w:r w:rsidRPr="00635917">
        <w:rPr>
          <w:rFonts w:ascii="Arial" w:hAnsi="Arial" w:cs="Arial"/>
          <w:i/>
          <w:iCs/>
          <w:shd w:val="clear" w:color="auto" w:fill="FFFFFF"/>
        </w:rPr>
        <w:t>Zulu v Minister of Works, KwaZulu and Others</w:t>
      </w:r>
      <w:r w:rsidR="00074F84">
        <w:rPr>
          <w:rFonts w:ascii="Arial" w:hAnsi="Arial" w:cs="Arial"/>
          <w:shd w:val="clear" w:color="auto" w:fill="FFFFFF"/>
        </w:rPr>
        <w:t>:</w:t>
      </w:r>
      <w:r w:rsidRPr="00635917">
        <w:rPr>
          <w:rFonts w:ascii="Arial" w:hAnsi="Arial" w:cs="Arial"/>
          <w:shd w:val="clear" w:color="auto" w:fill="FFFFFF"/>
        </w:rPr>
        <w:t>188.</w:t>
      </w:r>
    </w:p>
  </w:footnote>
  <w:footnote w:id="273">
    <w:p w14:paraId="2698F4BD" w14:textId="3B82A635" w:rsidR="00C72D03" w:rsidRPr="007E1471" w:rsidRDefault="00C72D03" w:rsidP="009D3A31">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273A89" w:rsidRPr="007E1471">
        <w:rPr>
          <w:rFonts w:ascii="Arial" w:hAnsi="Arial" w:cs="Arial"/>
          <w:lang w:val="de-DE"/>
        </w:rPr>
        <w:tab/>
      </w:r>
      <w:r w:rsidRPr="007E1471">
        <w:rPr>
          <w:rFonts w:ascii="Arial" w:hAnsi="Arial" w:cs="Arial"/>
          <w:i/>
          <w:iCs/>
          <w:lang w:val="de-DE"/>
        </w:rPr>
        <w:t>Bon Quelle (Edms) Bpk v Munisipaliteit van Otav</w:t>
      </w:r>
      <w:r w:rsidR="00273A89" w:rsidRPr="007E1471">
        <w:rPr>
          <w:rFonts w:ascii="Arial" w:hAnsi="Arial" w:cs="Arial"/>
          <w:i/>
          <w:iCs/>
          <w:lang w:val="de-DE"/>
        </w:rPr>
        <w:t>i</w:t>
      </w:r>
      <w:r w:rsidR="00074F84" w:rsidRPr="007E1471">
        <w:rPr>
          <w:rFonts w:ascii="Arial" w:hAnsi="Arial" w:cs="Arial"/>
          <w:lang w:val="de-DE"/>
        </w:rPr>
        <w:t>:</w:t>
      </w:r>
      <w:r w:rsidRPr="007E1471">
        <w:rPr>
          <w:rFonts w:ascii="Arial" w:hAnsi="Arial" w:cs="Arial"/>
          <w:lang w:val="de-DE"/>
        </w:rPr>
        <w:t>514J.</w:t>
      </w:r>
    </w:p>
  </w:footnote>
  <w:footnote w:id="274">
    <w:p w14:paraId="54F1B141" w14:textId="7B944CC6" w:rsidR="00C72D03" w:rsidRPr="007E1471" w:rsidRDefault="00C72D03" w:rsidP="009D3A31">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273A89" w:rsidRPr="007E1471">
        <w:rPr>
          <w:rFonts w:ascii="Arial" w:hAnsi="Arial" w:cs="Arial"/>
          <w:lang w:val="de-DE"/>
        </w:rPr>
        <w:tab/>
      </w:r>
      <w:r w:rsidRPr="007E1471">
        <w:rPr>
          <w:rFonts w:ascii="Arial" w:hAnsi="Arial" w:cs="Arial"/>
          <w:lang w:val="de-DE"/>
        </w:rPr>
        <w:t>Van der Walt 1989</w:t>
      </w:r>
      <w:r w:rsidR="00074F84" w:rsidRPr="007E1471">
        <w:rPr>
          <w:rFonts w:ascii="Arial" w:hAnsi="Arial" w:cs="Arial"/>
          <w:lang w:val="de-DE"/>
        </w:rPr>
        <w:t>:</w:t>
      </w:r>
      <w:r w:rsidRPr="007E1471">
        <w:rPr>
          <w:rFonts w:ascii="Arial" w:hAnsi="Arial" w:cs="Arial"/>
          <w:lang w:val="de-DE"/>
        </w:rPr>
        <w:t>451.</w:t>
      </w:r>
    </w:p>
  </w:footnote>
  <w:footnote w:id="275">
    <w:p w14:paraId="5729E61A" w14:textId="6F4AEF7D" w:rsidR="00C72D03" w:rsidRPr="00635917" w:rsidRDefault="00C72D03" w:rsidP="009D3A31">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73A89">
        <w:rPr>
          <w:rFonts w:ascii="Arial" w:hAnsi="Arial" w:cs="Arial"/>
        </w:rPr>
        <w:tab/>
      </w:r>
      <w:r w:rsidRPr="00635917">
        <w:rPr>
          <w:rFonts w:ascii="Arial" w:hAnsi="Arial" w:cs="Arial"/>
          <w:i/>
          <w:iCs/>
          <w:shd w:val="clear" w:color="auto" w:fill="FFFFFF"/>
        </w:rPr>
        <w:t>Zulu v Minister of Works, KwaZulu and Others</w:t>
      </w:r>
      <w:r w:rsidR="00074F84">
        <w:rPr>
          <w:rFonts w:ascii="Arial" w:hAnsi="Arial" w:cs="Arial"/>
          <w:shd w:val="clear" w:color="auto" w:fill="FFFFFF"/>
        </w:rPr>
        <w:t>:</w:t>
      </w:r>
      <w:r w:rsidRPr="00635917">
        <w:rPr>
          <w:rFonts w:ascii="Arial" w:hAnsi="Arial" w:cs="Arial"/>
          <w:shd w:val="clear" w:color="auto" w:fill="FFFFFF"/>
        </w:rPr>
        <w:t>188.</w:t>
      </w:r>
    </w:p>
  </w:footnote>
  <w:footnote w:id="276">
    <w:p w14:paraId="7D6D44F7" w14:textId="4DCEF1B4" w:rsidR="00C72D03" w:rsidRPr="00635917" w:rsidRDefault="00C72D03" w:rsidP="009D3A31">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73A89">
        <w:rPr>
          <w:rFonts w:ascii="Arial" w:hAnsi="Arial" w:cs="Arial"/>
        </w:rPr>
        <w:tab/>
      </w:r>
      <w:r w:rsidRPr="00635917">
        <w:rPr>
          <w:rFonts w:ascii="Arial" w:hAnsi="Arial" w:cs="Arial"/>
          <w:i/>
          <w:iCs/>
          <w:shd w:val="clear" w:color="auto" w:fill="FFFFFF"/>
        </w:rPr>
        <w:t>Plaatjie and Another v Olivier NO and Others</w:t>
      </w:r>
      <w:r w:rsidRPr="00635917">
        <w:rPr>
          <w:rFonts w:ascii="Arial" w:hAnsi="Arial" w:cs="Arial"/>
          <w:shd w:val="clear" w:color="auto" w:fill="FFFFFF"/>
        </w:rPr>
        <w:t xml:space="preserve"> 1993(2) SA 156 (O)</w:t>
      </w:r>
      <w:r w:rsidR="00074F84">
        <w:rPr>
          <w:rFonts w:ascii="Arial" w:hAnsi="Arial" w:cs="Arial"/>
          <w:shd w:val="clear" w:color="auto" w:fill="FFFFFF"/>
        </w:rPr>
        <w:t>:</w:t>
      </w:r>
      <w:r w:rsidRPr="00635917">
        <w:rPr>
          <w:rFonts w:ascii="Arial" w:hAnsi="Arial" w:cs="Arial"/>
          <w:shd w:val="clear" w:color="auto" w:fill="FFFFFF"/>
        </w:rPr>
        <w:t xml:space="preserve">159-160. </w:t>
      </w:r>
      <w:proofErr w:type="spellStart"/>
      <w:r w:rsidRPr="00635917">
        <w:rPr>
          <w:rFonts w:ascii="Arial" w:hAnsi="Arial" w:cs="Arial"/>
          <w:shd w:val="clear" w:color="auto" w:fill="FFFFFF"/>
        </w:rPr>
        <w:t>Boggenpoel</w:t>
      </w:r>
      <w:proofErr w:type="spellEnd"/>
      <w:r w:rsidRPr="00635917">
        <w:rPr>
          <w:rFonts w:ascii="Arial" w:hAnsi="Arial" w:cs="Arial"/>
          <w:shd w:val="clear" w:color="auto" w:fill="FFFFFF"/>
        </w:rPr>
        <w:t xml:space="preserve"> 2017</w:t>
      </w:r>
      <w:r w:rsidR="00074F84">
        <w:rPr>
          <w:rFonts w:ascii="Arial" w:hAnsi="Arial" w:cs="Arial"/>
          <w:shd w:val="clear" w:color="auto" w:fill="FFFFFF"/>
        </w:rPr>
        <w:t>:</w:t>
      </w:r>
      <w:r w:rsidRPr="00635917">
        <w:rPr>
          <w:rFonts w:ascii="Arial" w:hAnsi="Arial" w:cs="Arial"/>
          <w:shd w:val="clear" w:color="auto" w:fill="FFFFFF"/>
        </w:rPr>
        <w:t>113.</w:t>
      </w:r>
    </w:p>
  </w:footnote>
  <w:footnote w:id="277">
    <w:p w14:paraId="63FBA98B" w14:textId="78F20A87" w:rsidR="00C72D03" w:rsidRPr="00635917" w:rsidRDefault="00C72D03" w:rsidP="009D3A31">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73A89">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156.</w:t>
      </w:r>
    </w:p>
  </w:footnote>
  <w:footnote w:id="278">
    <w:p w14:paraId="48A43667" w14:textId="1EDF46F4" w:rsidR="00C72D03" w:rsidRPr="00635917" w:rsidRDefault="00C72D03" w:rsidP="009D3A31">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73A89">
        <w:rPr>
          <w:rFonts w:ascii="Arial" w:hAnsi="Arial" w:cs="Arial"/>
        </w:rPr>
        <w:tab/>
      </w:r>
      <w:r w:rsidRPr="00635917">
        <w:rPr>
          <w:rFonts w:ascii="Arial" w:hAnsi="Arial" w:cs="Arial"/>
          <w:i/>
          <w:iCs/>
          <w:shd w:val="clear" w:color="auto" w:fill="FFFFFF"/>
        </w:rPr>
        <w:t>Plaatjie and Another v Olivier NO and Others</w:t>
      </w:r>
      <w:r w:rsidRPr="00635917">
        <w:rPr>
          <w:rFonts w:ascii="Arial" w:hAnsi="Arial" w:cs="Arial"/>
          <w:shd w:val="clear" w:color="auto" w:fill="FFFFFF"/>
        </w:rPr>
        <w:t>(O)</w:t>
      </w:r>
      <w:r w:rsidR="00074F84">
        <w:rPr>
          <w:rFonts w:ascii="Arial" w:hAnsi="Arial" w:cs="Arial"/>
          <w:shd w:val="clear" w:color="auto" w:fill="FFFFFF"/>
        </w:rPr>
        <w:t>:</w:t>
      </w:r>
      <w:r w:rsidRPr="00635917">
        <w:rPr>
          <w:rFonts w:ascii="Arial" w:hAnsi="Arial" w:cs="Arial"/>
          <w:shd w:val="clear" w:color="auto" w:fill="FFFFFF"/>
        </w:rPr>
        <w:t>156.</w:t>
      </w:r>
    </w:p>
  </w:footnote>
  <w:footnote w:id="279">
    <w:p w14:paraId="5EC7DF63" w14:textId="23EF7497"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156.</w:t>
      </w:r>
    </w:p>
  </w:footnote>
  <w:footnote w:id="280">
    <w:p w14:paraId="34D1CE3B" w14:textId="3CD1818E" w:rsidR="00C72D03" w:rsidRPr="00635917" w:rsidRDefault="00C72D03" w:rsidP="005E62C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157.</w:t>
      </w:r>
    </w:p>
  </w:footnote>
  <w:footnote w:id="281">
    <w:p w14:paraId="6FE16B2C" w14:textId="061821AE"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160.</w:t>
      </w:r>
    </w:p>
  </w:footnote>
  <w:footnote w:id="282">
    <w:p w14:paraId="35D96A9A" w14:textId="7E3B5679" w:rsidR="00C72D03" w:rsidRPr="00635917" w:rsidRDefault="00C72D03" w:rsidP="005E62C9">
      <w:pPr>
        <w:spacing w:after="0" w:line="240" w:lineRule="auto"/>
        <w:ind w:left="357" w:hanging="357"/>
        <w:jc w:val="both"/>
        <w:rPr>
          <w:rFonts w:ascii="Arial" w:hAnsi="Arial" w:cs="Arial"/>
          <w:sz w:val="20"/>
          <w:szCs w:val="20"/>
        </w:rPr>
      </w:pPr>
      <w:r w:rsidRPr="00635917">
        <w:rPr>
          <w:rStyle w:val="FootnoteReference"/>
          <w:rFonts w:ascii="Arial" w:hAnsi="Arial" w:cs="Arial"/>
          <w:sz w:val="20"/>
          <w:szCs w:val="20"/>
        </w:rPr>
        <w:footnoteRef/>
      </w:r>
      <w:r w:rsidRPr="00635917">
        <w:rPr>
          <w:rFonts w:ascii="Arial" w:hAnsi="Arial" w:cs="Arial"/>
          <w:sz w:val="20"/>
          <w:szCs w:val="20"/>
        </w:rPr>
        <w:t xml:space="preserve"> </w:t>
      </w:r>
      <w:r w:rsidR="00B552E7">
        <w:rPr>
          <w:rFonts w:ascii="Arial" w:hAnsi="Arial" w:cs="Arial"/>
          <w:sz w:val="20"/>
          <w:szCs w:val="20"/>
        </w:rPr>
        <w:tab/>
      </w:r>
      <w:r w:rsidRPr="00635917">
        <w:rPr>
          <w:rFonts w:ascii="Arial" w:hAnsi="Arial" w:cs="Arial"/>
          <w:i/>
          <w:iCs/>
          <w:sz w:val="20"/>
          <w:szCs w:val="20"/>
          <w:shd w:val="clear" w:color="auto" w:fill="FFFFFF"/>
        </w:rPr>
        <w:t>Plaatjie and Another v Olivier NO and Others</w:t>
      </w:r>
      <w:r w:rsidR="00074F84">
        <w:rPr>
          <w:rFonts w:ascii="Arial" w:hAnsi="Arial" w:cs="Arial"/>
          <w:sz w:val="20"/>
          <w:szCs w:val="20"/>
          <w:shd w:val="clear" w:color="auto" w:fill="FFFFFF"/>
        </w:rPr>
        <w:t>:</w:t>
      </w:r>
      <w:r w:rsidRPr="00635917">
        <w:rPr>
          <w:rFonts w:ascii="Arial" w:hAnsi="Arial" w:cs="Arial"/>
          <w:sz w:val="20"/>
          <w:szCs w:val="20"/>
          <w:shd w:val="clear" w:color="auto" w:fill="FFFFFF"/>
        </w:rPr>
        <w:t xml:space="preserve">161. According to Van der Merwe, the applicant must show that he was divested of a formally exercised utility by identifying the right entitling him to the exercise of that utility. He posits that it is the relationship between the right and the exercise connected with that alleged right which </w:t>
      </w:r>
      <w:r w:rsidRPr="00635917">
        <w:rPr>
          <w:rFonts w:ascii="Arial" w:hAnsi="Arial" w:cs="Arial"/>
          <w:i/>
          <w:iCs/>
          <w:sz w:val="20"/>
          <w:szCs w:val="20"/>
          <w:shd w:val="clear" w:color="auto" w:fill="FFFFFF"/>
        </w:rPr>
        <w:t>prima facie</w:t>
      </w:r>
      <w:r w:rsidRPr="00635917">
        <w:rPr>
          <w:rFonts w:ascii="Arial" w:hAnsi="Arial" w:cs="Arial"/>
          <w:sz w:val="20"/>
          <w:szCs w:val="20"/>
          <w:shd w:val="clear" w:color="auto" w:fill="FFFFFF"/>
        </w:rPr>
        <w:t xml:space="preserve"> proves the possessory element required for a spoliation order (Van der Merwe 2014</w:t>
      </w:r>
      <w:r w:rsidR="00074F84">
        <w:rPr>
          <w:rFonts w:ascii="Arial" w:hAnsi="Arial" w:cs="Arial"/>
          <w:sz w:val="20"/>
          <w:szCs w:val="20"/>
          <w:shd w:val="clear" w:color="auto" w:fill="FFFFFF"/>
        </w:rPr>
        <w:t>:</w:t>
      </w:r>
      <w:r w:rsidRPr="00635917">
        <w:rPr>
          <w:rFonts w:ascii="Arial" w:hAnsi="Arial" w:cs="Arial"/>
          <w:sz w:val="20"/>
          <w:szCs w:val="20"/>
          <w:shd w:val="clear" w:color="auto" w:fill="FFFFFF"/>
        </w:rPr>
        <w:t>617</w:t>
      </w:r>
      <w:r w:rsidR="00670080">
        <w:rPr>
          <w:rFonts w:ascii="Arial" w:hAnsi="Arial" w:cs="Arial"/>
          <w:sz w:val="20"/>
          <w:szCs w:val="20"/>
          <w:shd w:val="clear" w:color="auto" w:fill="FFFFFF"/>
        </w:rPr>
        <w:t>,</w:t>
      </w:r>
      <w:r w:rsidRPr="00635917">
        <w:rPr>
          <w:rFonts w:ascii="Arial" w:hAnsi="Arial" w:cs="Arial"/>
          <w:sz w:val="20"/>
          <w:szCs w:val="20"/>
          <w:shd w:val="clear" w:color="auto" w:fill="FFFFFF"/>
        </w:rPr>
        <w:t xml:space="preserve"> 624).</w:t>
      </w:r>
    </w:p>
  </w:footnote>
  <w:footnote w:id="283">
    <w:p w14:paraId="70DB53E9" w14:textId="657BC5C1"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159. The area where the taps were installed did not form part of the applicant’s property.</w:t>
      </w:r>
    </w:p>
  </w:footnote>
  <w:footnote w:id="284">
    <w:p w14:paraId="292EF3CD" w14:textId="31A83D2A"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160.</w:t>
      </w:r>
    </w:p>
  </w:footnote>
  <w:footnote w:id="285">
    <w:p w14:paraId="094BD784" w14:textId="0233CDB9"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Plaatjie and Another v Olivier NO and Others</w:t>
      </w:r>
      <w:r w:rsidR="00074F84">
        <w:rPr>
          <w:rFonts w:ascii="Arial" w:hAnsi="Arial" w:cs="Arial"/>
          <w:shd w:val="clear" w:color="auto" w:fill="FFFFFF"/>
        </w:rPr>
        <w:t>:</w:t>
      </w:r>
      <w:r w:rsidRPr="00635917">
        <w:rPr>
          <w:rFonts w:ascii="Arial" w:hAnsi="Arial" w:cs="Arial"/>
          <w:shd w:val="clear" w:color="auto" w:fill="FFFFFF"/>
        </w:rPr>
        <w:t>160.</w:t>
      </w:r>
    </w:p>
  </w:footnote>
  <w:footnote w:id="286">
    <w:p w14:paraId="3D97A6D7" w14:textId="53DFC706"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552E7">
        <w:rPr>
          <w:rFonts w:ascii="Arial" w:hAnsi="Arial" w:cs="Arial"/>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624.</w:t>
      </w:r>
    </w:p>
  </w:footnote>
  <w:footnote w:id="287">
    <w:p w14:paraId="7DE84F4F" w14:textId="42CDFF65" w:rsidR="00C72D03" w:rsidRPr="00635917" w:rsidRDefault="00C72D03" w:rsidP="005E62C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10435">
        <w:rPr>
          <w:rFonts w:ascii="Arial" w:hAnsi="Arial" w:cs="Arial"/>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618.</w:t>
      </w:r>
    </w:p>
  </w:footnote>
  <w:footnote w:id="288">
    <w:p w14:paraId="5437754C" w14:textId="77CD7A1D"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10435">
        <w:rPr>
          <w:rFonts w:ascii="Arial" w:hAnsi="Arial" w:cs="Arial"/>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619.</w:t>
      </w:r>
    </w:p>
  </w:footnote>
  <w:footnote w:id="289">
    <w:p w14:paraId="6E9BB827" w14:textId="63D0E49B"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619.</w:t>
      </w:r>
    </w:p>
  </w:footnote>
  <w:footnote w:id="290">
    <w:p w14:paraId="66F49E4F" w14:textId="543D962C"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620.</w:t>
      </w:r>
    </w:p>
  </w:footnote>
  <w:footnote w:id="291">
    <w:p w14:paraId="516A3D80" w14:textId="7C25FA20"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623.</w:t>
      </w:r>
    </w:p>
  </w:footnote>
  <w:footnote w:id="292">
    <w:p w14:paraId="73C63A8D" w14:textId="0A28C68E"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623. It was further highlighted that if the protection afforded by the spoliation remedy subsumes the exercise of rights in the widest sense, then rights such as performance of contractual obligation</w:t>
      </w:r>
      <w:r w:rsidR="00BE5CE0">
        <w:rPr>
          <w:rFonts w:ascii="Arial" w:hAnsi="Arial" w:cs="Arial"/>
        </w:rPr>
        <w:t>s</w:t>
      </w:r>
      <w:r w:rsidRPr="00635917">
        <w:rPr>
          <w:rFonts w:ascii="Arial" w:hAnsi="Arial" w:cs="Arial"/>
        </w:rPr>
        <w:t xml:space="preserve"> would also be included, which would extend this remedy beyond its legitimate scope of application and </w:t>
      </w:r>
      <w:r w:rsidR="00210435" w:rsidRPr="00635917">
        <w:rPr>
          <w:rFonts w:ascii="Arial" w:hAnsi="Arial" w:cs="Arial"/>
        </w:rPr>
        <w:t>usefulness (</w:t>
      </w:r>
      <w:r w:rsidRPr="00635917">
        <w:rPr>
          <w:rFonts w:ascii="Arial" w:hAnsi="Arial" w:cs="Arial"/>
        </w:rPr>
        <w:t>624</w:t>
      </w:r>
      <w:r w:rsidR="00210435">
        <w:rPr>
          <w:rFonts w:ascii="Arial" w:hAnsi="Arial" w:cs="Arial"/>
        </w:rPr>
        <w:t>)</w:t>
      </w:r>
      <w:r w:rsidRPr="00635917">
        <w:rPr>
          <w:rFonts w:ascii="Arial" w:hAnsi="Arial" w:cs="Arial"/>
        </w:rPr>
        <w:t>.</w:t>
      </w:r>
    </w:p>
  </w:footnote>
  <w:footnote w:id="293">
    <w:p w14:paraId="16C13860" w14:textId="771D67F1"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624.</w:t>
      </w:r>
    </w:p>
  </w:footnote>
  <w:footnote w:id="294">
    <w:p w14:paraId="0D9C65D0" w14:textId="1C27E816"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00210435">
        <w:rPr>
          <w:rFonts w:ascii="Arial" w:hAnsi="Arial" w:cs="Arial"/>
          <w:i/>
          <w:iCs/>
          <w:shd w:val="clear" w:color="auto" w:fill="FFFFFF"/>
        </w:rPr>
        <w:t xml:space="preserve"> </w:t>
      </w:r>
      <w:r w:rsidR="00210435">
        <w:rPr>
          <w:rFonts w:ascii="Arial" w:hAnsi="Arial" w:cs="Arial"/>
          <w:i/>
          <w:iCs/>
          <w:shd w:val="clear" w:color="auto" w:fill="FFFFFF"/>
        </w:rPr>
        <w:tab/>
      </w:r>
      <w:r w:rsidRPr="00635917">
        <w:rPr>
          <w:rFonts w:ascii="Arial" w:hAnsi="Arial" w:cs="Arial"/>
          <w:i/>
          <w:iCs/>
          <w:shd w:val="clear" w:color="auto" w:fill="FFFFFF"/>
        </w:rPr>
        <w:t>Shoprite Checkers Ltd v Pangbourne Properties Ltd</w:t>
      </w:r>
      <w:r w:rsidR="00074F84">
        <w:rPr>
          <w:rFonts w:ascii="Arial" w:hAnsi="Arial" w:cs="Arial"/>
        </w:rPr>
        <w:t>:</w:t>
      </w:r>
      <w:r w:rsidRPr="00635917">
        <w:rPr>
          <w:rFonts w:ascii="Arial" w:hAnsi="Arial" w:cs="Arial"/>
        </w:rPr>
        <w:t>623- 624.</w:t>
      </w:r>
    </w:p>
  </w:footnote>
  <w:footnote w:id="295">
    <w:p w14:paraId="43FA931C" w14:textId="41F2C569"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10435">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 Otavi</w:t>
      </w:r>
      <w:r w:rsidR="00074F84">
        <w:rPr>
          <w:rFonts w:ascii="Arial" w:hAnsi="Arial" w:cs="Arial"/>
        </w:rPr>
        <w:t>:</w:t>
      </w:r>
      <w:r w:rsidRPr="00635917">
        <w:rPr>
          <w:rFonts w:ascii="Arial" w:hAnsi="Arial" w:cs="Arial"/>
        </w:rPr>
        <w:t>514D.</w:t>
      </w:r>
    </w:p>
  </w:footnote>
  <w:footnote w:id="296">
    <w:p w14:paraId="7EEA7C00" w14:textId="379B638C" w:rsidR="00C72D03" w:rsidRPr="00635917" w:rsidRDefault="00C72D03"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210435">
        <w:rPr>
          <w:rFonts w:ascii="Arial" w:hAnsi="Arial" w:cs="Arial"/>
        </w:rPr>
        <w:tab/>
      </w:r>
      <w:r w:rsidRPr="00635917">
        <w:rPr>
          <w:rFonts w:ascii="Arial" w:hAnsi="Arial" w:cs="Arial"/>
          <w:i/>
          <w:iCs/>
        </w:rPr>
        <w:t>Bon Quelle (</w:t>
      </w:r>
      <w:proofErr w:type="spellStart"/>
      <w:r w:rsidRPr="00635917">
        <w:rPr>
          <w:rFonts w:ascii="Arial" w:hAnsi="Arial" w:cs="Arial"/>
          <w:i/>
          <w:iCs/>
        </w:rPr>
        <w:t>Edms</w:t>
      </w:r>
      <w:proofErr w:type="spellEnd"/>
      <w:r w:rsidRPr="00635917">
        <w:rPr>
          <w:rFonts w:ascii="Arial" w:hAnsi="Arial" w:cs="Arial"/>
          <w:i/>
          <w:iCs/>
        </w:rPr>
        <w:t xml:space="preserve">) </w:t>
      </w:r>
      <w:proofErr w:type="spellStart"/>
      <w:r w:rsidRPr="00635917">
        <w:rPr>
          <w:rFonts w:ascii="Arial" w:hAnsi="Arial" w:cs="Arial"/>
          <w:i/>
          <w:iCs/>
        </w:rPr>
        <w:t>Bpk</w:t>
      </w:r>
      <w:proofErr w:type="spellEnd"/>
      <w:r w:rsidRPr="00635917">
        <w:rPr>
          <w:rFonts w:ascii="Arial" w:hAnsi="Arial" w:cs="Arial"/>
          <w:i/>
          <w:iCs/>
        </w:rPr>
        <w:t xml:space="preserve"> v </w:t>
      </w:r>
      <w:proofErr w:type="spellStart"/>
      <w:r w:rsidRPr="00635917">
        <w:rPr>
          <w:rFonts w:ascii="Arial" w:hAnsi="Arial" w:cs="Arial"/>
          <w:i/>
          <w:iCs/>
        </w:rPr>
        <w:t>Munisipaliteit</w:t>
      </w:r>
      <w:proofErr w:type="spellEnd"/>
      <w:r w:rsidRPr="00635917">
        <w:rPr>
          <w:rFonts w:ascii="Arial" w:hAnsi="Arial" w:cs="Arial"/>
          <w:i/>
          <w:iCs/>
        </w:rPr>
        <w:t xml:space="preserve"> van Otavi</w:t>
      </w:r>
      <w:r w:rsidR="00074F84">
        <w:rPr>
          <w:rFonts w:ascii="Arial" w:hAnsi="Arial" w:cs="Arial"/>
        </w:rPr>
        <w:t>:</w:t>
      </w:r>
      <w:r w:rsidRPr="00635917">
        <w:rPr>
          <w:rFonts w:ascii="Arial" w:hAnsi="Arial" w:cs="Arial"/>
        </w:rPr>
        <w:t>515C-516C.</w:t>
      </w:r>
    </w:p>
  </w:footnote>
  <w:footnote w:id="297">
    <w:p w14:paraId="01AA0F90" w14:textId="6EE8A02C" w:rsidR="00A63A08" w:rsidRDefault="00A63A08">
      <w:pPr>
        <w:pStyle w:val="FootnoteText"/>
      </w:pPr>
      <w:r>
        <w:rPr>
          <w:rStyle w:val="FootnoteReference"/>
        </w:rPr>
        <w:footnoteRef/>
      </w:r>
      <w:r>
        <w:t xml:space="preserve"> </w:t>
      </w:r>
      <w:r w:rsidR="00DA0E28">
        <w:t xml:space="preserve">  </w:t>
      </w:r>
      <w:proofErr w:type="spellStart"/>
      <w:r w:rsidR="00DA0E28" w:rsidRPr="00FE4D11">
        <w:rPr>
          <w:rFonts w:ascii="Arial" w:hAnsi="Arial" w:cs="Arial"/>
          <w:i/>
          <w:iCs/>
        </w:rPr>
        <w:t>Constitution</w:t>
      </w:r>
      <w:r w:rsidR="00DA0E28">
        <w:rPr>
          <w:rFonts w:ascii="Arial" w:hAnsi="Arial" w:cs="Arial"/>
          <w:iCs/>
        </w:rPr>
        <w:t>:</w:t>
      </w:r>
      <w:r w:rsidR="00DA0E28" w:rsidRPr="00FE4D11">
        <w:rPr>
          <w:rFonts w:ascii="Arial" w:hAnsi="Arial" w:cs="Arial"/>
          <w:iCs/>
        </w:rPr>
        <w:t>sec</w:t>
      </w:r>
      <w:proofErr w:type="spellEnd"/>
      <w:r w:rsidR="00DA0E28" w:rsidRPr="00FE4D11">
        <w:rPr>
          <w:rFonts w:ascii="Arial" w:hAnsi="Arial" w:cs="Arial"/>
          <w:iCs/>
        </w:rPr>
        <w:t xml:space="preserve"> </w:t>
      </w:r>
      <w:r w:rsidR="00DA0E28" w:rsidRPr="00635917">
        <w:rPr>
          <w:rFonts w:ascii="Arial" w:hAnsi="Arial" w:cs="Arial"/>
          <w:iCs/>
        </w:rPr>
        <w:t>1.</w:t>
      </w:r>
    </w:p>
  </w:footnote>
  <w:footnote w:id="298">
    <w:p w14:paraId="5638A6D5" w14:textId="5F46C7A7"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02662">
        <w:rPr>
          <w:rFonts w:ascii="Arial" w:hAnsi="Arial" w:cs="Arial"/>
        </w:rPr>
        <w:tab/>
      </w:r>
      <w:r w:rsidRPr="00635917">
        <w:rPr>
          <w:rFonts w:ascii="Arial" w:hAnsi="Arial" w:cs="Arial"/>
          <w:lang w:val="en-GB"/>
        </w:rPr>
        <w:t>Pienaar 2010</w:t>
      </w:r>
      <w:r w:rsidR="00074F84">
        <w:rPr>
          <w:rFonts w:ascii="Arial" w:hAnsi="Arial" w:cs="Arial"/>
          <w:lang w:val="en-GB"/>
        </w:rPr>
        <w:t>:</w:t>
      </w:r>
      <w:r w:rsidRPr="00635917">
        <w:rPr>
          <w:rFonts w:ascii="Arial" w:hAnsi="Arial" w:cs="Arial"/>
          <w:lang w:val="en-GB"/>
        </w:rPr>
        <w:t>33.</w:t>
      </w:r>
    </w:p>
  </w:footnote>
  <w:footnote w:id="299">
    <w:p w14:paraId="566514A4" w14:textId="39662AAF"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02662">
        <w:rPr>
          <w:rFonts w:ascii="Arial" w:hAnsi="Arial" w:cs="Arial"/>
        </w:rPr>
        <w:tab/>
      </w:r>
      <w:r w:rsidRPr="00635917">
        <w:rPr>
          <w:rFonts w:ascii="Arial" w:hAnsi="Arial" w:cs="Arial"/>
          <w:lang w:val="en-GB"/>
        </w:rPr>
        <w:t>Pienaar 2010</w:t>
      </w:r>
      <w:r w:rsidR="00074F84">
        <w:rPr>
          <w:rFonts w:ascii="Arial" w:hAnsi="Arial" w:cs="Arial"/>
          <w:lang w:val="en-GB"/>
        </w:rPr>
        <w:t>:</w:t>
      </w:r>
      <w:r w:rsidRPr="00635917">
        <w:rPr>
          <w:rFonts w:ascii="Arial" w:hAnsi="Arial" w:cs="Arial"/>
          <w:lang w:val="en-GB"/>
        </w:rPr>
        <w:t>35.</w:t>
      </w:r>
    </w:p>
  </w:footnote>
  <w:footnote w:id="300">
    <w:p w14:paraId="7ED5BA8E" w14:textId="1F804D53"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02662">
        <w:rPr>
          <w:rFonts w:ascii="Arial" w:hAnsi="Arial" w:cs="Arial"/>
        </w:rPr>
        <w:tab/>
      </w:r>
      <w:r w:rsidRPr="00635917">
        <w:rPr>
          <w:rFonts w:ascii="Arial" w:hAnsi="Arial" w:cs="Arial"/>
          <w:lang w:val="en-GB"/>
        </w:rPr>
        <w:t>Pienaar 2010</w:t>
      </w:r>
      <w:r w:rsidR="00074F84">
        <w:rPr>
          <w:rFonts w:ascii="Arial" w:hAnsi="Arial" w:cs="Arial"/>
          <w:lang w:val="en-GB"/>
        </w:rPr>
        <w:t>:</w:t>
      </w:r>
      <w:r w:rsidRPr="00635917">
        <w:rPr>
          <w:rFonts w:ascii="Arial" w:hAnsi="Arial" w:cs="Arial"/>
          <w:lang w:val="en-GB"/>
        </w:rPr>
        <w:t>35.</w:t>
      </w:r>
    </w:p>
  </w:footnote>
  <w:footnote w:id="301">
    <w:p w14:paraId="6862D7C3" w14:textId="18232326"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A02662">
        <w:rPr>
          <w:rFonts w:ascii="Arial" w:hAnsi="Arial" w:cs="Arial"/>
        </w:rPr>
        <w:tab/>
      </w:r>
      <w:r w:rsidRPr="00635917">
        <w:rPr>
          <w:rFonts w:ascii="Arial" w:hAnsi="Arial" w:cs="Arial"/>
          <w:lang w:val="en-GB"/>
        </w:rPr>
        <w:t>Pienaar 2010</w:t>
      </w:r>
      <w:r w:rsidR="00074F84">
        <w:rPr>
          <w:rFonts w:ascii="Arial" w:hAnsi="Arial" w:cs="Arial"/>
          <w:lang w:val="en-GB"/>
        </w:rPr>
        <w:t>:</w:t>
      </w:r>
      <w:r w:rsidRPr="00635917">
        <w:rPr>
          <w:rFonts w:ascii="Arial" w:hAnsi="Arial" w:cs="Arial"/>
          <w:lang w:val="en-GB"/>
        </w:rPr>
        <w:t>35-36.</w:t>
      </w:r>
    </w:p>
  </w:footnote>
  <w:footnote w:id="302">
    <w:p w14:paraId="32FC4F8C" w14:textId="170832E9" w:rsidR="00761FF4" w:rsidRPr="00635917" w:rsidRDefault="00761FF4" w:rsidP="00E63179">
      <w:pPr>
        <w:pStyle w:val="FootnoteText"/>
        <w:ind w:left="357" w:hanging="357"/>
        <w:jc w:val="both"/>
      </w:pPr>
      <w:r w:rsidRPr="00635917">
        <w:rPr>
          <w:rStyle w:val="FootnoteReference"/>
        </w:rPr>
        <w:footnoteRef/>
      </w:r>
      <w:r w:rsidRPr="00635917">
        <w:t xml:space="preserve"> </w:t>
      </w:r>
      <w:r w:rsidR="00A02662">
        <w:tab/>
      </w:r>
      <w:r w:rsidRPr="00635917">
        <w:rPr>
          <w:rFonts w:ascii="Arial" w:hAnsi="Arial" w:cs="Arial"/>
          <w:lang w:val="en-GB"/>
        </w:rPr>
        <w:t>Pienaar 2010</w:t>
      </w:r>
      <w:r w:rsidR="00074F84">
        <w:rPr>
          <w:rFonts w:ascii="Arial" w:hAnsi="Arial" w:cs="Arial"/>
          <w:lang w:val="en-GB"/>
        </w:rPr>
        <w:t>:</w:t>
      </w:r>
      <w:r w:rsidRPr="00635917">
        <w:rPr>
          <w:rFonts w:ascii="Arial" w:hAnsi="Arial" w:cs="Arial"/>
          <w:lang w:val="en-GB"/>
        </w:rPr>
        <w:t>36.</w:t>
      </w:r>
    </w:p>
  </w:footnote>
  <w:footnote w:id="303">
    <w:p w14:paraId="1484836E" w14:textId="3095E0C6" w:rsidR="00761FF4" w:rsidRPr="00635917" w:rsidRDefault="00761FF4" w:rsidP="00E63179">
      <w:pPr>
        <w:pStyle w:val="FootnoteText"/>
        <w:ind w:left="357" w:hanging="357"/>
        <w:jc w:val="both"/>
      </w:pPr>
      <w:r w:rsidRPr="00635917">
        <w:rPr>
          <w:rStyle w:val="FootnoteReference"/>
        </w:rPr>
        <w:footnoteRef/>
      </w:r>
      <w:r w:rsidRPr="00635917">
        <w:t xml:space="preserve"> </w:t>
      </w:r>
      <w:r w:rsidR="00A02662">
        <w:tab/>
      </w:r>
      <w:r w:rsidRPr="00635917">
        <w:rPr>
          <w:rFonts w:ascii="Arial" w:hAnsi="Arial" w:cs="Arial"/>
          <w:i/>
          <w:iCs/>
        </w:rPr>
        <w:t xml:space="preserve">First National Bank of SA Ltd t/a </w:t>
      </w:r>
      <w:proofErr w:type="spellStart"/>
      <w:r w:rsidRPr="00635917">
        <w:rPr>
          <w:rFonts w:ascii="Arial" w:hAnsi="Arial" w:cs="Arial"/>
          <w:i/>
          <w:iCs/>
        </w:rPr>
        <w:t>Wesbank</w:t>
      </w:r>
      <w:proofErr w:type="spellEnd"/>
      <w:r w:rsidRPr="00635917">
        <w:rPr>
          <w:rFonts w:ascii="Arial" w:hAnsi="Arial" w:cs="Arial"/>
          <w:i/>
          <w:iCs/>
        </w:rPr>
        <w:t xml:space="preserve"> v Commissioner, South African Revenue Service; First National Bank of SA Ltd t/a </w:t>
      </w:r>
      <w:proofErr w:type="spellStart"/>
      <w:r w:rsidRPr="00635917">
        <w:rPr>
          <w:rFonts w:ascii="Arial" w:hAnsi="Arial" w:cs="Arial"/>
          <w:i/>
          <w:iCs/>
        </w:rPr>
        <w:t>Wesbank</w:t>
      </w:r>
      <w:proofErr w:type="spellEnd"/>
      <w:r w:rsidRPr="00635917">
        <w:rPr>
          <w:rFonts w:ascii="Arial" w:hAnsi="Arial" w:cs="Arial"/>
          <w:i/>
          <w:iCs/>
        </w:rPr>
        <w:t xml:space="preserve"> v Minister of Finance</w:t>
      </w:r>
      <w:r w:rsidRPr="00635917">
        <w:rPr>
          <w:rFonts w:ascii="Arial" w:hAnsi="Arial" w:cs="Arial"/>
        </w:rPr>
        <w:t xml:space="preserve"> 2002 (4) SA 768 (CC)</w:t>
      </w:r>
      <w:r w:rsidR="00DC67AC">
        <w:rPr>
          <w:rFonts w:ascii="Arial" w:hAnsi="Arial" w:cs="Arial"/>
        </w:rPr>
        <w:t xml:space="preserve">:par. </w:t>
      </w:r>
      <w:r w:rsidRPr="00635917">
        <w:rPr>
          <w:rFonts w:ascii="Arial" w:hAnsi="Arial" w:cs="Arial"/>
        </w:rPr>
        <w:t>15.</w:t>
      </w:r>
    </w:p>
  </w:footnote>
  <w:footnote w:id="304">
    <w:p w14:paraId="3AB2D712" w14:textId="11A26FE9" w:rsidR="00761FF4" w:rsidRPr="00635917" w:rsidRDefault="00761FF4" w:rsidP="00E63179">
      <w:pPr>
        <w:pStyle w:val="FootnoteText"/>
        <w:ind w:left="357" w:hanging="357"/>
        <w:jc w:val="both"/>
      </w:pPr>
      <w:r w:rsidRPr="00635917">
        <w:rPr>
          <w:rStyle w:val="FootnoteReference"/>
        </w:rPr>
        <w:footnoteRef/>
      </w:r>
      <w:r w:rsidRPr="00635917">
        <w:t xml:space="preserve"> </w:t>
      </w:r>
      <w:r w:rsidR="00FF7681">
        <w:tab/>
      </w:r>
      <w:r w:rsidRPr="00635917">
        <w:rPr>
          <w:rFonts w:ascii="Arial" w:hAnsi="Arial" w:cs="Arial"/>
          <w:iCs/>
        </w:rPr>
        <w:t xml:space="preserve">Van der </w:t>
      </w:r>
      <w:r w:rsidR="00FF7681" w:rsidRPr="00635917">
        <w:rPr>
          <w:rFonts w:ascii="Arial" w:hAnsi="Arial" w:cs="Arial"/>
          <w:iCs/>
        </w:rPr>
        <w:t xml:space="preserve">Walt </w:t>
      </w:r>
      <w:r w:rsidRPr="00635917">
        <w:rPr>
          <w:rFonts w:ascii="Arial" w:hAnsi="Arial" w:cs="Arial"/>
          <w:iCs/>
        </w:rPr>
        <w:t>2011</w:t>
      </w:r>
      <w:r w:rsidR="00074F84">
        <w:rPr>
          <w:rFonts w:ascii="Arial" w:hAnsi="Arial" w:cs="Arial"/>
          <w:iCs/>
        </w:rPr>
        <w:t>:</w:t>
      </w:r>
      <w:r w:rsidRPr="00635917">
        <w:rPr>
          <w:rFonts w:ascii="Arial" w:hAnsi="Arial" w:cs="Arial"/>
          <w:iCs/>
        </w:rPr>
        <w:t>93.</w:t>
      </w:r>
      <w:r w:rsidRPr="00635917">
        <w:rPr>
          <w:rFonts w:ascii="Arial" w:hAnsi="Arial" w:cs="Arial"/>
          <w:i/>
        </w:rPr>
        <w:t xml:space="preserve"> </w:t>
      </w:r>
      <w:r w:rsidRPr="00635917">
        <w:rPr>
          <w:rFonts w:ascii="Arial" w:hAnsi="Arial" w:cs="Arial"/>
          <w:lang w:val="en-GB"/>
        </w:rPr>
        <w:t xml:space="preserve">He states that the </w:t>
      </w:r>
      <w:proofErr w:type="spellStart"/>
      <w:r w:rsidRPr="00635917">
        <w:rPr>
          <w:rFonts w:ascii="Arial" w:hAnsi="Arial" w:cs="Arial"/>
          <w:lang w:val="en-GB"/>
        </w:rPr>
        <w:t>dephysicalisation</w:t>
      </w:r>
      <w:proofErr w:type="spellEnd"/>
      <w:r w:rsidRPr="00635917">
        <w:rPr>
          <w:rFonts w:ascii="Arial" w:hAnsi="Arial" w:cs="Arial"/>
          <w:lang w:val="en-GB"/>
        </w:rPr>
        <w:t xml:space="preserve"> of property is an economic reality previously recognised in South African private law and must,</w:t>
      </w:r>
      <w:r w:rsidRPr="00635917">
        <w:rPr>
          <w:rFonts w:ascii="Arial" w:hAnsi="Arial" w:cs="Arial"/>
          <w:sz w:val="24"/>
          <w:szCs w:val="24"/>
          <w:lang w:val="en-GB"/>
        </w:rPr>
        <w:t xml:space="preserve"> </w:t>
      </w:r>
      <w:r w:rsidRPr="00635917">
        <w:rPr>
          <w:rFonts w:ascii="Arial" w:hAnsi="Arial" w:cs="Arial"/>
          <w:lang w:val="en-GB"/>
        </w:rPr>
        <w:t>therefore, not be ignored in constitutional law. He suggests that these rights can be recognised and protected by enquiring whether they have a constitutionally relevant value and whether such value came into force in accordance with applicable principles of the law (</w:t>
      </w:r>
      <w:r w:rsidRPr="00635917">
        <w:rPr>
          <w:rFonts w:ascii="Arial" w:hAnsi="Arial" w:cs="Arial"/>
          <w:iCs/>
        </w:rPr>
        <w:t>Van der Walt 2011</w:t>
      </w:r>
      <w:r w:rsidR="00074F84">
        <w:rPr>
          <w:rFonts w:ascii="Arial" w:hAnsi="Arial" w:cs="Arial"/>
          <w:iCs/>
        </w:rPr>
        <w:t>:</w:t>
      </w:r>
      <w:r w:rsidRPr="00635917">
        <w:rPr>
          <w:rFonts w:ascii="Arial" w:hAnsi="Arial" w:cs="Arial"/>
          <w:iCs/>
        </w:rPr>
        <w:t>96).</w:t>
      </w:r>
    </w:p>
  </w:footnote>
  <w:footnote w:id="305">
    <w:p w14:paraId="79F1ABA5" w14:textId="626EA0A1" w:rsidR="00761FF4" w:rsidRPr="007E1471" w:rsidRDefault="00761FF4"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FF7681" w:rsidRPr="007E1471">
        <w:rPr>
          <w:rFonts w:ascii="Arial" w:hAnsi="Arial" w:cs="Arial"/>
          <w:lang w:val="de-DE"/>
        </w:rPr>
        <w:tab/>
      </w:r>
      <w:r w:rsidRPr="007E1471">
        <w:rPr>
          <w:rFonts w:ascii="Arial" w:hAnsi="Arial" w:cs="Arial"/>
          <w:lang w:val="de-DE"/>
        </w:rPr>
        <w:t>Pienaar 2010</w:t>
      </w:r>
      <w:r w:rsidR="00074F84" w:rsidRPr="007E1471">
        <w:rPr>
          <w:rFonts w:ascii="Arial" w:hAnsi="Arial" w:cs="Arial"/>
          <w:lang w:val="de-DE"/>
        </w:rPr>
        <w:t>:</w:t>
      </w:r>
      <w:r w:rsidRPr="007E1471">
        <w:rPr>
          <w:rFonts w:ascii="Arial" w:hAnsi="Arial" w:cs="Arial"/>
          <w:lang w:val="de-DE"/>
        </w:rPr>
        <w:t>37.</w:t>
      </w:r>
    </w:p>
  </w:footnote>
  <w:footnote w:id="306">
    <w:p w14:paraId="4752DE8A" w14:textId="68215C59" w:rsidR="00761FF4" w:rsidRPr="007E1471" w:rsidRDefault="00761FF4" w:rsidP="00E63179">
      <w:pPr>
        <w:pStyle w:val="FootnoteText"/>
        <w:ind w:left="357" w:hanging="357"/>
        <w:jc w:val="both"/>
        <w:rPr>
          <w:lang w:val="de-DE"/>
        </w:rPr>
      </w:pPr>
      <w:r w:rsidRPr="00635917">
        <w:rPr>
          <w:rStyle w:val="FootnoteReference"/>
        </w:rPr>
        <w:footnoteRef/>
      </w:r>
      <w:r w:rsidRPr="007E1471">
        <w:rPr>
          <w:lang w:val="de-DE"/>
        </w:rPr>
        <w:t xml:space="preserve"> </w:t>
      </w:r>
      <w:r w:rsidR="00FF7681" w:rsidRPr="007E1471">
        <w:rPr>
          <w:lang w:val="de-DE"/>
        </w:rPr>
        <w:tab/>
      </w:r>
      <w:r w:rsidRPr="007E1471">
        <w:rPr>
          <w:rFonts w:ascii="Arial" w:hAnsi="Arial" w:cs="Arial"/>
          <w:iCs/>
          <w:lang w:val="de-DE"/>
        </w:rPr>
        <w:t>Van der Walt 2011</w:t>
      </w:r>
      <w:r w:rsidR="00074F84" w:rsidRPr="007E1471">
        <w:rPr>
          <w:rFonts w:ascii="Arial" w:hAnsi="Arial" w:cs="Arial"/>
          <w:iCs/>
          <w:lang w:val="de-DE"/>
        </w:rPr>
        <w:t>:</w:t>
      </w:r>
      <w:r w:rsidRPr="007E1471">
        <w:rPr>
          <w:rFonts w:ascii="Arial" w:hAnsi="Arial" w:cs="Arial"/>
          <w:iCs/>
          <w:lang w:val="de-DE"/>
        </w:rPr>
        <w:t>96.</w:t>
      </w:r>
    </w:p>
  </w:footnote>
  <w:footnote w:id="307">
    <w:p w14:paraId="513028E0" w14:textId="62E0BAE4" w:rsidR="00761FF4" w:rsidRPr="007E1471" w:rsidRDefault="00761FF4" w:rsidP="00E63179">
      <w:pPr>
        <w:pStyle w:val="FootnoteText"/>
        <w:ind w:left="357" w:hanging="357"/>
        <w:jc w:val="both"/>
        <w:rPr>
          <w:rFonts w:ascii="Arial" w:hAnsi="Arial" w:cs="Arial"/>
          <w:lang w:val="de-DE"/>
        </w:rPr>
      </w:pPr>
      <w:r w:rsidRPr="00635917">
        <w:rPr>
          <w:rStyle w:val="FootnoteReference"/>
          <w:rFonts w:ascii="Arial" w:hAnsi="Arial" w:cs="Arial"/>
        </w:rPr>
        <w:footnoteRef/>
      </w:r>
      <w:r w:rsidRPr="007E1471">
        <w:rPr>
          <w:rFonts w:ascii="Arial" w:hAnsi="Arial" w:cs="Arial"/>
          <w:lang w:val="de-DE"/>
        </w:rPr>
        <w:t xml:space="preserve"> </w:t>
      </w:r>
      <w:r w:rsidR="00FF7681" w:rsidRPr="007E1471">
        <w:rPr>
          <w:rFonts w:ascii="Arial" w:hAnsi="Arial" w:cs="Arial"/>
          <w:lang w:val="de-DE"/>
        </w:rPr>
        <w:tab/>
      </w:r>
      <w:r w:rsidRPr="007E1471">
        <w:rPr>
          <w:rFonts w:ascii="Arial" w:hAnsi="Arial" w:cs="Arial"/>
          <w:lang w:val="de-DE"/>
        </w:rPr>
        <w:t>Freedman 2015</w:t>
      </w:r>
      <w:r w:rsidR="00074F84" w:rsidRPr="007E1471">
        <w:rPr>
          <w:rFonts w:ascii="Arial" w:hAnsi="Arial" w:cs="Arial"/>
          <w:lang w:val="de-DE"/>
        </w:rPr>
        <w:t>:</w:t>
      </w:r>
      <w:r w:rsidRPr="007E1471">
        <w:rPr>
          <w:rFonts w:ascii="Arial" w:hAnsi="Arial" w:cs="Arial"/>
          <w:lang w:val="de-DE"/>
        </w:rPr>
        <w:t>200.</w:t>
      </w:r>
    </w:p>
  </w:footnote>
  <w:footnote w:id="308">
    <w:p w14:paraId="3F9D03EC" w14:textId="57735649"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rPr>
        <w:t>Freedman 2015</w:t>
      </w:r>
      <w:r w:rsidR="00074F84">
        <w:rPr>
          <w:rFonts w:ascii="Arial" w:hAnsi="Arial" w:cs="Arial"/>
        </w:rPr>
        <w:t>:</w:t>
      </w:r>
      <w:r w:rsidRPr="00635917">
        <w:rPr>
          <w:rFonts w:ascii="Arial" w:hAnsi="Arial" w:cs="Arial"/>
        </w:rPr>
        <w:t xml:space="preserve">200. This discussion will also consider specific constitutional arguments </w:t>
      </w:r>
      <w:r w:rsidR="00FF7681" w:rsidRPr="00635917">
        <w:rPr>
          <w:rFonts w:ascii="Arial" w:hAnsi="Arial" w:cs="Arial"/>
        </w:rPr>
        <w:t>to</w:t>
      </w:r>
      <w:r w:rsidRPr="00635917">
        <w:rPr>
          <w:rFonts w:ascii="Arial" w:hAnsi="Arial" w:cs="Arial"/>
        </w:rPr>
        <w:t xml:space="preserve"> clarify the constitutional position in respect of water and electricity supply. For instance, Muller argues that the electricity supply is a constitutive element of adequate housing as meant in section 26(1) of the </w:t>
      </w:r>
      <w:r w:rsidR="00522F36" w:rsidRPr="0053136E">
        <w:rPr>
          <w:rFonts w:ascii="Arial" w:hAnsi="Arial" w:cs="Arial"/>
          <w:i/>
          <w:iCs/>
        </w:rPr>
        <w:t>C</w:t>
      </w:r>
      <w:r w:rsidRPr="0053136E">
        <w:rPr>
          <w:rFonts w:ascii="Arial" w:hAnsi="Arial" w:cs="Arial"/>
          <w:i/>
          <w:iCs/>
        </w:rPr>
        <w:t>onstitution</w:t>
      </w:r>
      <w:r w:rsidRPr="00635917">
        <w:rPr>
          <w:rFonts w:ascii="Arial" w:hAnsi="Arial" w:cs="Arial"/>
        </w:rPr>
        <w:t xml:space="preserve"> (Muller 2019</w:t>
      </w:r>
      <w:r w:rsidR="00074F84">
        <w:rPr>
          <w:rFonts w:ascii="Arial" w:hAnsi="Arial" w:cs="Arial"/>
        </w:rPr>
        <w:t>:</w:t>
      </w:r>
      <w:r w:rsidRPr="00635917">
        <w:rPr>
          <w:rFonts w:ascii="Arial" w:hAnsi="Arial" w:cs="Arial"/>
        </w:rPr>
        <w:t>3-4). Therefore, according to Marais, the spoliation remedy indirectly protects the limitation of section 26(1), i.e., the right to adequate housing, by ordering the restoration of the electricity supply where it was disconnected through an unlawful act of self-help (</w:t>
      </w:r>
      <w:r w:rsidR="00AC7C24">
        <w:rPr>
          <w:rFonts w:ascii="Arial" w:hAnsi="Arial" w:cs="Arial"/>
        </w:rPr>
        <w:t>Marais 2021b</w:t>
      </w:r>
      <w:r w:rsidR="00074F84">
        <w:rPr>
          <w:rFonts w:ascii="Arial" w:hAnsi="Arial" w:cs="Arial"/>
        </w:rPr>
        <w:t>:</w:t>
      </w:r>
      <w:r w:rsidRPr="00635917">
        <w:rPr>
          <w:rFonts w:ascii="Arial" w:hAnsi="Arial" w:cs="Arial"/>
        </w:rPr>
        <w:t>98).</w:t>
      </w:r>
    </w:p>
  </w:footnote>
  <w:footnote w:id="309">
    <w:p w14:paraId="05AC59D1" w14:textId="1FA9837D" w:rsidR="00761FF4" w:rsidRPr="009479BA"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9479BA">
        <w:rPr>
          <w:rFonts w:ascii="Arial" w:hAnsi="Arial" w:cs="Arial"/>
        </w:rPr>
        <w:t>Freedman 2015</w:t>
      </w:r>
      <w:r w:rsidR="00074F84" w:rsidRPr="009479BA">
        <w:rPr>
          <w:rFonts w:ascii="Arial" w:hAnsi="Arial" w:cs="Arial"/>
        </w:rPr>
        <w:t>:</w:t>
      </w:r>
      <w:r w:rsidRPr="009479BA">
        <w:rPr>
          <w:rFonts w:ascii="Arial" w:hAnsi="Arial" w:cs="Arial"/>
        </w:rPr>
        <w:t xml:space="preserve">199; Muller </w:t>
      </w:r>
      <w:r w:rsidRPr="009479BA">
        <w:rPr>
          <w:rFonts w:ascii="Arial" w:hAnsi="Arial" w:cs="Arial"/>
          <w:i/>
          <w:iCs/>
        </w:rPr>
        <w:t>et al</w:t>
      </w:r>
      <w:r w:rsidRPr="009479BA">
        <w:rPr>
          <w:rFonts w:ascii="Arial" w:hAnsi="Arial" w:cs="Arial"/>
        </w:rPr>
        <w:t xml:space="preserve"> 2019</w:t>
      </w:r>
      <w:r w:rsidR="00074F84" w:rsidRPr="009479BA">
        <w:rPr>
          <w:rFonts w:ascii="Arial" w:hAnsi="Arial" w:cs="Arial"/>
        </w:rPr>
        <w:t>:</w:t>
      </w:r>
      <w:r w:rsidRPr="009479BA">
        <w:rPr>
          <w:rFonts w:ascii="Arial" w:hAnsi="Arial" w:cs="Arial"/>
        </w:rPr>
        <w:t>201.</w:t>
      </w:r>
    </w:p>
  </w:footnote>
  <w:footnote w:id="310">
    <w:p w14:paraId="3FFE5BAD" w14:textId="17A4D82A" w:rsidR="00761FF4" w:rsidRPr="00635917" w:rsidRDefault="00761FF4" w:rsidP="00E63179">
      <w:pPr>
        <w:pStyle w:val="FootnoteText"/>
        <w:ind w:left="357" w:hanging="357"/>
        <w:jc w:val="both"/>
        <w:rPr>
          <w:rFonts w:ascii="Arial" w:hAnsi="Arial" w:cs="Arial"/>
        </w:rPr>
      </w:pPr>
      <w:r w:rsidRPr="009479BA">
        <w:rPr>
          <w:rStyle w:val="FootnoteReference"/>
          <w:rFonts w:ascii="Arial" w:hAnsi="Arial" w:cs="Arial"/>
        </w:rPr>
        <w:footnoteRef/>
      </w:r>
      <w:r w:rsidRPr="009479BA">
        <w:rPr>
          <w:rFonts w:ascii="Arial" w:hAnsi="Arial" w:cs="Arial"/>
        </w:rPr>
        <w:t xml:space="preserve"> </w:t>
      </w:r>
      <w:r w:rsidR="00FF7681" w:rsidRPr="009479BA">
        <w:rPr>
          <w:rFonts w:ascii="Arial" w:hAnsi="Arial" w:cs="Arial"/>
        </w:rPr>
        <w:tab/>
      </w:r>
      <w:r w:rsidRPr="009479BA">
        <w:rPr>
          <w:rFonts w:ascii="Arial" w:hAnsi="Arial" w:cs="Arial"/>
          <w:i/>
          <w:iCs/>
        </w:rPr>
        <w:t xml:space="preserve">Telkom SA Ltd v </w:t>
      </w:r>
      <w:proofErr w:type="spellStart"/>
      <w:r w:rsidRPr="009479BA">
        <w:rPr>
          <w:rFonts w:ascii="Arial" w:hAnsi="Arial" w:cs="Arial"/>
          <w:i/>
          <w:iCs/>
        </w:rPr>
        <w:t>Xsinet</w:t>
      </w:r>
      <w:proofErr w:type="spellEnd"/>
      <w:r w:rsidRPr="009479BA">
        <w:rPr>
          <w:rFonts w:ascii="Arial" w:hAnsi="Arial" w:cs="Arial"/>
          <w:i/>
          <w:iCs/>
        </w:rPr>
        <w:t xml:space="preserve"> (Pty) </w:t>
      </w:r>
      <w:proofErr w:type="spellStart"/>
      <w:r w:rsidRPr="009479BA">
        <w:rPr>
          <w:rFonts w:ascii="Arial" w:hAnsi="Arial" w:cs="Arial"/>
          <w:i/>
          <w:iCs/>
        </w:rPr>
        <w:t>Ltd</w:t>
      </w:r>
      <w:r w:rsidR="00DC67AC" w:rsidRPr="009479BA">
        <w:rPr>
          <w:rFonts w:ascii="Arial" w:hAnsi="Arial" w:cs="Arial"/>
        </w:rPr>
        <w:t>:par</w:t>
      </w:r>
      <w:proofErr w:type="spellEnd"/>
      <w:r w:rsidR="00DC67AC" w:rsidRPr="009479BA">
        <w:rPr>
          <w:rFonts w:ascii="Arial" w:hAnsi="Arial" w:cs="Arial"/>
        </w:rPr>
        <w:t xml:space="preserve">. </w:t>
      </w:r>
      <w:r w:rsidRPr="009479BA">
        <w:rPr>
          <w:rFonts w:ascii="Arial" w:hAnsi="Arial" w:cs="Arial"/>
        </w:rPr>
        <w:t xml:space="preserve">14; </w:t>
      </w:r>
      <w:r w:rsidRPr="009479BA">
        <w:rPr>
          <w:rFonts w:ascii="Arial" w:hAnsi="Arial" w:cs="Arial"/>
          <w:i/>
          <w:iCs/>
          <w:lang w:val="en-GB"/>
        </w:rPr>
        <w:t xml:space="preserve">Eskom Holdings SOC Limited v </w:t>
      </w:r>
      <w:proofErr w:type="spellStart"/>
      <w:r w:rsidRPr="009479BA">
        <w:rPr>
          <w:rFonts w:ascii="Arial" w:hAnsi="Arial" w:cs="Arial"/>
          <w:i/>
          <w:iCs/>
          <w:lang w:val="en-GB"/>
        </w:rPr>
        <w:t>Masinda</w:t>
      </w:r>
      <w:r w:rsidR="00DC67AC" w:rsidRPr="009479BA">
        <w:rPr>
          <w:rFonts w:ascii="Arial" w:hAnsi="Arial" w:cs="Arial"/>
          <w:lang w:val="en-GB"/>
        </w:rPr>
        <w:t>:par</w:t>
      </w:r>
      <w:proofErr w:type="spellEnd"/>
      <w:r w:rsidR="00DC67AC" w:rsidRPr="009479BA">
        <w:rPr>
          <w:rFonts w:ascii="Arial" w:hAnsi="Arial" w:cs="Arial"/>
          <w:lang w:val="en-GB"/>
        </w:rPr>
        <w:t>.</w:t>
      </w:r>
      <w:r w:rsidR="00DC67AC" w:rsidRPr="009479BA">
        <w:rPr>
          <w:rFonts w:ascii="Arial" w:hAnsi="Arial" w:cs="Arial"/>
        </w:rPr>
        <w:t xml:space="preserve"> </w:t>
      </w:r>
      <w:r w:rsidRPr="009479BA">
        <w:rPr>
          <w:rFonts w:ascii="Arial" w:hAnsi="Arial" w:cs="Arial"/>
        </w:rPr>
        <w:t xml:space="preserve">22; Muller </w:t>
      </w:r>
      <w:r w:rsidRPr="009479BA">
        <w:rPr>
          <w:rFonts w:ascii="Arial" w:hAnsi="Arial" w:cs="Arial"/>
          <w:i/>
          <w:iCs/>
        </w:rPr>
        <w:t>et al</w:t>
      </w:r>
      <w:r w:rsidRPr="009479BA">
        <w:rPr>
          <w:rFonts w:ascii="Arial" w:hAnsi="Arial" w:cs="Arial"/>
        </w:rPr>
        <w:t xml:space="preserve"> 2019</w:t>
      </w:r>
      <w:r w:rsidR="009479BA">
        <w:rPr>
          <w:rFonts w:ascii="Arial" w:hAnsi="Arial" w:cs="Arial"/>
        </w:rPr>
        <w:t>a</w:t>
      </w:r>
      <w:r w:rsidR="00074F84" w:rsidRPr="009479BA">
        <w:rPr>
          <w:rFonts w:ascii="Arial" w:hAnsi="Arial" w:cs="Arial"/>
        </w:rPr>
        <w:t>:</w:t>
      </w:r>
      <w:r w:rsidRPr="009479BA">
        <w:rPr>
          <w:rFonts w:ascii="Arial" w:hAnsi="Arial" w:cs="Arial"/>
        </w:rPr>
        <w:t>201.</w:t>
      </w:r>
    </w:p>
  </w:footnote>
  <w:footnote w:id="311">
    <w:p w14:paraId="1C0FD0E5" w14:textId="636E3114"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rPr>
        <w:t>Freedman 2015</w:t>
      </w:r>
      <w:r w:rsidR="00074F84">
        <w:rPr>
          <w:rFonts w:ascii="Arial" w:hAnsi="Arial" w:cs="Arial"/>
        </w:rPr>
        <w:t>:</w:t>
      </w:r>
      <w:r w:rsidRPr="00635917">
        <w:rPr>
          <w:rFonts w:ascii="Arial" w:hAnsi="Arial" w:cs="Arial"/>
        </w:rPr>
        <w:t>200.</w:t>
      </w:r>
    </w:p>
  </w:footnote>
  <w:footnote w:id="312">
    <w:p w14:paraId="25CD9AE3" w14:textId="2A05851F" w:rsidR="00761FF4" w:rsidRPr="009479BA" w:rsidRDefault="00761FF4" w:rsidP="00E63179">
      <w:pPr>
        <w:pStyle w:val="FootnoteText"/>
        <w:ind w:left="357" w:hanging="357"/>
        <w:jc w:val="both"/>
        <w:rPr>
          <w:rFonts w:ascii="Arial" w:hAnsi="Arial" w:cs="Arial"/>
        </w:rPr>
      </w:pPr>
      <w:r w:rsidRPr="009479BA">
        <w:rPr>
          <w:rStyle w:val="FootnoteReference"/>
          <w:rFonts w:ascii="Arial" w:hAnsi="Arial" w:cs="Arial"/>
        </w:rPr>
        <w:footnoteRef/>
      </w:r>
      <w:r w:rsidRPr="009479BA">
        <w:rPr>
          <w:rFonts w:ascii="Arial" w:hAnsi="Arial" w:cs="Arial"/>
        </w:rPr>
        <w:t xml:space="preserve"> </w:t>
      </w:r>
      <w:r w:rsidR="00FF7681" w:rsidRPr="009479BA">
        <w:rPr>
          <w:rFonts w:ascii="Arial" w:hAnsi="Arial" w:cs="Arial"/>
        </w:rPr>
        <w:tab/>
      </w:r>
      <w:proofErr w:type="spellStart"/>
      <w:r w:rsidRPr="009479BA">
        <w:rPr>
          <w:rFonts w:ascii="Arial" w:hAnsi="Arial" w:cs="Arial"/>
        </w:rPr>
        <w:t>Boggenpoel</w:t>
      </w:r>
      <w:proofErr w:type="spellEnd"/>
      <w:r w:rsidRPr="009479BA">
        <w:rPr>
          <w:rFonts w:ascii="Arial" w:hAnsi="Arial" w:cs="Arial"/>
        </w:rPr>
        <w:t xml:space="preserve"> 2017</w:t>
      </w:r>
      <w:r w:rsidR="00074F84" w:rsidRPr="009479BA">
        <w:rPr>
          <w:rFonts w:ascii="Arial" w:hAnsi="Arial" w:cs="Arial"/>
        </w:rPr>
        <w:t>:</w:t>
      </w:r>
      <w:r w:rsidRPr="009479BA">
        <w:rPr>
          <w:rFonts w:ascii="Arial" w:hAnsi="Arial" w:cs="Arial"/>
        </w:rPr>
        <w:t xml:space="preserve">118; Muller </w:t>
      </w:r>
      <w:r w:rsidRPr="009479BA">
        <w:rPr>
          <w:rFonts w:ascii="Arial" w:hAnsi="Arial" w:cs="Arial"/>
          <w:i/>
          <w:iCs/>
        </w:rPr>
        <w:t>et al</w:t>
      </w:r>
      <w:r w:rsidRPr="009479BA">
        <w:rPr>
          <w:rFonts w:ascii="Arial" w:hAnsi="Arial" w:cs="Arial"/>
        </w:rPr>
        <w:t xml:space="preserve"> 2019</w:t>
      </w:r>
      <w:r w:rsidR="009479BA" w:rsidRPr="009479BA">
        <w:rPr>
          <w:rFonts w:ascii="Arial" w:hAnsi="Arial" w:cs="Arial"/>
        </w:rPr>
        <w:t>a</w:t>
      </w:r>
      <w:r w:rsidR="00074F84" w:rsidRPr="009479BA">
        <w:rPr>
          <w:rFonts w:ascii="Arial" w:hAnsi="Arial" w:cs="Arial"/>
        </w:rPr>
        <w:t>:</w:t>
      </w:r>
      <w:r w:rsidRPr="009479BA">
        <w:rPr>
          <w:rFonts w:ascii="Arial" w:hAnsi="Arial" w:cs="Arial"/>
        </w:rPr>
        <w:t>20</w:t>
      </w:r>
      <w:r w:rsidR="009479BA" w:rsidRPr="009479BA">
        <w:rPr>
          <w:rFonts w:ascii="Arial" w:hAnsi="Arial" w:cs="Arial"/>
        </w:rPr>
        <w:t>1-206</w:t>
      </w:r>
      <w:r w:rsidRPr="009479BA">
        <w:rPr>
          <w:rFonts w:ascii="Arial" w:hAnsi="Arial" w:cs="Arial"/>
        </w:rPr>
        <w:t>.</w:t>
      </w:r>
    </w:p>
  </w:footnote>
  <w:footnote w:id="313">
    <w:p w14:paraId="5BBBCB0F" w14:textId="30D0C324" w:rsidR="00761FF4" w:rsidRPr="00635917" w:rsidRDefault="00761FF4" w:rsidP="00E63179">
      <w:pPr>
        <w:pStyle w:val="FootnoteText"/>
        <w:ind w:left="357" w:hanging="357"/>
        <w:jc w:val="both"/>
        <w:rPr>
          <w:rFonts w:ascii="Arial" w:hAnsi="Arial" w:cs="Arial"/>
        </w:rPr>
      </w:pPr>
      <w:r w:rsidRPr="009479BA">
        <w:rPr>
          <w:rStyle w:val="FootnoteReference"/>
          <w:rFonts w:ascii="Arial" w:hAnsi="Arial" w:cs="Arial"/>
        </w:rPr>
        <w:footnoteRef/>
      </w:r>
      <w:r w:rsidRPr="009479BA">
        <w:rPr>
          <w:rFonts w:ascii="Arial" w:hAnsi="Arial" w:cs="Arial"/>
        </w:rPr>
        <w:t xml:space="preserve"> </w:t>
      </w:r>
      <w:r w:rsidR="00FF7681" w:rsidRPr="009479BA">
        <w:rPr>
          <w:rFonts w:ascii="Arial" w:hAnsi="Arial" w:cs="Arial"/>
        </w:rPr>
        <w:tab/>
      </w:r>
      <w:proofErr w:type="spellStart"/>
      <w:r w:rsidRPr="009479BA">
        <w:rPr>
          <w:rFonts w:ascii="Arial" w:hAnsi="Arial" w:cs="Arial"/>
        </w:rPr>
        <w:t>Boggenpoel</w:t>
      </w:r>
      <w:proofErr w:type="spellEnd"/>
      <w:r w:rsidRPr="009479BA">
        <w:rPr>
          <w:rFonts w:ascii="Arial" w:hAnsi="Arial" w:cs="Arial"/>
        </w:rPr>
        <w:t xml:space="preserve"> 2017</w:t>
      </w:r>
      <w:r w:rsidR="00074F84" w:rsidRPr="009479BA">
        <w:rPr>
          <w:rFonts w:ascii="Arial" w:hAnsi="Arial" w:cs="Arial"/>
        </w:rPr>
        <w:t>:</w:t>
      </w:r>
      <w:r w:rsidRPr="009479BA">
        <w:rPr>
          <w:rFonts w:ascii="Arial" w:hAnsi="Arial" w:cs="Arial"/>
        </w:rPr>
        <w:t xml:space="preserve">118; Muller </w:t>
      </w:r>
      <w:r w:rsidRPr="009479BA">
        <w:rPr>
          <w:rFonts w:ascii="Arial" w:hAnsi="Arial" w:cs="Arial"/>
          <w:i/>
          <w:iCs/>
        </w:rPr>
        <w:t>et al</w:t>
      </w:r>
      <w:r w:rsidRPr="009479BA">
        <w:rPr>
          <w:rFonts w:ascii="Arial" w:hAnsi="Arial" w:cs="Arial"/>
        </w:rPr>
        <w:t xml:space="preserve"> 2019</w:t>
      </w:r>
      <w:r w:rsidR="009479BA" w:rsidRPr="009479BA">
        <w:rPr>
          <w:rFonts w:ascii="Arial" w:hAnsi="Arial" w:cs="Arial"/>
        </w:rPr>
        <w:t>a</w:t>
      </w:r>
      <w:r w:rsidR="00074F84" w:rsidRPr="009479BA">
        <w:rPr>
          <w:rFonts w:ascii="Arial" w:hAnsi="Arial" w:cs="Arial"/>
        </w:rPr>
        <w:t>:</w:t>
      </w:r>
      <w:r w:rsidRPr="009479BA">
        <w:rPr>
          <w:rFonts w:ascii="Arial" w:hAnsi="Arial" w:cs="Arial"/>
        </w:rPr>
        <w:t>201.</w:t>
      </w:r>
    </w:p>
  </w:footnote>
  <w:footnote w:id="314">
    <w:p w14:paraId="4E69DB0F" w14:textId="316ECEAA"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FF7681">
        <w:rPr>
          <w:rFonts w:ascii="Arial" w:hAnsi="Arial" w:cs="Arial"/>
        </w:rPr>
        <w:t>p</w:t>
      </w:r>
      <w:r w:rsidRPr="00635917">
        <w:rPr>
          <w:rFonts w:ascii="Arial" w:hAnsi="Arial" w:cs="Arial"/>
        </w:rPr>
        <w:t>aras</w:t>
      </w:r>
      <w:proofErr w:type="spellEnd"/>
      <w:r w:rsidRPr="00635917">
        <w:rPr>
          <w:rFonts w:ascii="Arial" w:hAnsi="Arial" w:cs="Arial"/>
        </w:rPr>
        <w:t xml:space="preserve"> 1-3.</w:t>
      </w:r>
    </w:p>
  </w:footnote>
  <w:footnote w:id="315">
    <w:p w14:paraId="4E05BBC5" w14:textId="2199384B"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FF7681">
        <w:rPr>
          <w:rFonts w:ascii="Arial" w:hAnsi="Arial" w:cs="Arial"/>
        </w:rPr>
        <w:t>p</w:t>
      </w:r>
      <w:r w:rsidRPr="00635917">
        <w:rPr>
          <w:rFonts w:ascii="Arial" w:hAnsi="Arial" w:cs="Arial"/>
        </w:rPr>
        <w:t>aras</w:t>
      </w:r>
      <w:proofErr w:type="spellEnd"/>
      <w:r w:rsidRPr="00635917">
        <w:rPr>
          <w:rFonts w:ascii="Arial" w:hAnsi="Arial" w:cs="Arial"/>
        </w:rPr>
        <w:t xml:space="preserve"> 1-3.</w:t>
      </w:r>
    </w:p>
  </w:footnote>
  <w:footnote w:id="316">
    <w:p w14:paraId="4D014EEE" w14:textId="030B256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FF7681">
        <w:rPr>
          <w:rFonts w:ascii="Arial" w:hAnsi="Arial" w:cs="Arial"/>
        </w:rPr>
        <w:t>p</w:t>
      </w:r>
      <w:r w:rsidRPr="00635917">
        <w:rPr>
          <w:rFonts w:ascii="Arial" w:hAnsi="Arial" w:cs="Arial"/>
        </w:rPr>
        <w:t>ar</w:t>
      </w:r>
      <w:proofErr w:type="spellEnd"/>
      <w:r w:rsidRPr="00635917">
        <w:rPr>
          <w:rFonts w:ascii="Arial" w:hAnsi="Arial" w:cs="Arial"/>
        </w:rPr>
        <w:t xml:space="preserve"> 6.</w:t>
      </w:r>
    </w:p>
  </w:footnote>
  <w:footnote w:id="317">
    <w:p w14:paraId="463DDC8C" w14:textId="432B3860"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FF7681">
        <w:rPr>
          <w:rFonts w:ascii="Arial" w:hAnsi="Arial" w:cs="Arial"/>
        </w:rPr>
        <w:t>p</w:t>
      </w:r>
      <w:r w:rsidRPr="00635917">
        <w:rPr>
          <w:rFonts w:ascii="Arial" w:hAnsi="Arial" w:cs="Arial"/>
        </w:rPr>
        <w:t>ar</w:t>
      </w:r>
      <w:proofErr w:type="spellEnd"/>
      <w:r w:rsidRPr="00635917">
        <w:rPr>
          <w:rFonts w:ascii="Arial" w:hAnsi="Arial" w:cs="Arial"/>
        </w:rPr>
        <w:t xml:space="preserve"> 9. Section 59(3)(b) stipulates that if the water use charge is not paid, the supply of water to the water user may be restricted or suspended until the charges have been paid. In terms of section 59(4), a water user must be given an opportunity to make representations within a reasonable period on any proposed restrictions or suspension before </w:t>
      </w:r>
      <w:r w:rsidR="0060104B">
        <w:rPr>
          <w:rFonts w:ascii="Arial" w:hAnsi="Arial" w:cs="Arial"/>
        </w:rPr>
        <w:t xml:space="preserve">the </w:t>
      </w:r>
      <w:r w:rsidRPr="00635917">
        <w:rPr>
          <w:rFonts w:ascii="Arial" w:hAnsi="Arial" w:cs="Arial"/>
        </w:rPr>
        <w:t>restriction or suspension is imposed.</w:t>
      </w:r>
    </w:p>
  </w:footnote>
  <w:footnote w:id="318">
    <w:p w14:paraId="4E42C9C4" w14:textId="2ADBD7C0" w:rsidR="00761FF4" w:rsidRPr="00635917" w:rsidRDefault="00761FF4" w:rsidP="00E63179">
      <w:pPr>
        <w:pStyle w:val="FootnoteText"/>
        <w:ind w:left="357" w:hanging="357"/>
        <w:jc w:val="both"/>
        <w:rPr>
          <w:rFonts w:ascii="Arial" w:hAnsi="Arial" w:cs="Arial"/>
        </w:rPr>
      </w:pPr>
      <w:r w:rsidRPr="009479BA">
        <w:rPr>
          <w:rStyle w:val="FootnoteReference"/>
          <w:rFonts w:ascii="Arial" w:hAnsi="Arial" w:cs="Arial"/>
        </w:rPr>
        <w:footnoteRef/>
      </w:r>
      <w:r w:rsidRPr="009479BA">
        <w:rPr>
          <w:rFonts w:ascii="Arial" w:hAnsi="Arial" w:cs="Arial"/>
        </w:rPr>
        <w:t xml:space="preserve"> </w:t>
      </w:r>
      <w:r w:rsidR="00FF7681" w:rsidRPr="009479BA">
        <w:rPr>
          <w:rFonts w:ascii="Arial" w:hAnsi="Arial" w:cs="Arial"/>
        </w:rPr>
        <w:tab/>
      </w:r>
      <w:r w:rsidRPr="009479BA">
        <w:rPr>
          <w:rFonts w:ascii="Arial" w:hAnsi="Arial" w:cs="Arial"/>
          <w:i/>
          <w:iCs/>
        </w:rPr>
        <w:t xml:space="preserve">Impala Water Users Association v Lourens NO and </w:t>
      </w:r>
      <w:proofErr w:type="spellStart"/>
      <w:r w:rsidRPr="009479BA">
        <w:rPr>
          <w:rFonts w:ascii="Arial" w:hAnsi="Arial" w:cs="Arial"/>
          <w:i/>
          <w:iCs/>
        </w:rPr>
        <w:t>Others</w:t>
      </w:r>
      <w:r w:rsidR="00DC67AC" w:rsidRPr="009479BA">
        <w:rPr>
          <w:rFonts w:ascii="Arial" w:hAnsi="Arial" w:cs="Arial"/>
        </w:rPr>
        <w:t>:par</w:t>
      </w:r>
      <w:proofErr w:type="spellEnd"/>
      <w:r w:rsidR="00DC67AC" w:rsidRPr="009479BA">
        <w:rPr>
          <w:rFonts w:ascii="Arial" w:hAnsi="Arial" w:cs="Arial"/>
        </w:rPr>
        <w:t xml:space="preserve">. </w:t>
      </w:r>
      <w:r w:rsidRPr="009479BA">
        <w:rPr>
          <w:rFonts w:ascii="Arial" w:hAnsi="Arial" w:cs="Arial"/>
        </w:rPr>
        <w:t>9.</w:t>
      </w:r>
    </w:p>
  </w:footnote>
  <w:footnote w:id="319">
    <w:p w14:paraId="7343350C" w14:textId="4563793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9.</w:t>
      </w:r>
    </w:p>
  </w:footnote>
  <w:footnote w:id="320">
    <w:p w14:paraId="74570D2F" w14:textId="4DAD36A6"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FF7681">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AF1677">
        <w:rPr>
          <w:rFonts w:ascii="Arial" w:hAnsi="Arial" w:cs="Arial"/>
        </w:rPr>
        <w:t>p</w:t>
      </w:r>
      <w:r w:rsidRPr="00635917">
        <w:rPr>
          <w:rFonts w:ascii="Arial" w:hAnsi="Arial" w:cs="Arial"/>
        </w:rPr>
        <w:t>aras</w:t>
      </w:r>
      <w:proofErr w:type="spellEnd"/>
      <w:r w:rsidRPr="00635917">
        <w:rPr>
          <w:rFonts w:ascii="Arial" w:hAnsi="Arial" w:cs="Arial"/>
        </w:rPr>
        <w:t xml:space="preserve"> 10</w:t>
      </w:r>
      <w:r w:rsidR="00AF1677">
        <w:rPr>
          <w:rFonts w:ascii="Arial" w:hAnsi="Arial" w:cs="Arial"/>
        </w:rPr>
        <w:t xml:space="preserve">, </w:t>
      </w:r>
      <w:r w:rsidRPr="00635917">
        <w:rPr>
          <w:rFonts w:ascii="Arial" w:hAnsi="Arial" w:cs="Arial"/>
        </w:rPr>
        <w:t xml:space="preserve">11. The Supreme Court of Appeal in </w:t>
      </w:r>
      <w:r w:rsidRPr="00635917">
        <w:rPr>
          <w:rFonts w:ascii="Arial" w:hAnsi="Arial" w:cs="Arial"/>
          <w:i/>
          <w:iCs/>
        </w:rPr>
        <w:t xml:space="preserve">Telkom SA Ltd v </w:t>
      </w:r>
      <w:proofErr w:type="spellStart"/>
      <w:r w:rsidRPr="00635917">
        <w:rPr>
          <w:rFonts w:ascii="Arial" w:hAnsi="Arial" w:cs="Arial"/>
          <w:i/>
          <w:iCs/>
        </w:rPr>
        <w:t>Xsinet</w:t>
      </w:r>
      <w:proofErr w:type="spellEnd"/>
      <w:r w:rsidRPr="00635917">
        <w:rPr>
          <w:rFonts w:ascii="Arial" w:hAnsi="Arial" w:cs="Arial"/>
        </w:rPr>
        <w:t xml:space="preserve"> created uncertainties regarding the application of</w:t>
      </w:r>
      <w:r w:rsidR="0060104B">
        <w:rPr>
          <w:rFonts w:ascii="Arial" w:hAnsi="Arial" w:cs="Arial"/>
        </w:rPr>
        <w:t xml:space="preserve"> the</w:t>
      </w:r>
      <w:r w:rsidRPr="00635917">
        <w:rPr>
          <w:rFonts w:ascii="Arial" w:hAnsi="Arial" w:cs="Arial"/>
        </w:rPr>
        <w:t xml:space="preserve"> spoliation remedy in </w:t>
      </w:r>
      <w:r w:rsidRPr="00635917">
        <w:rPr>
          <w:rFonts w:ascii="Arial" w:hAnsi="Arial" w:cs="Arial"/>
          <w:i/>
          <w:iCs/>
        </w:rPr>
        <w:t>quasi</w:t>
      </w:r>
      <w:r w:rsidRPr="00635917">
        <w:rPr>
          <w:rFonts w:ascii="Arial" w:hAnsi="Arial" w:cs="Arial"/>
        </w:rPr>
        <w:t>-possession cases. The court investigated the merits of the case instead of determining the mere exercise or use of the alleged right. It distinguished between registered real rights and rig</w:t>
      </w:r>
      <w:r w:rsidRPr="009479BA">
        <w:rPr>
          <w:rFonts w:ascii="Arial" w:hAnsi="Arial" w:cs="Arial"/>
        </w:rPr>
        <w:t>hts sourced in the constitution and legislation and rights that are purely contractual or personal in nature.</w:t>
      </w:r>
      <w:r w:rsidRPr="009479BA">
        <w:rPr>
          <w:rFonts w:ascii="Arial" w:hAnsi="Arial" w:cs="Arial"/>
          <w:sz w:val="24"/>
          <w:szCs w:val="24"/>
        </w:rPr>
        <w:t xml:space="preserve"> </w:t>
      </w:r>
      <w:r w:rsidRPr="009479BA">
        <w:rPr>
          <w:rFonts w:ascii="Arial" w:hAnsi="Arial" w:cs="Arial"/>
        </w:rPr>
        <w:t xml:space="preserve">The court found that if a right is registered or originates in the constitution or legislation, its </w:t>
      </w:r>
      <w:r w:rsidRPr="009479BA">
        <w:rPr>
          <w:rFonts w:ascii="Arial" w:hAnsi="Arial" w:cs="Arial"/>
          <w:i/>
          <w:iCs/>
        </w:rPr>
        <w:t>quasi</w:t>
      </w:r>
      <w:r w:rsidRPr="009479BA">
        <w:rPr>
          <w:rFonts w:ascii="Arial" w:hAnsi="Arial" w:cs="Arial"/>
        </w:rPr>
        <w:t xml:space="preserve">-possession enjoys protection under the spoliation remedy. However, if a right originates from contract, its </w:t>
      </w:r>
      <w:r w:rsidRPr="009479BA">
        <w:rPr>
          <w:rFonts w:ascii="Arial" w:hAnsi="Arial" w:cs="Arial"/>
          <w:i/>
          <w:iCs/>
        </w:rPr>
        <w:t>quasi</w:t>
      </w:r>
      <w:r w:rsidRPr="009479BA">
        <w:rPr>
          <w:rFonts w:ascii="Arial" w:hAnsi="Arial" w:cs="Arial"/>
        </w:rPr>
        <w:t xml:space="preserve">-possession is not protectable under the spoliation remedy (Muller </w:t>
      </w:r>
      <w:r w:rsidRPr="009479BA">
        <w:rPr>
          <w:rFonts w:ascii="Arial" w:hAnsi="Arial" w:cs="Arial"/>
          <w:i/>
          <w:iCs/>
        </w:rPr>
        <w:t>et al</w:t>
      </w:r>
      <w:r w:rsidRPr="009479BA">
        <w:rPr>
          <w:rFonts w:ascii="Arial" w:hAnsi="Arial" w:cs="Arial"/>
        </w:rPr>
        <w:t xml:space="preserve"> 2019</w:t>
      </w:r>
      <w:r w:rsidR="009479BA" w:rsidRPr="009479BA">
        <w:rPr>
          <w:rFonts w:ascii="Arial" w:hAnsi="Arial" w:cs="Arial"/>
        </w:rPr>
        <w:t>a</w:t>
      </w:r>
      <w:r w:rsidR="00074F84" w:rsidRPr="009479BA">
        <w:rPr>
          <w:rFonts w:ascii="Arial" w:hAnsi="Arial" w:cs="Arial"/>
        </w:rPr>
        <w:t>:</w:t>
      </w:r>
      <w:r w:rsidRPr="009479BA">
        <w:rPr>
          <w:rFonts w:ascii="Arial" w:hAnsi="Arial" w:cs="Arial"/>
        </w:rPr>
        <w:t>202).</w:t>
      </w:r>
    </w:p>
  </w:footnote>
  <w:footnote w:id="321">
    <w:p w14:paraId="4AA1BFC8" w14:textId="27DF1E9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11.</w:t>
      </w:r>
    </w:p>
  </w:footnote>
  <w:footnote w:id="322">
    <w:p w14:paraId="3A47314D" w14:textId="76C9E648"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18.</w:t>
      </w:r>
    </w:p>
  </w:footnote>
  <w:footnote w:id="323">
    <w:p w14:paraId="583B220D" w14:textId="65F3365A"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18.</w:t>
      </w:r>
    </w:p>
  </w:footnote>
  <w:footnote w:id="324">
    <w:p w14:paraId="6F9626B5" w14:textId="67566C18"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074F84">
        <w:rPr>
          <w:rFonts w:ascii="Arial" w:hAnsi="Arial" w:cs="Arial"/>
        </w:rPr>
        <w:t>:</w:t>
      </w:r>
      <w:r w:rsidR="00AF1677">
        <w:rPr>
          <w:rFonts w:ascii="Arial" w:hAnsi="Arial" w:cs="Arial"/>
        </w:rPr>
        <w:t>p</w:t>
      </w:r>
      <w:r w:rsidRPr="00635917">
        <w:rPr>
          <w:rFonts w:ascii="Arial" w:hAnsi="Arial" w:cs="Arial"/>
        </w:rPr>
        <w:t>aras</w:t>
      </w:r>
      <w:proofErr w:type="spellEnd"/>
      <w:r w:rsidRPr="00635917">
        <w:rPr>
          <w:rFonts w:ascii="Arial" w:hAnsi="Arial" w:cs="Arial"/>
        </w:rPr>
        <w:t xml:space="preserve"> 21</w:t>
      </w:r>
      <w:r w:rsidR="00AF1677">
        <w:rPr>
          <w:rFonts w:ascii="Arial" w:hAnsi="Arial" w:cs="Arial"/>
        </w:rPr>
        <w:t>,</w:t>
      </w:r>
      <w:r w:rsidRPr="00635917">
        <w:rPr>
          <w:rFonts w:ascii="Arial" w:hAnsi="Arial" w:cs="Arial"/>
        </w:rPr>
        <w:t xml:space="preserve"> 22.</w:t>
      </w:r>
    </w:p>
  </w:footnote>
  <w:footnote w:id="325">
    <w:p w14:paraId="6E57F3B9" w14:textId="63C0E13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074F84">
        <w:rPr>
          <w:rFonts w:ascii="Arial" w:hAnsi="Arial" w:cs="Arial"/>
        </w:rPr>
        <w:t>:</w:t>
      </w:r>
      <w:r w:rsidR="00AF1677">
        <w:rPr>
          <w:rFonts w:ascii="Arial" w:hAnsi="Arial" w:cs="Arial"/>
        </w:rPr>
        <w:t>p</w:t>
      </w:r>
      <w:r w:rsidRPr="00635917">
        <w:rPr>
          <w:rFonts w:ascii="Arial" w:hAnsi="Arial" w:cs="Arial"/>
        </w:rPr>
        <w:t>ara</w:t>
      </w:r>
      <w:r w:rsidR="00AF1677">
        <w:rPr>
          <w:rFonts w:ascii="Arial" w:hAnsi="Arial" w:cs="Arial"/>
        </w:rPr>
        <w:t>s</w:t>
      </w:r>
      <w:proofErr w:type="spellEnd"/>
      <w:r w:rsidRPr="00635917">
        <w:rPr>
          <w:rFonts w:ascii="Arial" w:hAnsi="Arial" w:cs="Arial"/>
        </w:rPr>
        <w:t xml:space="preserve"> 5</w:t>
      </w:r>
      <w:r w:rsidR="00AF1677">
        <w:rPr>
          <w:rFonts w:ascii="Arial" w:hAnsi="Arial" w:cs="Arial"/>
        </w:rPr>
        <w:t xml:space="preserve">, </w:t>
      </w:r>
      <w:r w:rsidRPr="00635917">
        <w:rPr>
          <w:rFonts w:ascii="Arial" w:hAnsi="Arial" w:cs="Arial"/>
        </w:rPr>
        <w:t>6.</w:t>
      </w:r>
    </w:p>
  </w:footnote>
  <w:footnote w:id="326">
    <w:p w14:paraId="3F2DF7B8" w14:textId="5C33017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6.</w:t>
      </w:r>
    </w:p>
  </w:footnote>
  <w:footnote w:id="327">
    <w:p w14:paraId="61851CE4" w14:textId="5F975327"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2.</w:t>
      </w:r>
    </w:p>
  </w:footnote>
  <w:footnote w:id="328">
    <w:p w14:paraId="4AB248DE" w14:textId="29404100"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7.</w:t>
      </w:r>
    </w:p>
  </w:footnote>
  <w:footnote w:id="329">
    <w:p w14:paraId="34A25806" w14:textId="1AEE5E7E"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7.</w:t>
      </w:r>
    </w:p>
  </w:footnote>
  <w:footnote w:id="330">
    <w:p w14:paraId="53179CD2" w14:textId="55D7415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436E73">
        <w:rPr>
          <w:rFonts w:ascii="Arial" w:hAnsi="Arial" w:cs="Arial"/>
        </w:rPr>
        <w:t xml:space="preserve"> </w:t>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9.</w:t>
      </w:r>
    </w:p>
  </w:footnote>
  <w:footnote w:id="331">
    <w:p w14:paraId="4BE7F86F" w14:textId="7C1AE5C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10.</w:t>
      </w:r>
    </w:p>
  </w:footnote>
  <w:footnote w:id="332">
    <w:p w14:paraId="1D32937E" w14:textId="2EEF225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11.</w:t>
      </w:r>
    </w:p>
  </w:footnote>
  <w:footnote w:id="333">
    <w:p w14:paraId="38510218" w14:textId="51D98BB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074F84">
        <w:rPr>
          <w:rFonts w:ascii="Arial" w:hAnsi="Arial" w:cs="Arial"/>
        </w:rPr>
        <w:t>:</w:t>
      </w:r>
      <w:r w:rsidR="00AF1677">
        <w:rPr>
          <w:rFonts w:ascii="Arial" w:hAnsi="Arial" w:cs="Arial"/>
        </w:rPr>
        <w:t>p</w:t>
      </w:r>
      <w:r w:rsidRPr="00635917">
        <w:rPr>
          <w:rFonts w:ascii="Arial" w:hAnsi="Arial" w:cs="Arial"/>
        </w:rPr>
        <w:t>aras</w:t>
      </w:r>
      <w:proofErr w:type="spellEnd"/>
      <w:r w:rsidRPr="00635917">
        <w:rPr>
          <w:rFonts w:ascii="Arial" w:hAnsi="Arial" w:cs="Arial"/>
        </w:rPr>
        <w:t xml:space="preserve"> 12</w:t>
      </w:r>
      <w:r w:rsidR="00AF1677">
        <w:rPr>
          <w:rFonts w:ascii="Arial" w:hAnsi="Arial" w:cs="Arial"/>
        </w:rPr>
        <w:t>,</w:t>
      </w:r>
      <w:r w:rsidRPr="00635917">
        <w:rPr>
          <w:rFonts w:ascii="Arial" w:hAnsi="Arial" w:cs="Arial"/>
        </w:rPr>
        <w:t xml:space="preserve"> 13.</w:t>
      </w:r>
    </w:p>
  </w:footnote>
  <w:footnote w:id="334">
    <w:p w14:paraId="16CA2AD6" w14:textId="7BA1D5AC"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13.</w:t>
      </w:r>
    </w:p>
  </w:footnote>
  <w:footnote w:id="335">
    <w:p w14:paraId="64DA1E98" w14:textId="22BECE0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F1677">
        <w:rPr>
          <w:rFonts w:ascii="Arial" w:hAnsi="Arial" w:cs="Arial"/>
        </w:rPr>
        <w:tab/>
      </w:r>
      <w:r w:rsidRPr="00635917">
        <w:rPr>
          <w:rFonts w:ascii="Arial" w:hAnsi="Arial" w:cs="Arial"/>
          <w:i/>
          <w:iCs/>
        </w:rPr>
        <w:t xml:space="preserve">Tigon Ltd v </w:t>
      </w:r>
      <w:proofErr w:type="spellStart"/>
      <w:r w:rsidRPr="00635917">
        <w:rPr>
          <w:rFonts w:ascii="Arial" w:hAnsi="Arial" w:cs="Arial"/>
          <w:i/>
          <w:iCs/>
        </w:rPr>
        <w:t>Bestyet</w:t>
      </w:r>
      <w:proofErr w:type="spellEnd"/>
      <w:r w:rsidRPr="00635917">
        <w:rPr>
          <w:rFonts w:ascii="Arial" w:hAnsi="Arial" w:cs="Arial"/>
          <w:i/>
          <w:iCs/>
        </w:rPr>
        <w:t xml:space="preserve"> Investments (Pty) Ltd </w:t>
      </w:r>
      <w:r w:rsidRPr="00635917">
        <w:rPr>
          <w:rFonts w:ascii="Arial" w:hAnsi="Arial" w:cs="Arial"/>
        </w:rPr>
        <w:t>2001 (4) SA 634</w:t>
      </w:r>
      <w:r w:rsidR="006C5314">
        <w:rPr>
          <w:rFonts w:ascii="Arial" w:hAnsi="Arial" w:cs="Arial"/>
        </w:rPr>
        <w:t xml:space="preserve"> (N)</w:t>
      </w:r>
      <w:r w:rsidR="00074F84">
        <w:rPr>
          <w:rFonts w:ascii="Arial" w:hAnsi="Arial" w:cs="Arial"/>
        </w:rPr>
        <w:t>:</w:t>
      </w:r>
      <w:r w:rsidRPr="00635917">
        <w:rPr>
          <w:rFonts w:ascii="Arial" w:hAnsi="Arial" w:cs="Arial"/>
        </w:rPr>
        <w:t>641.</w:t>
      </w:r>
    </w:p>
  </w:footnote>
  <w:footnote w:id="336">
    <w:p w14:paraId="1ED498AB" w14:textId="45D92F1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436E73">
        <w:rPr>
          <w:rFonts w:ascii="Arial" w:hAnsi="Arial" w:cs="Arial"/>
        </w:rPr>
        <w:t xml:space="preserve"> </w:t>
      </w:r>
      <w:r w:rsidRPr="00635917">
        <w:rPr>
          <w:rFonts w:ascii="Arial" w:hAnsi="Arial" w:cs="Arial"/>
          <w:i/>
          <w:iCs/>
        </w:rPr>
        <w:t xml:space="preserve">Tigon Ltd v </w:t>
      </w:r>
      <w:proofErr w:type="spellStart"/>
      <w:r w:rsidRPr="00635917">
        <w:rPr>
          <w:rFonts w:ascii="Arial" w:hAnsi="Arial" w:cs="Arial"/>
          <w:i/>
          <w:iCs/>
        </w:rPr>
        <w:t>Bestyet</w:t>
      </w:r>
      <w:proofErr w:type="spellEnd"/>
      <w:r w:rsidRPr="00635917">
        <w:rPr>
          <w:rFonts w:ascii="Arial" w:hAnsi="Arial" w:cs="Arial"/>
          <w:i/>
          <w:iCs/>
        </w:rPr>
        <w:t xml:space="preserve"> Investments (Pty) Ltd</w:t>
      </w:r>
      <w:r w:rsidR="00074F84">
        <w:rPr>
          <w:rFonts w:ascii="Arial" w:hAnsi="Arial" w:cs="Arial"/>
        </w:rPr>
        <w:t>:</w:t>
      </w:r>
      <w:r w:rsidRPr="00635917">
        <w:rPr>
          <w:rFonts w:ascii="Arial" w:hAnsi="Arial" w:cs="Arial"/>
        </w:rPr>
        <w:t xml:space="preserve">642. This implied an investigation into the merits of the case, which is oft stated throughout the </w:t>
      </w:r>
      <w:r w:rsidR="00D00C27">
        <w:rPr>
          <w:rFonts w:ascii="Arial" w:hAnsi="Arial" w:cs="Arial"/>
        </w:rPr>
        <w:t>mini-dissertation</w:t>
      </w:r>
      <w:r w:rsidRPr="00635917">
        <w:rPr>
          <w:rFonts w:ascii="Arial" w:hAnsi="Arial" w:cs="Arial"/>
        </w:rPr>
        <w:t xml:space="preserve"> to constitute a deviation from </w:t>
      </w:r>
      <w:r w:rsidR="00D00C27">
        <w:rPr>
          <w:rFonts w:ascii="Arial" w:hAnsi="Arial" w:cs="Arial"/>
        </w:rPr>
        <w:t xml:space="preserve">the </w:t>
      </w:r>
      <w:r w:rsidRPr="00635917">
        <w:rPr>
          <w:rFonts w:ascii="Arial" w:hAnsi="Arial" w:cs="Arial"/>
        </w:rPr>
        <w:t>accepted principles on spoliation proceedings.</w:t>
      </w:r>
    </w:p>
  </w:footnote>
  <w:footnote w:id="337">
    <w:p w14:paraId="5CF19DBA" w14:textId="27532BFA"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10A58">
        <w:rPr>
          <w:rFonts w:ascii="Arial" w:hAnsi="Arial" w:cs="Arial"/>
        </w:rPr>
        <w:t xml:space="preserve"> </w:t>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14.</w:t>
      </w:r>
    </w:p>
  </w:footnote>
  <w:footnote w:id="338">
    <w:p w14:paraId="3C3CDEF5" w14:textId="246A0EB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B10A58">
        <w:rPr>
          <w:rFonts w:ascii="Arial" w:hAnsi="Arial" w:cs="Arial"/>
        </w:rPr>
        <w:t xml:space="preserve"> </w:t>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096906">
        <w:rPr>
          <w:rFonts w:ascii="Arial" w:hAnsi="Arial" w:cs="Arial"/>
          <w:i/>
          <w:iCs/>
        </w:rPr>
        <w:t>:</w:t>
      </w:r>
      <w:r w:rsidR="00DC67AC">
        <w:rPr>
          <w:rFonts w:ascii="Arial" w:hAnsi="Arial" w:cs="Arial"/>
        </w:rPr>
        <w:t>par</w:t>
      </w:r>
      <w:proofErr w:type="spellEnd"/>
      <w:r w:rsidR="00DC67AC">
        <w:rPr>
          <w:rFonts w:ascii="Arial" w:hAnsi="Arial" w:cs="Arial"/>
        </w:rPr>
        <w:t xml:space="preserve">. </w:t>
      </w:r>
      <w:r w:rsidRPr="00635917">
        <w:rPr>
          <w:rFonts w:ascii="Arial" w:hAnsi="Arial" w:cs="Arial"/>
        </w:rPr>
        <w:t>15.</w:t>
      </w:r>
    </w:p>
  </w:footnote>
  <w:footnote w:id="339">
    <w:p w14:paraId="0642368C" w14:textId="517D6FEB" w:rsidR="00761FF4" w:rsidRPr="00635917"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96906">
        <w:rPr>
          <w:rFonts w:ascii="Arial" w:hAnsi="Arial" w:cs="Arial"/>
        </w:rPr>
        <w:tab/>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16.</w:t>
      </w:r>
    </w:p>
  </w:footnote>
  <w:footnote w:id="340">
    <w:p w14:paraId="35334EA9" w14:textId="730F0A0E" w:rsidR="00761FF4" w:rsidRPr="00635917"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96906">
        <w:rPr>
          <w:rFonts w:ascii="Arial" w:hAnsi="Arial" w:cs="Arial"/>
        </w:rPr>
        <w:tab/>
      </w:r>
      <w:r w:rsidR="00AC7C24">
        <w:rPr>
          <w:rFonts w:ascii="Arial" w:hAnsi="Arial" w:cs="Arial"/>
        </w:rPr>
        <w:t>Marais 2021b</w:t>
      </w:r>
      <w:r w:rsidR="00074F84">
        <w:rPr>
          <w:rFonts w:ascii="Arial" w:hAnsi="Arial" w:cs="Arial"/>
        </w:rPr>
        <w:t>:</w:t>
      </w:r>
      <w:r w:rsidRPr="00635917">
        <w:rPr>
          <w:rFonts w:ascii="Arial" w:hAnsi="Arial" w:cs="Arial"/>
        </w:rPr>
        <w:t>216; Kleyn 2013</w:t>
      </w:r>
      <w:r w:rsidR="00074F84">
        <w:rPr>
          <w:rFonts w:ascii="Arial" w:hAnsi="Arial" w:cs="Arial"/>
        </w:rPr>
        <w:t>:</w:t>
      </w:r>
      <w:r w:rsidRPr="00635917">
        <w:rPr>
          <w:rFonts w:ascii="Arial" w:hAnsi="Arial" w:cs="Arial"/>
        </w:rPr>
        <w:t xml:space="preserve">9. This can be discerned from the judgment of the court </w:t>
      </w:r>
      <w:r w:rsidRPr="00635917">
        <w:rPr>
          <w:rFonts w:ascii="Arial" w:hAnsi="Arial" w:cs="Arial"/>
          <w:i/>
          <w:iCs/>
        </w:rPr>
        <w:t>in Impala Water Users Association</w:t>
      </w:r>
      <w:r w:rsidRPr="00635917">
        <w:rPr>
          <w:rFonts w:ascii="Arial" w:hAnsi="Arial" w:cs="Arial"/>
        </w:rPr>
        <w:t xml:space="preserve"> and to some extent in </w:t>
      </w:r>
      <w:r w:rsidRPr="00635917">
        <w:rPr>
          <w:rFonts w:ascii="Arial" w:hAnsi="Arial" w:cs="Arial"/>
          <w:i/>
          <w:iCs/>
        </w:rPr>
        <w:t>FirstRand</w:t>
      </w:r>
      <w:r w:rsidRPr="00635917">
        <w:rPr>
          <w:rFonts w:ascii="Arial" w:hAnsi="Arial" w:cs="Arial"/>
        </w:rPr>
        <w:t xml:space="preserve"> (</w:t>
      </w:r>
      <w:r w:rsidRPr="00635917">
        <w:rPr>
          <w:rFonts w:ascii="Arial" w:hAnsi="Arial" w:cs="Arial"/>
          <w:i/>
          <w:iCs/>
        </w:rPr>
        <w:t xml:space="preserve">Impala Water Users Association v Lourens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 xml:space="preserve">18; </w:t>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16)</w:t>
      </w:r>
      <w:r w:rsidR="00984F0A">
        <w:rPr>
          <w:rFonts w:ascii="Arial" w:hAnsi="Arial" w:cs="Arial"/>
        </w:rPr>
        <w:t>.</w:t>
      </w:r>
    </w:p>
  </w:footnote>
  <w:footnote w:id="341">
    <w:p w14:paraId="0C5D6CE9" w14:textId="505D1020" w:rsidR="00761FF4" w:rsidRPr="009479BA"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i/>
          <w:iCs/>
        </w:rPr>
        <w:t xml:space="preserve"> </w:t>
      </w:r>
      <w:r w:rsidR="00096906">
        <w:rPr>
          <w:rFonts w:ascii="Arial" w:hAnsi="Arial" w:cs="Arial"/>
          <w:i/>
          <w:iCs/>
        </w:rPr>
        <w:tab/>
      </w:r>
      <w:r w:rsidRPr="00635917">
        <w:rPr>
          <w:rFonts w:ascii="Arial" w:hAnsi="Arial" w:cs="Arial"/>
          <w:i/>
          <w:iCs/>
        </w:rPr>
        <w:t xml:space="preserve">City of Cape Town v </w:t>
      </w:r>
      <w:proofErr w:type="spellStart"/>
      <w:r w:rsidRPr="00635917">
        <w:rPr>
          <w:rFonts w:ascii="Arial" w:hAnsi="Arial" w:cs="Arial"/>
          <w:i/>
          <w:iCs/>
        </w:rPr>
        <w:t>Strumpher</w:t>
      </w:r>
      <w:proofErr w:type="spellEnd"/>
      <w:r w:rsidR="00C05F4C">
        <w:rPr>
          <w:rFonts w:ascii="Arial" w:hAnsi="Arial" w:cs="Arial"/>
        </w:rPr>
        <w:t xml:space="preserve"> </w:t>
      </w:r>
      <w:r w:rsidR="00C05F4C" w:rsidRPr="00486C80">
        <w:rPr>
          <w:rFonts w:ascii="Arial" w:hAnsi="Arial" w:cs="Arial"/>
          <w:bCs/>
        </w:rPr>
        <w:t>2012 (4) SA 207 (SCA)</w:t>
      </w:r>
      <w:r w:rsidR="00C05F4C">
        <w:rPr>
          <w:rFonts w:ascii="Arial" w:hAnsi="Arial" w:cs="Arial"/>
          <w:bCs/>
        </w:rPr>
        <w:t>;</w:t>
      </w:r>
      <w:r w:rsidR="003D0DEC">
        <w:rPr>
          <w:rFonts w:ascii="Arial" w:hAnsi="Arial" w:cs="Arial"/>
          <w:bCs/>
        </w:rPr>
        <w:t xml:space="preserve"> </w:t>
      </w:r>
      <w:r w:rsidRPr="00635917">
        <w:rPr>
          <w:rFonts w:ascii="Arial" w:hAnsi="Arial" w:cs="Arial"/>
        </w:rPr>
        <w:t>Kleyn 2013</w:t>
      </w:r>
      <w:r w:rsidR="00074F84">
        <w:rPr>
          <w:rFonts w:ascii="Arial" w:hAnsi="Arial" w:cs="Arial"/>
        </w:rPr>
        <w:t>:</w:t>
      </w:r>
      <w:r w:rsidRPr="00635917">
        <w:rPr>
          <w:rFonts w:ascii="Arial" w:hAnsi="Arial" w:cs="Arial"/>
        </w:rPr>
        <w:t>9; Freedman 2015</w:t>
      </w:r>
      <w:r w:rsidR="00074F84">
        <w:rPr>
          <w:rFonts w:ascii="Arial" w:hAnsi="Arial" w:cs="Arial"/>
        </w:rPr>
        <w:t>:</w:t>
      </w:r>
      <w:r w:rsidRPr="00635917">
        <w:rPr>
          <w:rFonts w:ascii="Arial" w:hAnsi="Arial" w:cs="Arial"/>
        </w:rPr>
        <w:t xml:space="preserve">199; </w:t>
      </w:r>
      <w:r w:rsidR="00AC7C24">
        <w:rPr>
          <w:rFonts w:ascii="Arial" w:hAnsi="Arial" w:cs="Arial"/>
        </w:rPr>
        <w:t>Marais 2021b</w:t>
      </w:r>
      <w:r w:rsidR="00074F84">
        <w:rPr>
          <w:rFonts w:ascii="Arial" w:hAnsi="Arial" w:cs="Arial"/>
        </w:rPr>
        <w:t>:</w:t>
      </w:r>
      <w:r w:rsidRPr="00635917">
        <w:rPr>
          <w:rFonts w:ascii="Arial" w:hAnsi="Arial" w:cs="Arial"/>
        </w:rPr>
        <w:t xml:space="preserve">216. </w:t>
      </w:r>
      <w:proofErr w:type="spellStart"/>
      <w:r w:rsidRPr="00635917">
        <w:rPr>
          <w:rFonts w:ascii="Arial" w:hAnsi="Arial" w:cs="Arial"/>
        </w:rPr>
        <w:t>Boggenpoel</w:t>
      </w:r>
      <w:proofErr w:type="spellEnd"/>
      <w:r w:rsidRPr="00635917">
        <w:rPr>
          <w:rFonts w:ascii="Arial" w:hAnsi="Arial" w:cs="Arial"/>
        </w:rPr>
        <w:t xml:space="preserve"> 2017</w:t>
      </w:r>
      <w:r w:rsidR="00074F84">
        <w:rPr>
          <w:rFonts w:ascii="Arial" w:hAnsi="Arial" w:cs="Arial"/>
        </w:rPr>
        <w:t>:</w:t>
      </w:r>
      <w:r w:rsidRPr="00635917">
        <w:rPr>
          <w:rFonts w:ascii="Arial" w:hAnsi="Arial" w:cs="Arial"/>
        </w:rPr>
        <w:t>116</w:t>
      </w:r>
      <w:r w:rsidR="00984F0A">
        <w:rPr>
          <w:rFonts w:ascii="Arial" w:hAnsi="Arial" w:cs="Arial"/>
        </w:rPr>
        <w:t>,</w:t>
      </w:r>
      <w:r w:rsidRPr="00635917">
        <w:rPr>
          <w:rFonts w:ascii="Arial" w:hAnsi="Arial" w:cs="Arial"/>
        </w:rPr>
        <w:t xml:space="preserve"> 118</w:t>
      </w:r>
      <w:r w:rsidRPr="009479BA">
        <w:rPr>
          <w:rFonts w:ascii="Arial" w:hAnsi="Arial" w:cs="Arial"/>
        </w:rPr>
        <w:t xml:space="preserve">; Muller </w:t>
      </w:r>
      <w:r w:rsidRPr="009479BA">
        <w:rPr>
          <w:rFonts w:ascii="Arial" w:hAnsi="Arial" w:cs="Arial"/>
          <w:i/>
          <w:iCs/>
        </w:rPr>
        <w:t>et al</w:t>
      </w:r>
      <w:r w:rsidRPr="009479BA">
        <w:rPr>
          <w:rFonts w:ascii="Arial" w:hAnsi="Arial" w:cs="Arial"/>
        </w:rPr>
        <w:t xml:space="preserve"> 2019</w:t>
      </w:r>
      <w:r w:rsidR="009479BA" w:rsidRPr="009479BA">
        <w:rPr>
          <w:rFonts w:ascii="Arial" w:hAnsi="Arial" w:cs="Arial"/>
        </w:rPr>
        <w:t>a</w:t>
      </w:r>
      <w:r w:rsidR="00074F84" w:rsidRPr="009479BA">
        <w:rPr>
          <w:rFonts w:ascii="Arial" w:hAnsi="Arial" w:cs="Arial"/>
        </w:rPr>
        <w:t>:</w:t>
      </w:r>
      <w:r w:rsidRPr="009479BA">
        <w:rPr>
          <w:rFonts w:ascii="Arial" w:hAnsi="Arial" w:cs="Arial"/>
        </w:rPr>
        <w:t>205.</w:t>
      </w:r>
    </w:p>
  </w:footnote>
  <w:footnote w:id="342">
    <w:p w14:paraId="7727CD01" w14:textId="11CE5A00" w:rsidR="00761FF4" w:rsidRPr="00635917" w:rsidRDefault="00761FF4" w:rsidP="00702C35">
      <w:pPr>
        <w:pStyle w:val="FootnoteText"/>
        <w:ind w:left="357" w:hanging="357"/>
        <w:jc w:val="both"/>
      </w:pPr>
      <w:r w:rsidRPr="009479BA">
        <w:rPr>
          <w:rStyle w:val="FootnoteReference"/>
          <w:rFonts w:ascii="Arial" w:hAnsi="Arial" w:cs="Arial"/>
        </w:rPr>
        <w:footnoteRef/>
      </w:r>
      <w:r w:rsidRPr="009479BA">
        <w:rPr>
          <w:rFonts w:ascii="Arial" w:hAnsi="Arial" w:cs="Arial"/>
        </w:rPr>
        <w:t xml:space="preserve"> </w:t>
      </w:r>
      <w:r w:rsidR="00096906" w:rsidRPr="009479BA">
        <w:rPr>
          <w:rFonts w:ascii="Arial" w:hAnsi="Arial" w:cs="Arial"/>
        </w:rPr>
        <w:tab/>
      </w:r>
      <w:r w:rsidRPr="009479BA">
        <w:rPr>
          <w:rFonts w:ascii="Arial" w:hAnsi="Arial" w:cs="Arial"/>
          <w:i/>
          <w:iCs/>
        </w:rPr>
        <w:t xml:space="preserve">City of Cape Town v </w:t>
      </w:r>
      <w:proofErr w:type="spellStart"/>
      <w:r w:rsidRPr="009479BA">
        <w:rPr>
          <w:rFonts w:ascii="Arial" w:hAnsi="Arial" w:cs="Arial"/>
          <w:i/>
          <w:iCs/>
        </w:rPr>
        <w:t>Strumpher</w:t>
      </w:r>
      <w:r w:rsidR="00DC67AC" w:rsidRPr="009479BA">
        <w:rPr>
          <w:rFonts w:ascii="Arial" w:hAnsi="Arial" w:cs="Arial"/>
        </w:rPr>
        <w:t>:par</w:t>
      </w:r>
      <w:proofErr w:type="spellEnd"/>
      <w:r w:rsidR="00DC67AC" w:rsidRPr="009479BA">
        <w:rPr>
          <w:rFonts w:ascii="Arial" w:hAnsi="Arial" w:cs="Arial"/>
        </w:rPr>
        <w:t xml:space="preserve">. </w:t>
      </w:r>
      <w:r w:rsidRPr="009479BA">
        <w:rPr>
          <w:rFonts w:ascii="Arial" w:hAnsi="Arial" w:cs="Arial"/>
        </w:rPr>
        <w:t>6.</w:t>
      </w:r>
    </w:p>
  </w:footnote>
  <w:footnote w:id="343">
    <w:p w14:paraId="4CF09F91" w14:textId="7408F894" w:rsidR="00761FF4" w:rsidRPr="00635917"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96906">
        <w:rPr>
          <w:rFonts w:ascii="Arial" w:hAnsi="Arial" w:cs="Arial"/>
        </w:rPr>
        <w:tab/>
      </w:r>
      <w:r w:rsidRPr="00635917">
        <w:rPr>
          <w:rFonts w:ascii="Arial" w:hAnsi="Arial" w:cs="Arial"/>
        </w:rPr>
        <w:t>Van der Merwe &amp; Pienaar 2012</w:t>
      </w:r>
      <w:r w:rsidR="00074F84">
        <w:rPr>
          <w:rFonts w:ascii="Arial" w:hAnsi="Arial" w:cs="Arial"/>
        </w:rPr>
        <w:t>:</w:t>
      </w:r>
      <w:r w:rsidRPr="00635917">
        <w:rPr>
          <w:rFonts w:ascii="Arial" w:hAnsi="Arial" w:cs="Arial"/>
        </w:rPr>
        <w:t xml:space="preserve">729. </w:t>
      </w:r>
      <w:r w:rsidRPr="00635917">
        <w:rPr>
          <w:rFonts w:ascii="Arial" w:hAnsi="Arial" w:cs="Arial"/>
          <w:i/>
          <w:iCs/>
        </w:rPr>
        <w:t xml:space="preserve">City of Cape Town v </w:t>
      </w:r>
      <w:proofErr w:type="spellStart"/>
      <w:r w:rsidRPr="00635917">
        <w:rPr>
          <w:rFonts w:ascii="Arial" w:hAnsi="Arial" w:cs="Arial"/>
          <w:i/>
          <w:iCs/>
        </w:rPr>
        <w:t>Strumpher</w:t>
      </w:r>
      <w:r w:rsidR="00074F84">
        <w:rPr>
          <w:rFonts w:ascii="Arial" w:hAnsi="Arial" w:cs="Arial"/>
        </w:rPr>
        <w:t>:</w:t>
      </w:r>
      <w:r w:rsidR="00984F0A">
        <w:rPr>
          <w:rFonts w:ascii="Arial" w:hAnsi="Arial" w:cs="Arial"/>
        </w:rPr>
        <w:t>p</w:t>
      </w:r>
      <w:r w:rsidRPr="00635917">
        <w:rPr>
          <w:rFonts w:ascii="Arial" w:hAnsi="Arial" w:cs="Arial"/>
        </w:rPr>
        <w:t>aras</w:t>
      </w:r>
      <w:proofErr w:type="spellEnd"/>
      <w:r w:rsidRPr="00635917">
        <w:rPr>
          <w:rFonts w:ascii="Arial" w:hAnsi="Arial" w:cs="Arial"/>
        </w:rPr>
        <w:t xml:space="preserve"> 8-11.</w:t>
      </w:r>
    </w:p>
  </w:footnote>
  <w:footnote w:id="344">
    <w:p w14:paraId="46264F6C" w14:textId="333C5AB1" w:rsidR="00761FF4" w:rsidRPr="00635917"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96906">
        <w:rPr>
          <w:rFonts w:ascii="Arial" w:hAnsi="Arial" w:cs="Arial"/>
        </w:rPr>
        <w:tab/>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9.</w:t>
      </w:r>
    </w:p>
  </w:footnote>
  <w:footnote w:id="345">
    <w:p w14:paraId="46C1C298" w14:textId="47A2D80D" w:rsidR="00761FF4" w:rsidRPr="00635917" w:rsidRDefault="00761FF4" w:rsidP="00702C35">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r w:rsidRPr="00635917">
        <w:rPr>
          <w:rFonts w:ascii="Arial" w:hAnsi="Arial" w:cs="Arial"/>
        </w:rPr>
        <w:t>Van der Merwe &amp; Pienaar 2012</w:t>
      </w:r>
      <w:r w:rsidR="00074F84">
        <w:rPr>
          <w:rFonts w:ascii="Arial" w:hAnsi="Arial" w:cs="Arial"/>
        </w:rPr>
        <w:t>:</w:t>
      </w:r>
      <w:r w:rsidRPr="00635917">
        <w:rPr>
          <w:rFonts w:ascii="Arial" w:hAnsi="Arial" w:cs="Arial"/>
        </w:rPr>
        <w:t xml:space="preserve">729. </w:t>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19.</w:t>
      </w:r>
    </w:p>
  </w:footnote>
  <w:footnote w:id="346">
    <w:p w14:paraId="12530B53" w14:textId="2A53E4DE"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r w:rsidRPr="00635917">
        <w:rPr>
          <w:rFonts w:ascii="Arial" w:hAnsi="Arial" w:cs="Arial"/>
        </w:rPr>
        <w:t>Van der Merwe &amp; Pienaar 2012</w:t>
      </w:r>
      <w:r w:rsidR="00074F84">
        <w:rPr>
          <w:rFonts w:ascii="Arial" w:hAnsi="Arial" w:cs="Arial"/>
        </w:rPr>
        <w:t>:</w:t>
      </w:r>
      <w:r w:rsidRPr="00635917">
        <w:rPr>
          <w:rFonts w:ascii="Arial" w:hAnsi="Arial" w:cs="Arial"/>
        </w:rPr>
        <w:t xml:space="preserve">730. Section 27 of the </w:t>
      </w:r>
      <w:r w:rsidR="006B6EEC" w:rsidRPr="006B6EEC">
        <w:rPr>
          <w:rFonts w:ascii="Arial" w:hAnsi="Arial" w:cs="Arial"/>
          <w:i/>
          <w:iCs/>
        </w:rPr>
        <w:t>Constitution</w:t>
      </w:r>
      <w:r w:rsidR="006B6EEC" w:rsidRPr="00635917">
        <w:rPr>
          <w:rFonts w:ascii="Arial" w:hAnsi="Arial" w:cs="Arial"/>
        </w:rPr>
        <w:t xml:space="preserve"> </w:t>
      </w:r>
      <w:r w:rsidRPr="00635917">
        <w:rPr>
          <w:rFonts w:ascii="Arial" w:hAnsi="Arial" w:cs="Arial"/>
        </w:rPr>
        <w:t xml:space="preserve">placed an obligation on the state to achieve the progressive realisation of the right to basic water for everyone, supplemented by section 3(1) of the </w:t>
      </w:r>
      <w:r w:rsidRPr="006B6EEC">
        <w:rPr>
          <w:rFonts w:ascii="Arial" w:hAnsi="Arial" w:cs="Arial"/>
          <w:i/>
          <w:iCs/>
        </w:rPr>
        <w:t>Water Services Act</w:t>
      </w:r>
      <w:r w:rsidRPr="00635917">
        <w:rPr>
          <w:rFonts w:ascii="Arial" w:hAnsi="Arial" w:cs="Arial"/>
        </w:rPr>
        <w:t xml:space="preserve"> 108 of 1997 and section 152(1)(b) which gives effect to section 27(1)(b) of the </w:t>
      </w:r>
      <w:r w:rsidR="006B6EEC" w:rsidRPr="006B6EEC">
        <w:rPr>
          <w:rFonts w:ascii="Arial" w:hAnsi="Arial" w:cs="Arial"/>
          <w:i/>
          <w:iCs/>
        </w:rPr>
        <w:t>Constitution</w:t>
      </w:r>
      <w:r w:rsidR="006B6EEC" w:rsidRPr="00635917">
        <w:rPr>
          <w:rFonts w:ascii="Arial" w:hAnsi="Arial" w:cs="Arial"/>
        </w:rPr>
        <w:t xml:space="preserve"> </w:t>
      </w:r>
      <w:r w:rsidRPr="00635917">
        <w:rPr>
          <w:rFonts w:ascii="Arial" w:hAnsi="Arial" w:cs="Arial"/>
        </w:rPr>
        <w:t>(by mandating local governments and municipalities to deliver services to communities in a sustainable manner). In other words, the respondent’s right to claim under the spoliation remedy was not only reliant on the agreement concluded with the city but was also founded on statutory and constitutional obligations. (Van der Merwe &amp; Pienaar 2012</w:t>
      </w:r>
      <w:r w:rsidR="00074F84">
        <w:rPr>
          <w:rFonts w:ascii="Arial" w:hAnsi="Arial" w:cs="Arial"/>
        </w:rPr>
        <w:t>:</w:t>
      </w:r>
      <w:r w:rsidRPr="00635917">
        <w:rPr>
          <w:rFonts w:ascii="Arial" w:hAnsi="Arial" w:cs="Arial"/>
        </w:rPr>
        <w:t xml:space="preserve">730; </w:t>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9)</w:t>
      </w:r>
      <w:r w:rsidR="00721E0C">
        <w:rPr>
          <w:rFonts w:ascii="Arial" w:hAnsi="Arial" w:cs="Arial"/>
        </w:rPr>
        <w:t>.</w:t>
      </w:r>
    </w:p>
  </w:footnote>
  <w:footnote w:id="347">
    <w:p w14:paraId="16E63B48" w14:textId="67D1CE1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11</w:t>
      </w:r>
      <w:r w:rsidR="00D3659A">
        <w:rPr>
          <w:rFonts w:ascii="Arial" w:hAnsi="Arial" w:cs="Arial"/>
        </w:rPr>
        <w:t>,</w:t>
      </w:r>
      <w:r w:rsidRPr="00635917">
        <w:rPr>
          <w:rFonts w:ascii="Arial" w:hAnsi="Arial" w:cs="Arial"/>
        </w:rPr>
        <w:t>&amp;19.</w:t>
      </w:r>
    </w:p>
  </w:footnote>
  <w:footnote w:id="348">
    <w:p w14:paraId="197D019D" w14:textId="33CC464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10 &amp; 19.</w:t>
      </w:r>
    </w:p>
  </w:footnote>
  <w:footnote w:id="349">
    <w:p w14:paraId="6BB3B04F" w14:textId="00FCDC84"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r w:rsidRPr="00635917">
        <w:rPr>
          <w:rFonts w:ascii="Arial" w:hAnsi="Arial" w:cs="Arial"/>
          <w:i/>
          <w:iCs/>
        </w:rPr>
        <w:t xml:space="preserve">City of Cape Town v </w:t>
      </w:r>
      <w:proofErr w:type="spellStart"/>
      <w:r w:rsidRPr="00635917">
        <w:rPr>
          <w:rFonts w:ascii="Arial" w:hAnsi="Arial" w:cs="Arial"/>
          <w:i/>
          <w:iCs/>
        </w:rPr>
        <w:t>Strumpher</w:t>
      </w:r>
      <w:r w:rsidR="00DC67AC">
        <w:rPr>
          <w:rFonts w:ascii="Arial" w:hAnsi="Arial" w:cs="Arial"/>
        </w:rPr>
        <w:t>:par</w:t>
      </w:r>
      <w:proofErr w:type="spellEnd"/>
      <w:r w:rsidR="00DC67AC">
        <w:rPr>
          <w:rFonts w:ascii="Arial" w:hAnsi="Arial" w:cs="Arial"/>
        </w:rPr>
        <w:t xml:space="preserve">. </w:t>
      </w:r>
      <w:r w:rsidRPr="00635917">
        <w:rPr>
          <w:rFonts w:ascii="Arial" w:hAnsi="Arial" w:cs="Arial"/>
        </w:rPr>
        <w:t>19.</w:t>
      </w:r>
    </w:p>
  </w:footnote>
  <w:footnote w:id="350">
    <w:p w14:paraId="677FC374" w14:textId="2322B27C"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proofErr w:type="spellStart"/>
      <w:r w:rsidRPr="00635917">
        <w:rPr>
          <w:rFonts w:ascii="Arial" w:hAnsi="Arial" w:cs="Arial"/>
        </w:rPr>
        <w:t>Boggenpoel</w:t>
      </w:r>
      <w:proofErr w:type="spellEnd"/>
      <w:r w:rsidRPr="00635917">
        <w:rPr>
          <w:rFonts w:ascii="Arial" w:hAnsi="Arial" w:cs="Arial"/>
        </w:rPr>
        <w:t xml:space="preserve"> 2015</w:t>
      </w:r>
      <w:r w:rsidR="00074F84">
        <w:rPr>
          <w:rFonts w:ascii="Arial" w:hAnsi="Arial" w:cs="Arial"/>
        </w:rPr>
        <w:t>:</w:t>
      </w:r>
      <w:r w:rsidRPr="00635917">
        <w:rPr>
          <w:rFonts w:ascii="Arial" w:hAnsi="Arial" w:cs="Arial"/>
        </w:rPr>
        <w:t>87.</w:t>
      </w:r>
    </w:p>
  </w:footnote>
  <w:footnote w:id="351">
    <w:p w14:paraId="2B7A239E" w14:textId="1FF9E1DE" w:rsidR="00761FF4" w:rsidRPr="009479BA"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6EEC">
        <w:rPr>
          <w:rFonts w:ascii="Arial" w:hAnsi="Arial" w:cs="Arial"/>
        </w:rPr>
        <w:tab/>
      </w:r>
      <w:proofErr w:type="spellStart"/>
      <w:r w:rsidRPr="00635917">
        <w:rPr>
          <w:rFonts w:ascii="Arial" w:hAnsi="Arial" w:cs="Arial"/>
        </w:rPr>
        <w:t>Boggenpoel</w:t>
      </w:r>
      <w:proofErr w:type="spellEnd"/>
      <w:r w:rsidRPr="00635917">
        <w:rPr>
          <w:rFonts w:ascii="Arial" w:hAnsi="Arial" w:cs="Arial"/>
        </w:rPr>
        <w:t xml:space="preserve"> 2015</w:t>
      </w:r>
      <w:r w:rsidR="00074F84">
        <w:rPr>
          <w:rFonts w:ascii="Arial" w:hAnsi="Arial" w:cs="Arial"/>
        </w:rPr>
        <w:t>:</w:t>
      </w:r>
      <w:r w:rsidRPr="00635917">
        <w:rPr>
          <w:rFonts w:ascii="Arial" w:hAnsi="Arial" w:cs="Arial"/>
        </w:rPr>
        <w:t xml:space="preserve">97. It is argued that this view is incorrect because, in </w:t>
      </w:r>
      <w:r w:rsidRPr="00635917">
        <w:rPr>
          <w:rFonts w:ascii="Arial" w:hAnsi="Arial" w:cs="Arial"/>
          <w:i/>
          <w:iCs/>
        </w:rPr>
        <w:t>quasi</w:t>
      </w:r>
      <w:r w:rsidRPr="00635917">
        <w:rPr>
          <w:rFonts w:ascii="Arial" w:hAnsi="Arial" w:cs="Arial"/>
        </w:rPr>
        <w:t>-possession cases, the right must be a constituent of the control of a corporea</w:t>
      </w:r>
      <w:r w:rsidRPr="009479BA">
        <w:rPr>
          <w:rFonts w:ascii="Arial" w:hAnsi="Arial" w:cs="Arial"/>
        </w:rPr>
        <w:t xml:space="preserve">l thing (Muller </w:t>
      </w:r>
      <w:r w:rsidRPr="009479BA">
        <w:rPr>
          <w:rFonts w:ascii="Arial" w:hAnsi="Arial" w:cs="Arial"/>
          <w:i/>
          <w:iCs/>
        </w:rPr>
        <w:t>et al</w:t>
      </w:r>
      <w:r w:rsidRPr="009479BA">
        <w:rPr>
          <w:rFonts w:ascii="Arial" w:hAnsi="Arial" w:cs="Arial"/>
        </w:rPr>
        <w:t xml:space="preserve"> 2019</w:t>
      </w:r>
      <w:r w:rsidR="009479BA" w:rsidRPr="009479BA">
        <w:rPr>
          <w:rFonts w:ascii="Arial" w:hAnsi="Arial" w:cs="Arial"/>
        </w:rPr>
        <w:t>a</w:t>
      </w:r>
      <w:r w:rsidR="00074F84" w:rsidRPr="009479BA">
        <w:rPr>
          <w:rFonts w:ascii="Arial" w:hAnsi="Arial" w:cs="Arial"/>
        </w:rPr>
        <w:t>:</w:t>
      </w:r>
      <w:r w:rsidRPr="009479BA">
        <w:rPr>
          <w:rFonts w:ascii="Arial" w:hAnsi="Arial" w:cs="Arial"/>
        </w:rPr>
        <w:t>205).</w:t>
      </w:r>
    </w:p>
  </w:footnote>
  <w:footnote w:id="352">
    <w:p w14:paraId="07B51C26" w14:textId="679D4B44" w:rsidR="00761FF4" w:rsidRPr="00635917" w:rsidRDefault="00761FF4" w:rsidP="00E63179">
      <w:pPr>
        <w:pStyle w:val="FootnoteText"/>
        <w:ind w:left="357" w:hanging="357"/>
        <w:jc w:val="both"/>
        <w:rPr>
          <w:rFonts w:ascii="Arial" w:hAnsi="Arial" w:cs="Arial"/>
        </w:rPr>
      </w:pPr>
      <w:r w:rsidRPr="009479BA">
        <w:rPr>
          <w:rStyle w:val="FootnoteReference"/>
          <w:rFonts w:ascii="Arial" w:hAnsi="Arial" w:cs="Arial"/>
        </w:rPr>
        <w:footnoteRef/>
      </w:r>
      <w:r w:rsidRPr="009E6526">
        <w:rPr>
          <w:rFonts w:ascii="Arial" w:hAnsi="Arial" w:cs="Arial"/>
          <w:lang w:val="de-DE"/>
        </w:rPr>
        <w:t xml:space="preserve"> </w:t>
      </w:r>
      <w:r w:rsidR="006B6EEC" w:rsidRPr="009E6526">
        <w:rPr>
          <w:rFonts w:ascii="Arial" w:hAnsi="Arial" w:cs="Arial"/>
          <w:lang w:val="de-DE"/>
        </w:rPr>
        <w:tab/>
      </w:r>
      <w:r w:rsidRPr="009E6526">
        <w:rPr>
          <w:rFonts w:ascii="Arial" w:hAnsi="Arial" w:cs="Arial"/>
          <w:lang w:val="de-DE"/>
        </w:rPr>
        <w:t>Boggenpoel 2015</w:t>
      </w:r>
      <w:r w:rsidR="00074F84" w:rsidRPr="009E6526">
        <w:rPr>
          <w:rFonts w:ascii="Arial" w:hAnsi="Arial" w:cs="Arial"/>
          <w:lang w:val="de-DE"/>
        </w:rPr>
        <w:t>:</w:t>
      </w:r>
      <w:r w:rsidRPr="009E6526">
        <w:rPr>
          <w:rFonts w:ascii="Arial" w:hAnsi="Arial" w:cs="Arial"/>
          <w:lang w:val="de-DE"/>
        </w:rPr>
        <w:t>83; Boggenpoel 2017</w:t>
      </w:r>
      <w:r w:rsidR="00074F84" w:rsidRPr="009E6526">
        <w:rPr>
          <w:rFonts w:ascii="Arial" w:hAnsi="Arial" w:cs="Arial"/>
          <w:lang w:val="de-DE"/>
        </w:rPr>
        <w:t>:</w:t>
      </w:r>
      <w:r w:rsidRPr="009E6526">
        <w:rPr>
          <w:rFonts w:ascii="Arial" w:hAnsi="Arial" w:cs="Arial"/>
          <w:lang w:val="de-DE"/>
        </w:rPr>
        <w:t>118; Kleyn 2013</w:t>
      </w:r>
      <w:r w:rsidR="00074F84" w:rsidRPr="009E6526">
        <w:rPr>
          <w:rFonts w:ascii="Arial" w:hAnsi="Arial" w:cs="Arial"/>
          <w:lang w:val="de-DE"/>
        </w:rPr>
        <w:t>:</w:t>
      </w:r>
      <w:r w:rsidRPr="009E6526">
        <w:rPr>
          <w:rFonts w:ascii="Arial" w:hAnsi="Arial" w:cs="Arial"/>
          <w:lang w:val="de-DE"/>
        </w:rPr>
        <w:t xml:space="preserve">9; Muller </w:t>
      </w:r>
      <w:r w:rsidRPr="009E6526">
        <w:rPr>
          <w:rFonts w:ascii="Arial" w:hAnsi="Arial" w:cs="Arial"/>
          <w:i/>
          <w:iCs/>
          <w:lang w:val="de-DE"/>
        </w:rPr>
        <w:t>et al</w:t>
      </w:r>
      <w:r w:rsidRPr="009E6526">
        <w:rPr>
          <w:rFonts w:ascii="Arial" w:hAnsi="Arial" w:cs="Arial"/>
          <w:lang w:val="de-DE"/>
        </w:rPr>
        <w:t xml:space="preserve"> 2019</w:t>
      </w:r>
      <w:r w:rsidR="009479BA" w:rsidRPr="009E6526">
        <w:rPr>
          <w:rFonts w:ascii="Arial" w:hAnsi="Arial" w:cs="Arial"/>
          <w:lang w:val="de-DE"/>
        </w:rPr>
        <w:t>a</w:t>
      </w:r>
      <w:r w:rsidR="00074F84" w:rsidRPr="009E6526">
        <w:rPr>
          <w:rFonts w:ascii="Arial" w:hAnsi="Arial" w:cs="Arial"/>
          <w:lang w:val="de-DE"/>
        </w:rPr>
        <w:t>:</w:t>
      </w:r>
      <w:r w:rsidRPr="009E6526">
        <w:rPr>
          <w:rFonts w:ascii="Arial" w:hAnsi="Arial" w:cs="Arial"/>
          <w:lang w:val="de-DE"/>
        </w:rPr>
        <w:t>203-204.</w:t>
      </w:r>
      <w:r w:rsidRPr="009E6526">
        <w:rPr>
          <w:rFonts w:ascii="Arial" w:hAnsi="Arial" w:cs="Arial"/>
          <w:sz w:val="24"/>
          <w:szCs w:val="24"/>
          <w:lang w:val="de-DE"/>
        </w:rPr>
        <w:t xml:space="preserve"> </w:t>
      </w:r>
      <w:r w:rsidRPr="009479BA">
        <w:rPr>
          <w:rFonts w:ascii="Arial" w:hAnsi="Arial" w:cs="Arial"/>
        </w:rPr>
        <w:t>Holding that the respondent’s right was a public law right and at the same time an incident of possession</w:t>
      </w:r>
      <w:r w:rsidRPr="00635917">
        <w:rPr>
          <w:rFonts w:ascii="Arial" w:hAnsi="Arial" w:cs="Arial"/>
        </w:rPr>
        <w:t xml:space="preserve"> of the thing suggests that the spoliation remedy applies to constitutional and statutory rights in the same way it applies to real rights, and that it also applies to constitutional and statutory right in the same way it applies to personal rights that are an incident of possession of the property. According to Freedman, the extension of the spoliation remedy to include constitutional or registered statutory rights introduces an element of conceptual confusion into the application of the spoliation remedy in </w:t>
      </w:r>
      <w:r w:rsidRPr="00635917">
        <w:rPr>
          <w:rFonts w:ascii="Arial" w:hAnsi="Arial" w:cs="Arial"/>
          <w:i/>
          <w:iCs/>
        </w:rPr>
        <w:t>quasi</w:t>
      </w:r>
      <w:r w:rsidRPr="00635917">
        <w:rPr>
          <w:rFonts w:ascii="Arial" w:hAnsi="Arial" w:cs="Arial"/>
        </w:rPr>
        <w:t>-possession cases. He argues that this extension equates constitutional and statutory rights with real rights and subsequently equates them with personal rights that are an incident of the possession of a thing. He suggests that the spoliation remedy must either apply to constitutional and statutory rights as a rule or as an exception to the rule, that it should not apply in both ways. He further critiques this extension by submitting that it is not clear whether the extended application of the spoliation remedy will have any implications in practice. He fears that, because the real right to water and the constitutional or statutory right to water were  use rights or ‘</w:t>
      </w:r>
      <w:proofErr w:type="spellStart"/>
      <w:r w:rsidRPr="00635917">
        <w:rPr>
          <w:rFonts w:ascii="Arial" w:hAnsi="Arial" w:cs="Arial"/>
          <w:i/>
          <w:iCs/>
        </w:rPr>
        <w:t>gebruiksregte</w:t>
      </w:r>
      <w:proofErr w:type="spellEnd"/>
      <w:r w:rsidRPr="00635917">
        <w:rPr>
          <w:rFonts w:ascii="Arial" w:hAnsi="Arial" w:cs="Arial"/>
        </w:rPr>
        <w:t xml:space="preserve">’, then it can be argued that this case is authority for the principle that a person who has been dispossessed of a specific constitutional or statutory right entitling him to use rights, may as well claim the </w:t>
      </w:r>
      <w:r w:rsidRPr="00635917">
        <w:rPr>
          <w:rFonts w:ascii="Arial" w:hAnsi="Arial" w:cs="Arial"/>
          <w:i/>
          <w:iCs/>
        </w:rPr>
        <w:t>quasi</w:t>
      </w:r>
      <w:r w:rsidRPr="00635917">
        <w:rPr>
          <w:rFonts w:ascii="Arial" w:hAnsi="Arial" w:cs="Arial"/>
        </w:rPr>
        <w:t>-possession of that right using the spoliation remedy. Therefore, for him, it is not easily determinable which other constitutional rights fall into the category of use rights capable of being claimed by the spoliation remedy (Freedman 2015</w:t>
      </w:r>
      <w:r w:rsidR="00074F84">
        <w:rPr>
          <w:rFonts w:ascii="Arial" w:hAnsi="Arial" w:cs="Arial"/>
        </w:rPr>
        <w:t>:</w:t>
      </w:r>
      <w:r w:rsidRPr="00635917">
        <w:rPr>
          <w:rFonts w:ascii="Arial" w:hAnsi="Arial" w:cs="Arial"/>
        </w:rPr>
        <w:t xml:space="preserve">203-204; </w:t>
      </w:r>
      <w:r w:rsidRPr="00635917">
        <w:rPr>
          <w:rFonts w:ascii="Arial" w:hAnsi="Arial" w:cs="Arial"/>
          <w:i/>
          <w:iCs/>
        </w:rPr>
        <w:t xml:space="preserve">City of Cape Town v </w:t>
      </w:r>
      <w:proofErr w:type="spellStart"/>
      <w:r w:rsidRPr="00635917">
        <w:rPr>
          <w:rFonts w:ascii="Arial" w:hAnsi="Arial" w:cs="Arial"/>
          <w:i/>
          <w:iCs/>
        </w:rPr>
        <w:t>Strumpher</w:t>
      </w:r>
      <w:r w:rsidR="00074F84">
        <w:rPr>
          <w:rFonts w:ascii="Arial" w:hAnsi="Arial" w:cs="Arial"/>
        </w:rPr>
        <w:t>:</w:t>
      </w:r>
      <w:r w:rsidR="00D3659A">
        <w:rPr>
          <w:rFonts w:ascii="Arial" w:hAnsi="Arial" w:cs="Arial"/>
        </w:rPr>
        <w:t>p</w:t>
      </w:r>
      <w:r w:rsidRPr="00635917">
        <w:rPr>
          <w:rFonts w:ascii="Arial" w:hAnsi="Arial" w:cs="Arial"/>
        </w:rPr>
        <w:t>aras</w:t>
      </w:r>
      <w:proofErr w:type="spellEnd"/>
      <w:r w:rsidRPr="00635917">
        <w:rPr>
          <w:rFonts w:ascii="Arial" w:hAnsi="Arial" w:cs="Arial"/>
        </w:rPr>
        <w:t xml:space="preserve"> 9-11</w:t>
      </w:r>
      <w:r w:rsidR="00D3659A">
        <w:rPr>
          <w:rFonts w:ascii="Arial" w:hAnsi="Arial" w:cs="Arial"/>
        </w:rPr>
        <w:t>,</w:t>
      </w:r>
      <w:r w:rsidRPr="00635917">
        <w:rPr>
          <w:rFonts w:ascii="Arial" w:hAnsi="Arial" w:cs="Arial"/>
        </w:rPr>
        <w:t xml:space="preserve"> 19). Though his concerns are agreeable, this research is limited to the spoliation of water and electricity supply, which makes it impossible to delve</w:t>
      </w:r>
      <w:r w:rsidR="00D00C27">
        <w:rPr>
          <w:rFonts w:ascii="Arial" w:hAnsi="Arial" w:cs="Arial"/>
        </w:rPr>
        <w:t xml:space="preserve"> into the matter in</w:t>
      </w:r>
      <w:r w:rsidRPr="00635917">
        <w:rPr>
          <w:rFonts w:ascii="Arial" w:hAnsi="Arial" w:cs="Arial"/>
        </w:rPr>
        <w:t xml:space="preserve"> more detail.</w:t>
      </w:r>
    </w:p>
  </w:footnote>
  <w:footnote w:id="353">
    <w:p w14:paraId="64F21F89" w14:textId="17BCE5E4" w:rsidR="0041297E" w:rsidRDefault="0041297E" w:rsidP="009A6FC7">
      <w:pPr>
        <w:pStyle w:val="FootnoteText"/>
        <w:ind w:left="357" w:hanging="357"/>
        <w:jc w:val="both"/>
      </w:pPr>
      <w:r>
        <w:rPr>
          <w:rStyle w:val="FootnoteReference"/>
        </w:rPr>
        <w:footnoteRef/>
      </w:r>
      <w:r>
        <w:t xml:space="preserve"> </w:t>
      </w:r>
      <w:r w:rsidR="009A6FC7">
        <w:t xml:space="preserve">  </w:t>
      </w:r>
      <w:proofErr w:type="spellStart"/>
      <w:r w:rsidR="009A6FC7" w:rsidRPr="00FE4D11">
        <w:rPr>
          <w:rFonts w:ascii="Arial" w:hAnsi="Arial" w:cs="Arial"/>
          <w:i/>
          <w:iCs/>
        </w:rPr>
        <w:t>Constitution</w:t>
      </w:r>
      <w:r w:rsidR="009A6FC7">
        <w:rPr>
          <w:rFonts w:ascii="Arial" w:hAnsi="Arial" w:cs="Arial"/>
          <w:iCs/>
        </w:rPr>
        <w:t>:</w:t>
      </w:r>
      <w:r w:rsidR="009A6FC7" w:rsidRPr="00FE4D11">
        <w:rPr>
          <w:rFonts w:ascii="Arial" w:hAnsi="Arial" w:cs="Arial"/>
          <w:iCs/>
        </w:rPr>
        <w:t>sec</w:t>
      </w:r>
      <w:proofErr w:type="spellEnd"/>
      <w:r w:rsidR="009A6FC7" w:rsidRPr="00635917">
        <w:rPr>
          <w:rFonts w:ascii="Arial" w:hAnsi="Arial" w:cs="Arial"/>
          <w:iCs/>
        </w:rPr>
        <w:t xml:space="preserve"> 27(1)(b).</w:t>
      </w:r>
    </w:p>
  </w:footnote>
  <w:footnote w:id="354">
    <w:p w14:paraId="53723F84" w14:textId="0E147F35" w:rsidR="00761FF4" w:rsidRPr="00635917" w:rsidRDefault="00761FF4" w:rsidP="00E63179">
      <w:pPr>
        <w:pStyle w:val="FootnoteText"/>
        <w:ind w:left="357" w:hanging="357"/>
        <w:jc w:val="both"/>
      </w:pPr>
      <w:r w:rsidRPr="00635917">
        <w:rPr>
          <w:rStyle w:val="FootnoteReference"/>
          <w:rFonts w:ascii="Arial" w:hAnsi="Arial" w:cs="Arial"/>
        </w:rPr>
        <w:footnoteRef/>
      </w:r>
      <w:r w:rsidR="00D3659A">
        <w:rPr>
          <w:rFonts w:ascii="Arial" w:hAnsi="Arial" w:cs="Arial"/>
          <w:i/>
          <w:iCs/>
        </w:rPr>
        <w:t xml:space="preserve"> </w:t>
      </w:r>
      <w:r w:rsidR="00D3659A">
        <w:rPr>
          <w:rFonts w:ascii="Arial" w:hAnsi="Arial" w:cs="Arial"/>
          <w:i/>
          <w:iCs/>
        </w:rPr>
        <w:tab/>
      </w:r>
      <w:r w:rsidRPr="00635917">
        <w:rPr>
          <w:rFonts w:ascii="Arial" w:hAnsi="Arial" w:cs="Arial"/>
          <w:i/>
          <w:iCs/>
        </w:rPr>
        <w:t>Josep</w:t>
      </w:r>
      <w:r w:rsidR="00D3659A">
        <w:rPr>
          <w:rFonts w:ascii="Arial" w:hAnsi="Arial" w:cs="Arial"/>
          <w:i/>
          <w:iCs/>
        </w:rPr>
        <w:t xml:space="preserve">h </w:t>
      </w:r>
      <w:r w:rsidRPr="00635917">
        <w:rPr>
          <w:rFonts w:ascii="Arial" w:hAnsi="Arial" w:cs="Arial"/>
          <w:i/>
          <w:iCs/>
        </w:rPr>
        <w:t>v</w:t>
      </w:r>
      <w:r w:rsidR="00D3659A">
        <w:rPr>
          <w:rFonts w:ascii="Arial" w:hAnsi="Arial" w:cs="Arial"/>
          <w:i/>
          <w:iCs/>
        </w:rPr>
        <w:t xml:space="preserve"> </w:t>
      </w:r>
      <w:r w:rsidRPr="00635917">
        <w:rPr>
          <w:rFonts w:ascii="Arial" w:hAnsi="Arial" w:cs="Arial"/>
          <w:i/>
          <w:iCs/>
        </w:rPr>
        <w:t>City</w:t>
      </w:r>
      <w:r w:rsidR="00D3659A">
        <w:rPr>
          <w:rFonts w:ascii="Arial" w:hAnsi="Arial" w:cs="Arial"/>
          <w:i/>
          <w:iCs/>
        </w:rPr>
        <w:t xml:space="preserve"> </w:t>
      </w:r>
      <w:r w:rsidRPr="00635917">
        <w:rPr>
          <w:rFonts w:ascii="Arial" w:hAnsi="Arial" w:cs="Arial"/>
          <w:i/>
          <w:iCs/>
        </w:rPr>
        <w:t>of</w:t>
      </w:r>
      <w:r w:rsidR="00D3659A">
        <w:rPr>
          <w:rFonts w:ascii="Arial" w:hAnsi="Arial" w:cs="Arial"/>
          <w:i/>
          <w:iCs/>
        </w:rPr>
        <w:t xml:space="preserve"> </w:t>
      </w:r>
      <w:proofErr w:type="spellStart"/>
      <w:r w:rsidRPr="00635917">
        <w:rPr>
          <w:rFonts w:ascii="Arial" w:hAnsi="Arial" w:cs="Arial"/>
          <w:i/>
          <w:iCs/>
        </w:rPr>
        <w:t>Johannesburg</w:t>
      </w:r>
      <w:r w:rsidR="00DC67AC">
        <w:rPr>
          <w:rFonts w:ascii="Arial" w:hAnsi="Arial" w:cs="Arial"/>
        </w:rPr>
        <w:t>:par</w:t>
      </w:r>
      <w:proofErr w:type="spellEnd"/>
      <w:r w:rsidR="00DC67AC">
        <w:rPr>
          <w:rFonts w:ascii="Arial" w:hAnsi="Arial" w:cs="Arial"/>
        </w:rPr>
        <w:t xml:space="preserve">. </w:t>
      </w:r>
      <w:r w:rsidRPr="00635917">
        <w:rPr>
          <w:rFonts w:ascii="Arial" w:hAnsi="Arial" w:cs="Arial"/>
        </w:rPr>
        <w:t>40; Muller 2019</w:t>
      </w:r>
      <w:r w:rsidR="00074F84">
        <w:rPr>
          <w:rFonts w:ascii="Arial" w:hAnsi="Arial" w:cs="Arial"/>
        </w:rPr>
        <w:t>:</w:t>
      </w:r>
      <w:r w:rsidRPr="00635917">
        <w:rPr>
          <w:rFonts w:ascii="Arial" w:hAnsi="Arial" w:cs="Arial"/>
        </w:rPr>
        <w:t xml:space="preserve">5; </w:t>
      </w:r>
      <w:r w:rsidR="00AC7C24">
        <w:rPr>
          <w:rFonts w:ascii="Arial" w:hAnsi="Arial" w:cs="Arial"/>
        </w:rPr>
        <w:t>Marais 2021b</w:t>
      </w:r>
      <w:r w:rsidR="00074F84">
        <w:rPr>
          <w:rFonts w:ascii="Arial" w:hAnsi="Arial" w:cs="Arial"/>
        </w:rPr>
        <w:t>:</w:t>
      </w:r>
      <w:r w:rsidRPr="00635917">
        <w:rPr>
          <w:rFonts w:ascii="Arial" w:hAnsi="Arial" w:cs="Arial"/>
        </w:rPr>
        <w:t>230.</w:t>
      </w:r>
    </w:p>
  </w:footnote>
  <w:footnote w:id="355">
    <w:p w14:paraId="2DF8592A" w14:textId="13AA0F21" w:rsidR="00E70083" w:rsidRPr="004E1D15" w:rsidRDefault="00E70083" w:rsidP="00E70083">
      <w:pPr>
        <w:pStyle w:val="FootnoteText"/>
        <w:ind w:left="357" w:hanging="357"/>
        <w:jc w:val="both"/>
        <w:rPr>
          <w:lang w:val="en-GB"/>
        </w:rPr>
      </w:pPr>
      <w:r>
        <w:rPr>
          <w:rStyle w:val="FootnoteReference"/>
        </w:rPr>
        <w:footnoteRef/>
      </w:r>
      <w:r>
        <w:t xml:space="preserve"> </w:t>
      </w:r>
      <w:r w:rsidR="007A7DA6">
        <w:tab/>
      </w:r>
      <w:r w:rsidRPr="004E1D15">
        <w:rPr>
          <w:rFonts w:ascii="Arial" w:hAnsi="Arial" w:cs="Arial"/>
          <w:i/>
          <w:iCs/>
          <w:lang w:val="en-GB"/>
        </w:rPr>
        <w:t xml:space="preserve">Rademan v </w:t>
      </w:r>
      <w:proofErr w:type="spellStart"/>
      <w:r w:rsidRPr="004E1D15">
        <w:rPr>
          <w:rFonts w:ascii="Arial" w:hAnsi="Arial" w:cs="Arial"/>
          <w:i/>
          <w:iCs/>
          <w:lang w:val="en-GB"/>
        </w:rPr>
        <w:t>Moqhaka</w:t>
      </w:r>
      <w:proofErr w:type="spellEnd"/>
      <w:r w:rsidRPr="004E1D15">
        <w:rPr>
          <w:rFonts w:ascii="Arial" w:hAnsi="Arial" w:cs="Arial"/>
          <w:i/>
          <w:iCs/>
          <w:lang w:val="en-GB"/>
        </w:rPr>
        <w:t xml:space="preserve"> Local Municipality and Others</w:t>
      </w:r>
      <w:r w:rsidRPr="004E1D15">
        <w:rPr>
          <w:rFonts w:ascii="Arial" w:hAnsi="Arial" w:cs="Arial"/>
          <w:lang w:val="en-GB"/>
        </w:rPr>
        <w:t xml:space="preserve"> 2013 (4) SA 225 (CC):par 39. In </w:t>
      </w:r>
      <w:r w:rsidRPr="004E1D15">
        <w:rPr>
          <w:rFonts w:ascii="Arial" w:hAnsi="Arial" w:cs="Arial"/>
          <w:i/>
          <w:iCs/>
          <w:lang w:val="en-GB"/>
        </w:rPr>
        <w:t>Darries and Others v City of Johannesburg and Others</w:t>
      </w:r>
      <w:r w:rsidRPr="004E1D15">
        <w:rPr>
          <w:rFonts w:ascii="Arial" w:hAnsi="Arial" w:cs="Arial"/>
          <w:lang w:val="en-GB"/>
        </w:rPr>
        <w:t xml:space="preserve">, the court pointed out </w:t>
      </w:r>
      <w:r w:rsidRPr="004E1D15">
        <w:rPr>
          <w:rFonts w:ascii="Arial" w:hAnsi="Arial" w:cs="Arial"/>
        </w:rPr>
        <w:t>that ‘there is no absolute right to electricity supply let alone a right to an uninterrupted supply of electricity where the municipal provider is not being paid and where the consumers are not indigent persons’ (</w:t>
      </w:r>
      <w:r w:rsidRPr="004E1D15">
        <w:rPr>
          <w:rFonts w:ascii="Arial" w:hAnsi="Arial" w:cs="Arial"/>
          <w:i/>
          <w:iCs/>
          <w:lang w:val="en-GB"/>
        </w:rPr>
        <w:t>Darries and Others v City of Johannesburg and Others</w:t>
      </w:r>
      <w:r w:rsidRPr="004E1D15">
        <w:rPr>
          <w:rFonts w:ascii="Arial" w:hAnsi="Arial" w:cs="Arial"/>
          <w:lang w:val="en-GB"/>
        </w:rPr>
        <w:t xml:space="preserve"> </w:t>
      </w:r>
      <w:r w:rsidR="004E1D15">
        <w:rPr>
          <w:rFonts w:ascii="Arial" w:hAnsi="Arial" w:cs="Arial"/>
          <w:lang w:val="en-GB"/>
        </w:rPr>
        <w:t>[</w:t>
      </w:r>
      <w:r w:rsidRPr="004E1D15">
        <w:rPr>
          <w:rFonts w:ascii="Arial" w:hAnsi="Arial" w:cs="Arial"/>
          <w:lang w:val="en-GB"/>
        </w:rPr>
        <w:t>2009</w:t>
      </w:r>
      <w:r w:rsidR="004E1D15">
        <w:rPr>
          <w:rFonts w:ascii="Arial" w:hAnsi="Arial" w:cs="Arial"/>
          <w:lang w:val="en-GB"/>
        </w:rPr>
        <w:t>]</w:t>
      </w:r>
      <w:r w:rsidRPr="004E1D15">
        <w:rPr>
          <w:rFonts w:ascii="Arial" w:hAnsi="Arial" w:cs="Arial"/>
          <w:lang w:val="en-GB"/>
        </w:rPr>
        <w:t xml:space="preserve"> 3 All SA 277 (GSJ):par 39).</w:t>
      </w:r>
    </w:p>
  </w:footnote>
  <w:footnote w:id="356">
    <w:p w14:paraId="60FB8E88" w14:textId="547CEDC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D3659A">
        <w:rPr>
          <w:rFonts w:ascii="Arial" w:hAnsi="Arial" w:cs="Arial"/>
        </w:rPr>
        <w:tab/>
      </w:r>
      <w:r w:rsidRPr="00635917">
        <w:rPr>
          <w:rFonts w:ascii="Arial" w:hAnsi="Arial" w:cs="Arial"/>
        </w:rPr>
        <w:t>Muller 2019</w:t>
      </w:r>
      <w:r w:rsidR="00074F84">
        <w:rPr>
          <w:rFonts w:ascii="Arial" w:hAnsi="Arial" w:cs="Arial"/>
        </w:rPr>
        <w:t>:</w:t>
      </w:r>
      <w:r w:rsidRPr="00635917">
        <w:rPr>
          <w:rFonts w:ascii="Arial" w:hAnsi="Arial" w:cs="Arial"/>
        </w:rPr>
        <w:t>2</w:t>
      </w:r>
      <w:r w:rsidR="00D3659A">
        <w:rPr>
          <w:rFonts w:ascii="Arial" w:hAnsi="Arial" w:cs="Arial"/>
        </w:rPr>
        <w:t xml:space="preserve">, </w:t>
      </w:r>
      <w:r w:rsidRPr="00635917">
        <w:rPr>
          <w:rFonts w:ascii="Arial" w:hAnsi="Arial" w:cs="Arial"/>
        </w:rPr>
        <w:t xml:space="preserve">3; </w:t>
      </w:r>
      <w:r w:rsidR="00AC7C24">
        <w:rPr>
          <w:rFonts w:ascii="Arial" w:hAnsi="Arial" w:cs="Arial"/>
        </w:rPr>
        <w:t>Marais 2021b</w:t>
      </w:r>
      <w:r w:rsidR="00074F84">
        <w:rPr>
          <w:rFonts w:ascii="Arial" w:hAnsi="Arial" w:cs="Arial"/>
        </w:rPr>
        <w:t>:</w:t>
      </w:r>
      <w:r w:rsidRPr="00635917">
        <w:rPr>
          <w:rFonts w:ascii="Arial" w:hAnsi="Arial" w:cs="Arial"/>
        </w:rPr>
        <w:t>230</w:t>
      </w:r>
      <w:r w:rsidR="00570884">
        <w:rPr>
          <w:rFonts w:ascii="Arial" w:hAnsi="Arial" w:cs="Arial"/>
        </w:rPr>
        <w:t xml:space="preserve">; </w:t>
      </w:r>
      <w:proofErr w:type="spellStart"/>
      <w:r w:rsidR="00570884">
        <w:rPr>
          <w:rFonts w:ascii="Arial" w:hAnsi="Arial" w:cs="Arial"/>
        </w:rPr>
        <w:t>Boggenpoel</w:t>
      </w:r>
      <w:proofErr w:type="spellEnd"/>
      <w:r w:rsidR="00570884">
        <w:rPr>
          <w:rFonts w:ascii="Arial" w:hAnsi="Arial" w:cs="Arial"/>
        </w:rPr>
        <w:t xml:space="preserve"> </w:t>
      </w:r>
      <w:r w:rsidR="00570884" w:rsidRPr="00570884">
        <w:rPr>
          <w:rFonts w:ascii="Arial" w:hAnsi="Arial" w:cs="Arial"/>
          <w:i/>
          <w:iCs/>
        </w:rPr>
        <w:t>et al</w:t>
      </w:r>
      <w:r w:rsidR="00570884">
        <w:rPr>
          <w:rFonts w:ascii="Arial" w:hAnsi="Arial" w:cs="Arial"/>
        </w:rPr>
        <w:t xml:space="preserve"> 2021: 89-90.</w:t>
      </w:r>
    </w:p>
  </w:footnote>
  <w:footnote w:id="357">
    <w:p w14:paraId="2D97E09B" w14:textId="4EF0AD2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D3659A">
        <w:rPr>
          <w:rFonts w:ascii="Arial" w:hAnsi="Arial" w:cs="Arial"/>
        </w:rPr>
        <w:tab/>
      </w:r>
      <w:r w:rsidRPr="00635917">
        <w:rPr>
          <w:rFonts w:ascii="Arial" w:hAnsi="Arial" w:cs="Arial"/>
        </w:rPr>
        <w:t>Walker 2015</w:t>
      </w:r>
      <w:r w:rsidR="00074F84">
        <w:rPr>
          <w:rFonts w:ascii="Arial" w:hAnsi="Arial" w:cs="Arial"/>
        </w:rPr>
        <w:t>:</w:t>
      </w:r>
      <w:r w:rsidRPr="00635917">
        <w:rPr>
          <w:rFonts w:ascii="Arial" w:hAnsi="Arial" w:cs="Arial"/>
        </w:rPr>
        <w:t>29-34</w:t>
      </w:r>
      <w:r w:rsidR="00942578" w:rsidRPr="00750746">
        <w:rPr>
          <w:rFonts w:ascii="Arial" w:hAnsi="Arial" w:cs="Arial"/>
        </w:rPr>
        <w:t xml:space="preserve">; </w:t>
      </w:r>
      <w:proofErr w:type="spellStart"/>
      <w:r w:rsidR="00942578" w:rsidRPr="00750746">
        <w:rPr>
          <w:rFonts w:ascii="Arial" w:hAnsi="Arial" w:cs="Arial"/>
        </w:rPr>
        <w:t>Senokoane</w:t>
      </w:r>
      <w:proofErr w:type="spellEnd"/>
      <w:r w:rsidR="00942578">
        <w:rPr>
          <w:rFonts w:ascii="Arial" w:hAnsi="Arial" w:cs="Arial"/>
        </w:rPr>
        <w:t xml:space="preserve"> 2024:23.</w:t>
      </w:r>
    </w:p>
  </w:footnote>
  <w:footnote w:id="358">
    <w:p w14:paraId="3690750C" w14:textId="21AA2676" w:rsidR="00761FF4" w:rsidRPr="00635917" w:rsidRDefault="00761FF4" w:rsidP="00E63179">
      <w:pPr>
        <w:pStyle w:val="FootnoteText"/>
        <w:ind w:left="357" w:hanging="357"/>
        <w:jc w:val="both"/>
        <w:rPr>
          <w:rFonts w:ascii="Arial" w:hAnsi="Arial" w:cs="Arial"/>
          <w:iCs/>
        </w:rPr>
      </w:pPr>
      <w:r w:rsidRPr="00635917">
        <w:rPr>
          <w:rStyle w:val="FootnoteReference"/>
          <w:rFonts w:ascii="Arial" w:hAnsi="Arial" w:cs="Arial"/>
        </w:rPr>
        <w:footnoteRef/>
      </w:r>
      <w:r w:rsidRPr="00635917">
        <w:rPr>
          <w:rFonts w:ascii="Arial" w:hAnsi="Arial" w:cs="Arial"/>
        </w:rPr>
        <w:t xml:space="preserve"> </w:t>
      </w:r>
      <w:r w:rsidR="00D3659A">
        <w:rPr>
          <w:rFonts w:ascii="Arial" w:hAnsi="Arial" w:cs="Arial"/>
        </w:rPr>
        <w:tab/>
      </w:r>
      <w:r w:rsidRPr="00635917">
        <w:rPr>
          <w:rFonts w:ascii="Arial" w:hAnsi="Arial" w:cs="Arial"/>
          <w:i/>
        </w:rPr>
        <w:t xml:space="preserve">United Democratic Movement and Others v Eskom Holdings SOC Ltd and Others </w:t>
      </w:r>
      <w:r w:rsidRPr="00635917">
        <w:rPr>
          <w:rFonts w:ascii="Arial" w:hAnsi="Arial" w:cs="Arial"/>
          <w:iCs/>
        </w:rPr>
        <w:t>[2023] ZAGPPHC 280</w:t>
      </w:r>
      <w:r w:rsidR="00DC67AC">
        <w:rPr>
          <w:rFonts w:ascii="Arial" w:hAnsi="Arial" w:cs="Arial"/>
          <w:iCs/>
        </w:rPr>
        <w:t xml:space="preserve">:par. </w:t>
      </w:r>
      <w:r w:rsidRPr="00635917">
        <w:rPr>
          <w:rFonts w:ascii="Arial" w:hAnsi="Arial" w:cs="Arial"/>
          <w:iCs/>
        </w:rPr>
        <w:t>45.</w:t>
      </w:r>
    </w:p>
  </w:footnote>
  <w:footnote w:id="359">
    <w:p w14:paraId="5EE725EC" w14:textId="05D7566A" w:rsidR="00761FF4" w:rsidRPr="00635917" w:rsidRDefault="00761FF4" w:rsidP="00E63179">
      <w:pPr>
        <w:pStyle w:val="FootnoteText"/>
        <w:ind w:left="357" w:hanging="357"/>
        <w:jc w:val="both"/>
      </w:pPr>
      <w:r w:rsidRPr="00635917">
        <w:rPr>
          <w:rStyle w:val="FootnoteReference"/>
        </w:rPr>
        <w:footnoteRef/>
      </w:r>
      <w:r w:rsidRPr="00635917">
        <w:t xml:space="preserve"> </w:t>
      </w:r>
      <w:r w:rsidR="00F00ABD">
        <w:t xml:space="preserve">  </w:t>
      </w:r>
      <w:r w:rsidRPr="00635917">
        <w:rPr>
          <w:rFonts w:ascii="Arial" w:hAnsi="Arial" w:cs="Arial"/>
          <w:i/>
        </w:rPr>
        <w:t xml:space="preserve">United Democratic Movement and Others v Eskom Holdings SOC Ltd and </w:t>
      </w:r>
      <w:proofErr w:type="spellStart"/>
      <w:r w:rsidRPr="00635917">
        <w:rPr>
          <w:rFonts w:ascii="Arial" w:hAnsi="Arial" w:cs="Arial"/>
          <w:i/>
        </w:rPr>
        <w:t>Others</w:t>
      </w:r>
      <w:r w:rsidR="00DC67AC">
        <w:rPr>
          <w:rFonts w:ascii="Arial" w:hAnsi="Arial" w:cs="Arial"/>
          <w:iCs/>
        </w:rPr>
        <w:t>:par</w:t>
      </w:r>
      <w:proofErr w:type="spellEnd"/>
      <w:r w:rsidR="00DC67AC">
        <w:rPr>
          <w:rFonts w:ascii="Arial" w:hAnsi="Arial" w:cs="Arial"/>
          <w:iCs/>
        </w:rPr>
        <w:t xml:space="preserve">. </w:t>
      </w:r>
      <w:r w:rsidRPr="00635917">
        <w:rPr>
          <w:rFonts w:ascii="Arial" w:hAnsi="Arial" w:cs="Arial"/>
          <w:iCs/>
        </w:rPr>
        <w:t>36.</w:t>
      </w:r>
    </w:p>
  </w:footnote>
  <w:footnote w:id="360">
    <w:p w14:paraId="64A6C365" w14:textId="3CF6B1FB"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79184B">
        <w:rPr>
          <w:rFonts w:ascii="Arial" w:hAnsi="Arial" w:cs="Arial"/>
        </w:rPr>
        <w:t xml:space="preserve"> </w:t>
      </w:r>
      <w:r w:rsidRPr="00635917">
        <w:rPr>
          <w:rFonts w:ascii="Arial" w:hAnsi="Arial" w:cs="Arial"/>
          <w:i/>
          <w:iCs/>
        </w:rPr>
        <w:t>Eskom Holdings SOC Ltd v Vaal River Development Association (Pty) Ltd and Others</w:t>
      </w:r>
      <w:r w:rsidRPr="00635917">
        <w:rPr>
          <w:rFonts w:ascii="Arial" w:hAnsi="Arial" w:cs="Arial"/>
        </w:rPr>
        <w:t xml:space="preserve"> </w:t>
      </w:r>
      <w:r w:rsidRPr="00635917">
        <w:rPr>
          <w:rFonts w:ascii="Arial" w:hAnsi="Arial" w:cs="Arial"/>
          <w:lang w:val="en-GB"/>
        </w:rPr>
        <w:t>2023 (4) SA 325 (CC)</w:t>
      </w:r>
      <w:r w:rsidR="00DC67AC">
        <w:rPr>
          <w:rFonts w:ascii="Arial" w:hAnsi="Arial" w:cs="Arial"/>
          <w:lang w:val="en-GB"/>
        </w:rPr>
        <w:t>:par.</w:t>
      </w:r>
      <w:r w:rsidR="00DC67AC">
        <w:rPr>
          <w:rFonts w:ascii="Arial" w:hAnsi="Arial" w:cs="Arial"/>
        </w:rPr>
        <w:t xml:space="preserve"> </w:t>
      </w:r>
      <w:r w:rsidRPr="00635917">
        <w:rPr>
          <w:rFonts w:ascii="Arial" w:hAnsi="Arial" w:cs="Arial"/>
        </w:rPr>
        <w:t xml:space="preserve">108. </w:t>
      </w:r>
      <w:r w:rsidRPr="00635917">
        <w:rPr>
          <w:rFonts w:ascii="Arial" w:hAnsi="Arial" w:cs="Arial"/>
          <w:iCs/>
          <w:lang w:val="en-US"/>
        </w:rPr>
        <w:t>It was further submitted that Eskom should likewise enable municipalities to discharge this obligation.</w:t>
      </w:r>
    </w:p>
  </w:footnote>
  <w:footnote w:id="361">
    <w:p w14:paraId="6CA2F2C6" w14:textId="2F11241D"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FE4D11">
        <w:rPr>
          <w:rFonts w:ascii="Arial" w:hAnsi="Arial" w:cs="Arial"/>
          <w:iCs/>
        </w:rPr>
        <w:t xml:space="preserve"> </w:t>
      </w:r>
      <w:r w:rsidRPr="00635917">
        <w:rPr>
          <w:rFonts w:ascii="Arial" w:hAnsi="Arial" w:cs="Arial"/>
          <w:iCs/>
        </w:rPr>
        <w:t>10.</w:t>
      </w:r>
    </w:p>
  </w:footnote>
  <w:footnote w:id="362">
    <w:p w14:paraId="42488426" w14:textId="769E993B"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11.</w:t>
      </w:r>
    </w:p>
  </w:footnote>
  <w:footnote w:id="363">
    <w:p w14:paraId="73028722" w14:textId="11EF2A27"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12.</w:t>
      </w:r>
    </w:p>
  </w:footnote>
  <w:footnote w:id="364">
    <w:p w14:paraId="430721AE" w14:textId="2F7BD709"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24(a).</w:t>
      </w:r>
    </w:p>
  </w:footnote>
  <w:footnote w:id="365">
    <w:p w14:paraId="03A3F3A5" w14:textId="28160D1D"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27(1)(a).</w:t>
      </w:r>
    </w:p>
  </w:footnote>
  <w:footnote w:id="366">
    <w:p w14:paraId="43C6B5D7" w14:textId="71A6F3EF" w:rsidR="00761FF4" w:rsidRPr="00635917" w:rsidRDefault="00761FF4" w:rsidP="00E63179">
      <w:pPr>
        <w:pStyle w:val="FootnoteText"/>
        <w:ind w:left="357" w:hanging="357"/>
        <w:jc w:val="both"/>
      </w:pPr>
      <w:r w:rsidRPr="00635917">
        <w:rPr>
          <w:rStyle w:val="FootnoteReference"/>
        </w:rPr>
        <w:footnoteRef/>
      </w:r>
      <w:r w:rsidRPr="00635917">
        <w:t xml:space="preserve"> </w:t>
      </w:r>
      <w:r w:rsidR="00FE4D11">
        <w:tab/>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27(1)(b).</w:t>
      </w:r>
    </w:p>
  </w:footnote>
  <w:footnote w:id="367">
    <w:p w14:paraId="393ADC16" w14:textId="42B1D935" w:rsidR="00761FF4" w:rsidRPr="00635917" w:rsidRDefault="00761FF4" w:rsidP="00E63179">
      <w:pPr>
        <w:pStyle w:val="FootnoteText"/>
        <w:ind w:left="357" w:hanging="357"/>
        <w:jc w:val="both"/>
        <w:rPr>
          <w:rFonts w:ascii="Arial" w:hAnsi="Arial" w:cs="Arial"/>
          <w:iCs/>
          <w:lang w:val="en-GB"/>
        </w:rPr>
      </w:pPr>
      <w:r w:rsidRPr="00635917">
        <w:rPr>
          <w:rStyle w:val="FootnoteReference"/>
          <w:rFonts w:ascii="Arial" w:hAnsi="Arial" w:cs="Arial"/>
        </w:rPr>
        <w:footnoteRef/>
      </w:r>
      <w:r w:rsidRPr="00635917">
        <w:rPr>
          <w:rFonts w:ascii="Arial" w:hAnsi="Arial" w:cs="Arial"/>
        </w:rPr>
        <w:t xml:space="preserve"> </w:t>
      </w:r>
      <w:r w:rsidR="00075192">
        <w:rPr>
          <w:rFonts w:ascii="Arial" w:hAnsi="Arial" w:cs="Arial"/>
        </w:rPr>
        <w:tab/>
      </w:r>
      <w:r w:rsidRPr="00635917">
        <w:rPr>
          <w:rFonts w:ascii="Arial" w:hAnsi="Arial" w:cs="Arial"/>
          <w:i/>
        </w:rPr>
        <w:t>United Democratic Movement and Others v Eskom Holdings SOC Ltd and Others</w:t>
      </w:r>
      <w:r w:rsidR="00DC67AC">
        <w:rPr>
          <w:rFonts w:ascii="Arial" w:hAnsi="Arial" w:cs="Arial"/>
          <w:iCs/>
          <w:lang w:val="en-GB"/>
        </w:rPr>
        <w:t>:par.</w:t>
      </w:r>
      <w:r w:rsidR="00DC67AC">
        <w:rPr>
          <w:rFonts w:ascii="Arial" w:hAnsi="Arial" w:cs="Arial"/>
          <w:iCs/>
        </w:rPr>
        <w:t xml:space="preserve"> </w:t>
      </w:r>
      <w:r w:rsidRPr="00635917">
        <w:rPr>
          <w:rFonts w:ascii="Arial" w:hAnsi="Arial" w:cs="Arial"/>
          <w:iCs/>
        </w:rPr>
        <w:t xml:space="preserve">120. </w:t>
      </w:r>
      <w:proofErr w:type="spellStart"/>
      <w:r w:rsidR="00FE4D11" w:rsidRPr="00FE4D11">
        <w:rPr>
          <w:rFonts w:ascii="Arial" w:hAnsi="Arial" w:cs="Arial"/>
          <w:i/>
          <w:iCs/>
        </w:rPr>
        <w:t>Constitution</w:t>
      </w:r>
      <w:r w:rsidR="00074F84">
        <w:rPr>
          <w:rFonts w:ascii="Arial" w:hAnsi="Arial" w:cs="Arial"/>
          <w:iCs/>
        </w:rPr>
        <w:t>:</w:t>
      </w:r>
      <w:r w:rsidRPr="00FE4D11">
        <w:rPr>
          <w:rFonts w:ascii="Arial" w:hAnsi="Arial" w:cs="Arial"/>
          <w:iCs/>
        </w:rPr>
        <w:t>sec</w:t>
      </w:r>
      <w:proofErr w:type="spellEnd"/>
      <w:r w:rsidRPr="00635917">
        <w:rPr>
          <w:rFonts w:ascii="Arial" w:hAnsi="Arial" w:cs="Arial"/>
          <w:iCs/>
        </w:rPr>
        <w:t xml:space="preserve"> 29(1)(a).</w:t>
      </w:r>
    </w:p>
  </w:footnote>
  <w:footnote w:id="368">
    <w:p w14:paraId="221A0FCF" w14:textId="3BE694EE" w:rsidR="00761FF4" w:rsidRPr="00635917" w:rsidRDefault="00761FF4" w:rsidP="00E63179">
      <w:pPr>
        <w:pStyle w:val="FootnoteText"/>
        <w:ind w:left="357" w:hanging="357"/>
        <w:jc w:val="both"/>
        <w:rPr>
          <w:lang w:val="en-GB"/>
        </w:rPr>
      </w:pPr>
      <w:r w:rsidRPr="00635917">
        <w:rPr>
          <w:rStyle w:val="FootnoteReference"/>
          <w:rFonts w:ascii="Arial" w:hAnsi="Arial" w:cs="Arial"/>
        </w:rPr>
        <w:footnoteRef/>
      </w:r>
      <w:r w:rsidRPr="00635917">
        <w:rPr>
          <w:rFonts w:ascii="Arial" w:hAnsi="Arial" w:cs="Arial"/>
        </w:rPr>
        <w:t xml:space="preserve"> </w:t>
      </w:r>
      <w:r w:rsidR="00075192">
        <w:rPr>
          <w:rFonts w:ascii="Arial" w:hAnsi="Arial" w:cs="Arial"/>
        </w:rPr>
        <w:tab/>
      </w:r>
      <w:r w:rsidRPr="00635917">
        <w:rPr>
          <w:rFonts w:ascii="Arial" w:hAnsi="Arial" w:cs="Arial"/>
          <w:i/>
          <w:iCs/>
          <w:lang w:val="en-GB"/>
        </w:rPr>
        <w:t>Eskom Holdings SOC Ltd v Vaal River Development Association (Pty) Ltd and Others</w:t>
      </w:r>
      <w:r w:rsidRPr="00635917">
        <w:rPr>
          <w:rFonts w:ascii="Arial" w:hAnsi="Arial" w:cs="Arial"/>
          <w:lang w:val="en-GB"/>
        </w:rPr>
        <w:t xml:space="preserve">; </w:t>
      </w:r>
      <w:r w:rsidRPr="00635917">
        <w:rPr>
          <w:rFonts w:ascii="Arial" w:hAnsi="Arial" w:cs="Arial"/>
          <w:i/>
        </w:rPr>
        <w:t>United Democratic Movement and Others v Eskom Holdings SOC Ltd and Others</w:t>
      </w:r>
      <w:r w:rsidRPr="00635917">
        <w:rPr>
          <w:rFonts w:ascii="Arial" w:hAnsi="Arial" w:cs="Arial"/>
          <w:iCs/>
          <w:lang w:val="en-GB"/>
        </w:rPr>
        <w:t>.</w:t>
      </w:r>
    </w:p>
  </w:footnote>
  <w:footnote w:id="369">
    <w:p w14:paraId="5CDD4D8B" w14:textId="17EC3DAA"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75192">
        <w:rPr>
          <w:rFonts w:ascii="Arial" w:hAnsi="Arial" w:cs="Arial"/>
        </w:rPr>
        <w:tab/>
      </w:r>
      <w:r w:rsidRPr="00635917">
        <w:rPr>
          <w:rFonts w:ascii="Arial" w:hAnsi="Arial" w:cs="Arial"/>
          <w:i/>
          <w:iCs/>
        </w:rPr>
        <w:t>Eskom Holdings SOC Ltd v Vaal River Development Association (Pty) Ltd and Othe</w:t>
      </w:r>
      <w:r w:rsidR="00075192">
        <w:rPr>
          <w:rFonts w:ascii="Arial" w:hAnsi="Arial" w:cs="Arial"/>
          <w:i/>
          <w:iCs/>
        </w:rPr>
        <w:t>rs</w:t>
      </w:r>
      <w:r w:rsidR="00DC67AC">
        <w:rPr>
          <w:rFonts w:ascii="Arial" w:hAnsi="Arial" w:cs="Arial"/>
          <w:lang w:val="en-GB"/>
        </w:rPr>
        <w:t>:par.</w:t>
      </w:r>
      <w:r w:rsidR="00DC67AC">
        <w:rPr>
          <w:rFonts w:ascii="Arial" w:hAnsi="Arial" w:cs="Arial"/>
        </w:rPr>
        <w:t xml:space="preserve"> </w:t>
      </w:r>
      <w:r w:rsidRPr="00635917">
        <w:rPr>
          <w:rFonts w:ascii="Arial" w:hAnsi="Arial" w:cs="Arial"/>
        </w:rPr>
        <w:t>190-191</w:t>
      </w:r>
      <w:r w:rsidR="00075192">
        <w:rPr>
          <w:rFonts w:ascii="Arial" w:hAnsi="Arial" w:cs="Arial"/>
        </w:rPr>
        <w:t xml:space="preserve">, </w:t>
      </w:r>
      <w:r w:rsidRPr="00635917">
        <w:rPr>
          <w:rFonts w:ascii="Arial" w:hAnsi="Arial" w:cs="Arial"/>
        </w:rPr>
        <w:t>194.</w:t>
      </w:r>
    </w:p>
  </w:footnote>
  <w:footnote w:id="370">
    <w:p w14:paraId="30F4A311" w14:textId="5D06560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075192">
        <w:rPr>
          <w:rFonts w:ascii="Arial" w:hAnsi="Arial" w:cs="Arial"/>
        </w:rPr>
        <w:tab/>
      </w:r>
      <w:r w:rsidRPr="00635917">
        <w:rPr>
          <w:rFonts w:ascii="Arial" w:hAnsi="Arial" w:cs="Arial"/>
          <w:i/>
          <w:iCs/>
        </w:rPr>
        <w:t>Eskom Holdings SOC Ltd v Vaal River Development Association (Pty) Ltd and Others</w:t>
      </w:r>
      <w:r w:rsidR="00DC67AC">
        <w:rPr>
          <w:rFonts w:ascii="Arial" w:hAnsi="Arial" w:cs="Arial"/>
          <w:lang w:val="en-GB"/>
        </w:rPr>
        <w:t>:par.</w:t>
      </w:r>
      <w:r w:rsidR="00DC67AC">
        <w:rPr>
          <w:rFonts w:ascii="Arial" w:hAnsi="Arial" w:cs="Arial"/>
        </w:rPr>
        <w:t xml:space="preserve"> </w:t>
      </w:r>
      <w:r w:rsidRPr="00635917">
        <w:rPr>
          <w:rFonts w:ascii="Arial" w:hAnsi="Arial" w:cs="Arial"/>
        </w:rPr>
        <w:t>195.</w:t>
      </w:r>
    </w:p>
  </w:footnote>
  <w:footnote w:id="371">
    <w:p w14:paraId="5EF2D9A1" w14:textId="7BC9882A"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074F84">
        <w:rPr>
          <w:rFonts w:ascii="Arial" w:hAnsi="Arial" w:cs="Arial"/>
          <w:lang w:val="en-GB"/>
        </w:rPr>
        <w:t>:</w:t>
      </w:r>
      <w:r w:rsidR="00075192">
        <w:rPr>
          <w:rFonts w:ascii="Arial" w:hAnsi="Arial" w:cs="Arial"/>
          <w:lang w:val="en-GB"/>
        </w:rPr>
        <w:t>p</w:t>
      </w:r>
      <w:r w:rsidRPr="00635917">
        <w:rPr>
          <w:rFonts w:ascii="Arial" w:hAnsi="Arial" w:cs="Arial"/>
        </w:rPr>
        <w:t>aras</w:t>
      </w:r>
      <w:proofErr w:type="spellEnd"/>
      <w:r w:rsidRPr="00635917">
        <w:rPr>
          <w:rFonts w:ascii="Arial" w:hAnsi="Arial" w:cs="Arial"/>
        </w:rPr>
        <w:t xml:space="preserve"> 2-3.</w:t>
      </w:r>
    </w:p>
  </w:footnote>
  <w:footnote w:id="372">
    <w:p w14:paraId="2593D4B9" w14:textId="7D79B74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w:t>
      </w:r>
    </w:p>
  </w:footnote>
  <w:footnote w:id="373">
    <w:p w14:paraId="335491E1" w14:textId="41792118"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9.</w:t>
      </w:r>
    </w:p>
  </w:footnote>
  <w:footnote w:id="374">
    <w:p w14:paraId="4E6D21F4" w14:textId="5EF76AC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9.</w:t>
      </w:r>
    </w:p>
  </w:footnote>
  <w:footnote w:id="375">
    <w:p w14:paraId="4BBC76D7" w14:textId="54C79AE6"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9.</w:t>
      </w:r>
    </w:p>
  </w:footnote>
  <w:footnote w:id="376">
    <w:p w14:paraId="1827F0D9" w14:textId="088E3E2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11.</w:t>
      </w:r>
    </w:p>
  </w:footnote>
  <w:footnote w:id="377">
    <w:p w14:paraId="4F4F6709" w14:textId="53F3146A"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11.</w:t>
      </w:r>
    </w:p>
  </w:footnote>
  <w:footnote w:id="378">
    <w:p w14:paraId="34309292" w14:textId="2F6313D4"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13.</w:t>
      </w:r>
    </w:p>
  </w:footnote>
  <w:footnote w:id="379">
    <w:p w14:paraId="4673BDC3" w14:textId="06FC866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14; </w:t>
      </w:r>
      <w:r w:rsidRPr="00635917">
        <w:rPr>
          <w:rFonts w:ascii="Arial" w:hAnsi="Arial" w:cs="Arial"/>
          <w:i/>
          <w:iCs/>
        </w:rPr>
        <w:t xml:space="preserve">FirstRand Ltd t/a Rand Merchant Bank and Another v Scholtz NO and </w:t>
      </w:r>
      <w:proofErr w:type="spellStart"/>
      <w:r w:rsidRPr="00635917">
        <w:rPr>
          <w:rFonts w:ascii="Arial" w:hAnsi="Arial" w:cs="Arial"/>
          <w:i/>
          <w:iCs/>
        </w:rPr>
        <w:t>Others</w:t>
      </w:r>
      <w:r w:rsidR="00DC67AC">
        <w:rPr>
          <w:rFonts w:ascii="Arial" w:hAnsi="Arial" w:cs="Arial"/>
        </w:rPr>
        <w:t>:par</w:t>
      </w:r>
      <w:proofErr w:type="spellEnd"/>
      <w:r w:rsidR="00DC67AC">
        <w:rPr>
          <w:rFonts w:ascii="Arial" w:hAnsi="Arial" w:cs="Arial"/>
        </w:rPr>
        <w:t xml:space="preserve">. </w:t>
      </w:r>
      <w:r w:rsidRPr="00635917">
        <w:rPr>
          <w:rFonts w:ascii="Arial" w:hAnsi="Arial" w:cs="Arial"/>
        </w:rPr>
        <w:t>13.</w:t>
      </w:r>
    </w:p>
  </w:footnote>
  <w:footnote w:id="380">
    <w:p w14:paraId="6143A9B2" w14:textId="5C2C6679"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381">
    <w:p w14:paraId="7BD1F2EB" w14:textId="24F5AE6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382">
    <w:p w14:paraId="406118BB" w14:textId="0F14DA7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383">
    <w:p w14:paraId="67FEA568" w14:textId="483052EF" w:rsidR="00761FF4" w:rsidRPr="00635917" w:rsidRDefault="00761FF4" w:rsidP="00D4172A">
      <w:pPr>
        <w:pStyle w:val="FootnoteText"/>
        <w:jc w:val="both"/>
        <w:rPr>
          <w:rFonts w:ascii="Arial" w:hAnsi="Arial" w:cs="Arial"/>
        </w:rPr>
      </w:pPr>
      <w:r w:rsidRPr="00635917">
        <w:rPr>
          <w:rStyle w:val="FootnoteReference"/>
          <w:rFonts w:ascii="Arial" w:hAnsi="Arial" w:cs="Arial"/>
        </w:rPr>
        <w:footnoteRef/>
      </w:r>
      <w:r w:rsidR="00D4172A">
        <w:rPr>
          <w:rFonts w:ascii="Arial" w:hAnsi="Arial" w:cs="Arial"/>
        </w:rPr>
        <w:t xml:space="preserve">  </w:t>
      </w:r>
      <w:r w:rsidR="00B45CFB">
        <w:rPr>
          <w:rFonts w:ascii="Arial" w:hAnsi="Arial" w:cs="Arial"/>
        </w:rPr>
        <w:t xml:space="preserve"> </w:t>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852526">
        <w:rPr>
          <w:rFonts w:ascii="Arial" w:hAnsi="Arial" w:cs="Arial"/>
          <w:i/>
          <w:iCs/>
          <w:lang w:val="en-GB"/>
        </w:rPr>
        <w:t>:</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384">
    <w:p w14:paraId="2F1C8111" w14:textId="50437D72"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D4172A">
        <w:rPr>
          <w:rFonts w:ascii="Arial" w:hAnsi="Arial" w:cs="Arial"/>
        </w:rPr>
        <w:t xml:space="preserve"> </w:t>
      </w:r>
      <w:r w:rsidR="00B45CFB">
        <w:rPr>
          <w:rFonts w:ascii="Arial" w:hAnsi="Arial" w:cs="Arial"/>
        </w:rPr>
        <w:t xml:space="preserve"> </w:t>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25; </w:t>
      </w:r>
      <w:r w:rsidR="00AC7C24">
        <w:rPr>
          <w:rFonts w:ascii="Arial" w:hAnsi="Arial" w:cs="Arial"/>
        </w:rPr>
        <w:t>Marais 2021b</w:t>
      </w:r>
      <w:r w:rsidR="00074F84">
        <w:rPr>
          <w:rFonts w:ascii="Arial" w:hAnsi="Arial" w:cs="Arial"/>
        </w:rPr>
        <w:t>:</w:t>
      </w:r>
      <w:r w:rsidRPr="00635917">
        <w:rPr>
          <w:rFonts w:ascii="Arial" w:hAnsi="Arial" w:cs="Arial"/>
        </w:rPr>
        <w:t>219.</w:t>
      </w:r>
    </w:p>
  </w:footnote>
  <w:footnote w:id="385">
    <w:p w14:paraId="73902D6F" w14:textId="4A3A6F1C"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386">
    <w:p w14:paraId="5AE161E9" w14:textId="2B104EC4" w:rsidR="004E2E92" w:rsidRPr="009E6526" w:rsidRDefault="004E2E92" w:rsidP="00D30FA4">
      <w:pPr>
        <w:pStyle w:val="FootnoteText"/>
        <w:ind w:left="357" w:hanging="357"/>
        <w:rPr>
          <w:rFonts w:ascii="Arial" w:hAnsi="Arial" w:cs="Arial"/>
          <w:lang w:val="de-DE"/>
        </w:rPr>
      </w:pPr>
      <w:r w:rsidRPr="00D30FA4">
        <w:rPr>
          <w:rStyle w:val="FootnoteReference"/>
        </w:rPr>
        <w:footnoteRef/>
      </w:r>
      <w:r w:rsidRPr="009E6526">
        <w:rPr>
          <w:lang w:val="de-DE"/>
        </w:rPr>
        <w:t xml:space="preserve"> </w:t>
      </w:r>
      <w:r w:rsidR="00D30FA4" w:rsidRPr="009E6526">
        <w:rPr>
          <w:lang w:val="de-DE"/>
        </w:rPr>
        <w:tab/>
      </w:r>
      <w:r w:rsidRPr="009E6526">
        <w:rPr>
          <w:rFonts w:ascii="Arial" w:hAnsi="Arial" w:cs="Arial"/>
          <w:lang w:val="de-DE"/>
        </w:rPr>
        <w:t xml:space="preserve">Horn </w:t>
      </w:r>
      <w:r w:rsidRPr="009E6526">
        <w:rPr>
          <w:rFonts w:ascii="Arial" w:hAnsi="Arial" w:cs="Arial"/>
          <w:i/>
          <w:iCs/>
          <w:lang w:val="de-DE"/>
        </w:rPr>
        <w:t>et al</w:t>
      </w:r>
      <w:r w:rsidRPr="009E6526">
        <w:rPr>
          <w:rFonts w:ascii="Arial" w:hAnsi="Arial" w:cs="Arial"/>
          <w:lang w:val="de-DE"/>
        </w:rPr>
        <w:t xml:space="preserve"> 2021:252.</w:t>
      </w:r>
    </w:p>
  </w:footnote>
  <w:footnote w:id="387">
    <w:p w14:paraId="137614BE" w14:textId="026D03EB" w:rsidR="004E2E92" w:rsidRPr="009E6526" w:rsidRDefault="004E2E92" w:rsidP="00866963">
      <w:pPr>
        <w:pStyle w:val="FootnoteText"/>
        <w:ind w:left="357" w:hanging="357"/>
        <w:rPr>
          <w:lang w:val="de-DE"/>
        </w:rPr>
      </w:pPr>
      <w:r w:rsidRPr="00866963">
        <w:rPr>
          <w:rStyle w:val="FootnoteReference"/>
          <w:rFonts w:ascii="Arial" w:hAnsi="Arial" w:cs="Arial"/>
        </w:rPr>
        <w:footnoteRef/>
      </w:r>
      <w:r w:rsidRPr="009E6526">
        <w:rPr>
          <w:rFonts w:ascii="Arial" w:hAnsi="Arial" w:cs="Arial"/>
          <w:lang w:val="de-DE"/>
        </w:rPr>
        <w:t xml:space="preserve"> </w:t>
      </w:r>
      <w:r w:rsidR="00866963" w:rsidRPr="009E6526">
        <w:rPr>
          <w:rFonts w:ascii="Arial" w:hAnsi="Arial" w:cs="Arial"/>
          <w:lang w:val="de-DE"/>
        </w:rPr>
        <w:tab/>
      </w:r>
      <w:r w:rsidRPr="009E6526">
        <w:rPr>
          <w:rFonts w:ascii="Arial" w:hAnsi="Arial" w:cs="Arial"/>
          <w:lang w:val="de-DE"/>
        </w:rPr>
        <w:t xml:space="preserve">Horn </w:t>
      </w:r>
      <w:r w:rsidRPr="009E6526">
        <w:rPr>
          <w:rFonts w:ascii="Arial" w:hAnsi="Arial" w:cs="Arial"/>
          <w:i/>
          <w:iCs/>
          <w:lang w:val="de-DE"/>
        </w:rPr>
        <w:t>et al</w:t>
      </w:r>
      <w:r w:rsidRPr="009E6526">
        <w:rPr>
          <w:rFonts w:ascii="Arial" w:hAnsi="Arial" w:cs="Arial"/>
          <w:lang w:val="de-DE"/>
        </w:rPr>
        <w:t xml:space="preserve"> 2021:252.</w:t>
      </w:r>
    </w:p>
  </w:footnote>
  <w:footnote w:id="388">
    <w:p w14:paraId="3406827C" w14:textId="2B3C1242" w:rsidR="004E2E92" w:rsidRPr="00866963" w:rsidRDefault="004E2E92" w:rsidP="00866963">
      <w:pPr>
        <w:pStyle w:val="FootnoteText"/>
        <w:ind w:left="357" w:hanging="357"/>
      </w:pPr>
      <w:r w:rsidRPr="00866963">
        <w:rPr>
          <w:rStyle w:val="FootnoteReference"/>
        </w:rPr>
        <w:footnoteRef/>
      </w:r>
      <w:r w:rsidRPr="00866963">
        <w:t xml:space="preserve"> </w:t>
      </w:r>
      <w:r w:rsidR="00866963" w:rsidRPr="00866963">
        <w:tab/>
      </w:r>
      <w:r w:rsidRPr="00866963">
        <w:rPr>
          <w:rFonts w:ascii="Arial" w:hAnsi="Arial" w:cs="Arial"/>
        </w:rPr>
        <w:t xml:space="preserve">Horn </w:t>
      </w:r>
      <w:r w:rsidRPr="00866963">
        <w:rPr>
          <w:rFonts w:ascii="Arial" w:hAnsi="Arial" w:cs="Arial"/>
          <w:i/>
          <w:iCs/>
        </w:rPr>
        <w:t>et al</w:t>
      </w:r>
      <w:r w:rsidRPr="00866963">
        <w:rPr>
          <w:rFonts w:ascii="Arial" w:hAnsi="Arial" w:cs="Arial"/>
        </w:rPr>
        <w:t xml:space="preserve"> 2021:252.</w:t>
      </w:r>
    </w:p>
  </w:footnote>
  <w:footnote w:id="389">
    <w:p w14:paraId="7D2BE75E" w14:textId="2EE291BF" w:rsidR="00761FF4" w:rsidRPr="00866963" w:rsidRDefault="00761FF4" w:rsidP="00E63179">
      <w:pPr>
        <w:pStyle w:val="FootnoteText"/>
        <w:ind w:left="357" w:hanging="357"/>
        <w:jc w:val="both"/>
        <w:rPr>
          <w:rFonts w:ascii="Arial" w:hAnsi="Arial" w:cs="Arial"/>
          <w:lang w:val="en-GB"/>
        </w:rPr>
      </w:pPr>
      <w:r w:rsidRPr="00866963">
        <w:rPr>
          <w:rStyle w:val="FootnoteReference"/>
          <w:rFonts w:ascii="Arial" w:hAnsi="Arial" w:cs="Arial"/>
        </w:rPr>
        <w:footnoteRef/>
      </w:r>
      <w:r w:rsidRPr="00866963">
        <w:rPr>
          <w:rFonts w:ascii="Arial" w:hAnsi="Arial" w:cs="Arial"/>
        </w:rPr>
        <w:t xml:space="preserve"> </w:t>
      </w:r>
      <w:r w:rsidR="00852526" w:rsidRPr="00866963">
        <w:rPr>
          <w:rFonts w:ascii="Arial" w:hAnsi="Arial" w:cs="Arial"/>
        </w:rPr>
        <w:tab/>
      </w:r>
      <w:r w:rsidRPr="00866963">
        <w:rPr>
          <w:rFonts w:ascii="Arial" w:hAnsi="Arial" w:cs="Arial"/>
          <w:i/>
          <w:iCs/>
          <w:lang w:val="en-GB"/>
        </w:rPr>
        <w:t xml:space="preserve">Makeshift 1190 (Pty) Ltd v </w:t>
      </w:r>
      <w:proofErr w:type="spellStart"/>
      <w:r w:rsidRPr="00866963">
        <w:rPr>
          <w:rFonts w:ascii="Arial" w:hAnsi="Arial" w:cs="Arial"/>
          <w:i/>
          <w:iCs/>
          <w:lang w:val="en-GB"/>
        </w:rPr>
        <w:t>Cilliers</w:t>
      </w:r>
      <w:r w:rsidR="00DC67AC" w:rsidRPr="00866963">
        <w:rPr>
          <w:rFonts w:ascii="Arial" w:hAnsi="Arial" w:cs="Arial"/>
          <w:lang w:val="en-GB"/>
        </w:rPr>
        <w:t>:par</w:t>
      </w:r>
      <w:proofErr w:type="spellEnd"/>
      <w:r w:rsidR="00DC67AC" w:rsidRPr="00866963">
        <w:rPr>
          <w:rFonts w:ascii="Arial" w:hAnsi="Arial" w:cs="Arial"/>
          <w:lang w:val="en-GB"/>
        </w:rPr>
        <w:t>.</w:t>
      </w:r>
      <w:r w:rsidR="00DC67AC" w:rsidRPr="00866963">
        <w:rPr>
          <w:rFonts w:ascii="Arial" w:hAnsi="Arial" w:cs="Arial"/>
        </w:rPr>
        <w:t xml:space="preserve"> </w:t>
      </w:r>
      <w:r w:rsidRPr="00866963">
        <w:rPr>
          <w:rFonts w:ascii="Arial" w:hAnsi="Arial" w:cs="Arial"/>
        </w:rPr>
        <w:t>30.</w:t>
      </w:r>
    </w:p>
  </w:footnote>
  <w:footnote w:id="390">
    <w:p w14:paraId="1857FEA8" w14:textId="2FA3A6C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30. This is the view of the court in </w:t>
      </w:r>
      <w:r w:rsidRPr="00635917">
        <w:rPr>
          <w:rFonts w:ascii="Arial" w:hAnsi="Arial" w:cs="Arial"/>
          <w:i/>
          <w:iCs/>
        </w:rPr>
        <w:t>FirstRand</w:t>
      </w:r>
      <w:r w:rsidRPr="00635917">
        <w:rPr>
          <w:rFonts w:ascii="Arial" w:hAnsi="Arial" w:cs="Arial"/>
        </w:rPr>
        <w:t xml:space="preserve"> (</w:t>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30).</w:t>
      </w:r>
    </w:p>
  </w:footnote>
  <w:footnote w:id="391">
    <w:p w14:paraId="02D1301A" w14:textId="1C1F565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5252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31.</w:t>
      </w:r>
    </w:p>
  </w:footnote>
  <w:footnote w:id="392">
    <w:p w14:paraId="2E2F0A59" w14:textId="2C833C2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31.</w:t>
      </w:r>
    </w:p>
  </w:footnote>
  <w:footnote w:id="393">
    <w:p w14:paraId="5DACB4F3" w14:textId="18C16F9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w:t>
      </w:r>
    </w:p>
  </w:footnote>
  <w:footnote w:id="394">
    <w:p w14:paraId="45A6BD19" w14:textId="5BC64F24"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44.</w:t>
      </w:r>
    </w:p>
  </w:footnote>
  <w:footnote w:id="395">
    <w:p w14:paraId="28B1345C" w14:textId="5042C416"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8.</w:t>
      </w:r>
    </w:p>
  </w:footnote>
  <w:footnote w:id="396">
    <w:p w14:paraId="313283D1" w14:textId="5228EE9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8</w:t>
      </w:r>
      <w:r w:rsidR="00452D67">
        <w:rPr>
          <w:rFonts w:ascii="Arial" w:hAnsi="Arial" w:cs="Arial"/>
        </w:rPr>
        <w:t>,</w:t>
      </w:r>
      <w:r w:rsidRPr="00635917">
        <w:rPr>
          <w:rFonts w:ascii="Arial" w:hAnsi="Arial" w:cs="Arial"/>
        </w:rPr>
        <w:t xml:space="preserve"> 9. The store’s electricity bill was paid by the respondent’s husband and not </w:t>
      </w:r>
      <w:r w:rsidRPr="00635917">
        <w:rPr>
          <w:rFonts w:ascii="Arial" w:hAnsi="Arial" w:cs="Arial"/>
          <w:i/>
          <w:iCs/>
        </w:rPr>
        <w:t>Makeshift</w:t>
      </w:r>
      <w:r w:rsidRPr="00635917">
        <w:rPr>
          <w:rFonts w:ascii="Arial" w:hAnsi="Arial" w:cs="Arial"/>
        </w:rPr>
        <w:t>.</w:t>
      </w:r>
    </w:p>
  </w:footnote>
  <w:footnote w:id="397">
    <w:p w14:paraId="79F7ACF5" w14:textId="3133221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i/>
          <w:iCs/>
          <w:lang w:val="en-GB"/>
        </w:rPr>
        <w:t xml:space="preserve"> </w:t>
      </w:r>
      <w:r w:rsidR="006B08D3">
        <w:rPr>
          <w:rFonts w:ascii="Arial" w:hAnsi="Arial" w:cs="Arial"/>
          <w:i/>
          <w:iCs/>
          <w:lang w:val="en-GB"/>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9.</w:t>
      </w:r>
    </w:p>
  </w:footnote>
  <w:footnote w:id="398">
    <w:p w14:paraId="2DB33083" w14:textId="3EFD25B1" w:rsidR="00761FF4" w:rsidRPr="00635917" w:rsidRDefault="00761FF4" w:rsidP="00E63179">
      <w:pPr>
        <w:pStyle w:val="FootnoteText"/>
        <w:ind w:left="357" w:hanging="357"/>
        <w:jc w:val="both"/>
      </w:pPr>
      <w:r w:rsidRPr="00635917">
        <w:rPr>
          <w:rStyle w:val="FootnoteReference"/>
        </w:rPr>
        <w:footnoteRef/>
      </w:r>
      <w:r w:rsidRPr="00635917">
        <w:t xml:space="preserve"> </w:t>
      </w:r>
      <w:r w:rsidR="006B08D3">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49.</w:t>
      </w:r>
    </w:p>
  </w:footnote>
  <w:footnote w:id="399">
    <w:p w14:paraId="4E58CEA8" w14:textId="15F87699"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11.</w:t>
      </w:r>
    </w:p>
  </w:footnote>
  <w:footnote w:id="400">
    <w:p w14:paraId="3FFCDE4B" w14:textId="689A276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6B08D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20.</w:t>
      </w:r>
    </w:p>
  </w:footnote>
  <w:footnote w:id="401">
    <w:p w14:paraId="62E8C639" w14:textId="55DB183B"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31C1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23. The court in </w:t>
      </w:r>
      <w:r w:rsidRPr="00635917">
        <w:rPr>
          <w:rFonts w:ascii="Arial" w:hAnsi="Arial" w:cs="Arial"/>
          <w:i/>
          <w:iCs/>
        </w:rPr>
        <w:t>Masinda</w:t>
      </w:r>
      <w:r w:rsidRPr="00635917">
        <w:rPr>
          <w:rFonts w:ascii="Arial" w:hAnsi="Arial" w:cs="Arial"/>
        </w:rPr>
        <w:t xml:space="preserve"> was against the idea that ‘a mere supply of water and electricity, without more, constitutes an incident of possession’ (</w:t>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16).</w:t>
      </w:r>
    </w:p>
  </w:footnote>
  <w:footnote w:id="402">
    <w:p w14:paraId="170976E4" w14:textId="2EFEFAA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31C1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24.</w:t>
      </w:r>
    </w:p>
  </w:footnote>
  <w:footnote w:id="403">
    <w:p w14:paraId="6122B7CE" w14:textId="3E83FDB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331C1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32.</w:t>
      </w:r>
    </w:p>
  </w:footnote>
  <w:footnote w:id="404">
    <w:p w14:paraId="0BF255C5" w14:textId="003FAD9E"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331C1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0D0F99">
        <w:rPr>
          <w:rFonts w:ascii="Arial" w:hAnsi="Arial" w:cs="Arial"/>
          <w:i/>
          <w:iCs/>
          <w:lang w:val="en-GB"/>
        </w:rPr>
        <w:t>:</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33. This does not mean that service providers do not engage in acts of self-help. On the contrary, this research argues that the protection of </w:t>
      </w:r>
      <w:r w:rsidRPr="00635917">
        <w:rPr>
          <w:rFonts w:ascii="Arial" w:hAnsi="Arial" w:cs="Arial"/>
          <w:i/>
          <w:iCs/>
        </w:rPr>
        <w:t>quasi</w:t>
      </w:r>
      <w:r w:rsidRPr="00635917">
        <w:rPr>
          <w:rFonts w:ascii="Arial" w:hAnsi="Arial" w:cs="Arial"/>
        </w:rPr>
        <w:t>-possession of water and electricity supply should be extended to instances where service providers are also guilty of self-help even though they may not have an interest in the land.</w:t>
      </w:r>
    </w:p>
  </w:footnote>
  <w:footnote w:id="405">
    <w:p w14:paraId="6AD12AAD" w14:textId="5161C28F"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331C13">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34. The court in </w:t>
      </w:r>
      <w:r w:rsidRPr="00635917">
        <w:rPr>
          <w:rFonts w:ascii="Arial" w:hAnsi="Arial" w:cs="Arial"/>
          <w:i/>
          <w:iCs/>
        </w:rPr>
        <w:t>Makeshift</w:t>
      </w:r>
      <w:r w:rsidRPr="00635917">
        <w:rPr>
          <w:rFonts w:ascii="Arial" w:hAnsi="Arial" w:cs="Arial"/>
        </w:rPr>
        <w:t xml:space="preserve"> referred to </w:t>
      </w:r>
      <w:r w:rsidRPr="00635917">
        <w:rPr>
          <w:rFonts w:ascii="Arial" w:hAnsi="Arial" w:cs="Arial"/>
          <w:i/>
          <w:iCs/>
        </w:rPr>
        <w:t>ATM Solutions (Pty) Ltd</w:t>
      </w:r>
      <w:r w:rsidRPr="00635917">
        <w:rPr>
          <w:rFonts w:ascii="Arial" w:hAnsi="Arial" w:cs="Arial"/>
        </w:rPr>
        <w:t xml:space="preserve"> </w:t>
      </w:r>
      <w:r w:rsidRPr="00635917">
        <w:rPr>
          <w:rFonts w:ascii="Arial" w:hAnsi="Arial" w:cs="Arial"/>
          <w:i/>
          <w:iCs/>
          <w:lang w:val="en-GB"/>
        </w:rPr>
        <w:t xml:space="preserve">v </w:t>
      </w:r>
      <w:proofErr w:type="spellStart"/>
      <w:r w:rsidRPr="00635917">
        <w:rPr>
          <w:rFonts w:ascii="Arial" w:hAnsi="Arial" w:cs="Arial"/>
          <w:i/>
          <w:iCs/>
          <w:lang w:val="en-GB"/>
        </w:rPr>
        <w:t>Olkru</w:t>
      </w:r>
      <w:proofErr w:type="spellEnd"/>
      <w:r w:rsidRPr="00635917">
        <w:rPr>
          <w:rFonts w:ascii="Arial" w:hAnsi="Arial" w:cs="Arial"/>
          <w:i/>
          <w:iCs/>
          <w:lang w:val="en-GB"/>
        </w:rPr>
        <w:t xml:space="preserve"> </w:t>
      </w:r>
      <w:proofErr w:type="spellStart"/>
      <w:r w:rsidRPr="00635917">
        <w:rPr>
          <w:rFonts w:ascii="Arial" w:hAnsi="Arial" w:cs="Arial"/>
          <w:i/>
          <w:iCs/>
          <w:lang w:val="en-GB"/>
        </w:rPr>
        <w:t>Handelaars</w:t>
      </w:r>
      <w:proofErr w:type="spellEnd"/>
      <w:r w:rsidRPr="00635917">
        <w:rPr>
          <w:rFonts w:ascii="Arial" w:hAnsi="Arial" w:cs="Arial"/>
          <w:i/>
          <w:iCs/>
          <w:lang w:val="en-GB"/>
        </w:rPr>
        <w:t xml:space="preserve"> CC and Another</w:t>
      </w:r>
      <w:r w:rsidRPr="00635917">
        <w:rPr>
          <w:rFonts w:ascii="Arial" w:hAnsi="Arial" w:cs="Arial"/>
        </w:rPr>
        <w:t xml:space="preserve">, where the court relied </w:t>
      </w:r>
      <w:r w:rsidR="00883829">
        <w:rPr>
          <w:rFonts w:ascii="Arial" w:hAnsi="Arial" w:cs="Arial"/>
        </w:rPr>
        <w:t>on</w:t>
      </w:r>
      <w:r w:rsidRPr="00635917">
        <w:rPr>
          <w:rFonts w:ascii="Arial" w:hAnsi="Arial" w:cs="Arial"/>
        </w:rPr>
        <w:t xml:space="preserve"> </w:t>
      </w:r>
      <w:r w:rsidRPr="00635917">
        <w:rPr>
          <w:rFonts w:ascii="Arial" w:hAnsi="Arial" w:cs="Arial"/>
          <w:i/>
          <w:iCs/>
        </w:rPr>
        <w:t>Shapiro v South African Savings and Credit Bank</w:t>
      </w:r>
      <w:r w:rsidRPr="00635917">
        <w:rPr>
          <w:rFonts w:ascii="Arial" w:hAnsi="Arial" w:cs="Arial"/>
        </w:rPr>
        <w:t xml:space="preserve"> to state that the right to occupy the premises comprise </w:t>
      </w:r>
      <w:r w:rsidR="00883829">
        <w:rPr>
          <w:rFonts w:ascii="Arial" w:hAnsi="Arial" w:cs="Arial"/>
        </w:rPr>
        <w:t xml:space="preserve">of </w:t>
      </w:r>
      <w:r w:rsidRPr="00635917">
        <w:rPr>
          <w:rFonts w:ascii="Arial" w:hAnsi="Arial" w:cs="Arial"/>
        </w:rPr>
        <w:t xml:space="preserve">the supply of electricity, water, and other services provided by the landlord. In </w:t>
      </w:r>
      <w:r w:rsidRPr="00635917">
        <w:rPr>
          <w:rFonts w:ascii="Arial" w:hAnsi="Arial" w:cs="Arial"/>
          <w:i/>
          <w:iCs/>
        </w:rPr>
        <w:t xml:space="preserve">ATM Solutions, </w:t>
      </w:r>
      <w:r w:rsidRPr="00635917">
        <w:rPr>
          <w:rFonts w:ascii="Arial" w:hAnsi="Arial" w:cs="Arial"/>
        </w:rPr>
        <w:t>the appellant did not occupy the premises or control the ATM machine without the corporation of the respondent. As such, the court found that the presence of the machine o</w:t>
      </w:r>
      <w:r w:rsidR="00883829">
        <w:rPr>
          <w:rFonts w:ascii="Arial" w:hAnsi="Arial" w:cs="Arial"/>
        </w:rPr>
        <w:t>n</w:t>
      </w:r>
      <w:r w:rsidRPr="00635917">
        <w:rPr>
          <w:rFonts w:ascii="Arial" w:hAnsi="Arial" w:cs="Arial"/>
        </w:rPr>
        <w:t xml:space="preserve"> the respondent’s premises did not mean that the appellant had control over the premises or amount to an incident of possession of the property. (</w:t>
      </w:r>
      <w:r w:rsidRPr="00635917">
        <w:rPr>
          <w:rFonts w:ascii="Arial" w:hAnsi="Arial" w:cs="Arial"/>
          <w:i/>
          <w:iCs/>
          <w:lang w:val="en-GB"/>
        </w:rPr>
        <w:t xml:space="preserve">ATM Solutions (Pty) Ltd v </w:t>
      </w:r>
      <w:proofErr w:type="spellStart"/>
      <w:r w:rsidRPr="00635917">
        <w:rPr>
          <w:rFonts w:ascii="Arial" w:hAnsi="Arial" w:cs="Arial"/>
          <w:i/>
          <w:iCs/>
          <w:lang w:val="en-GB"/>
        </w:rPr>
        <w:t>Olkru</w:t>
      </w:r>
      <w:proofErr w:type="spellEnd"/>
      <w:r w:rsidRPr="00635917">
        <w:rPr>
          <w:rFonts w:ascii="Arial" w:hAnsi="Arial" w:cs="Arial"/>
          <w:i/>
          <w:iCs/>
          <w:lang w:val="en-GB"/>
        </w:rPr>
        <w:t xml:space="preserve"> </w:t>
      </w:r>
      <w:proofErr w:type="spellStart"/>
      <w:r w:rsidRPr="00635917">
        <w:rPr>
          <w:rFonts w:ascii="Arial" w:hAnsi="Arial" w:cs="Arial"/>
          <w:i/>
          <w:iCs/>
          <w:lang w:val="en-GB"/>
        </w:rPr>
        <w:t>Handelaars</w:t>
      </w:r>
      <w:proofErr w:type="spellEnd"/>
      <w:r w:rsidRPr="00635917">
        <w:rPr>
          <w:rFonts w:ascii="Arial" w:hAnsi="Arial" w:cs="Arial"/>
          <w:i/>
          <w:iCs/>
          <w:lang w:val="en-GB"/>
        </w:rPr>
        <w:t xml:space="preserve"> CC and Another</w:t>
      </w:r>
      <w:r w:rsidRPr="00635917">
        <w:rPr>
          <w:rFonts w:ascii="Arial" w:hAnsi="Arial" w:cs="Arial"/>
          <w:lang w:val="en-GB"/>
        </w:rPr>
        <w:t xml:space="preserve"> 2009 (4) SA 337 (SCA)</w:t>
      </w:r>
      <w:r w:rsidR="00074F84">
        <w:rPr>
          <w:rFonts w:ascii="Arial" w:hAnsi="Arial" w:cs="Arial"/>
          <w:lang w:val="en-GB"/>
        </w:rPr>
        <w:t>:</w:t>
      </w:r>
      <w:r w:rsidR="00EA5798">
        <w:rPr>
          <w:rFonts w:ascii="Arial" w:hAnsi="Arial" w:cs="Arial"/>
          <w:lang w:val="en-GB"/>
        </w:rPr>
        <w:t>p</w:t>
      </w:r>
      <w:r w:rsidRPr="00635917">
        <w:rPr>
          <w:rFonts w:ascii="Arial" w:hAnsi="Arial" w:cs="Arial"/>
          <w:lang w:val="en-GB"/>
        </w:rPr>
        <w:t>aras 12, 13</w:t>
      </w:r>
      <w:r w:rsidR="00EA5798">
        <w:rPr>
          <w:rFonts w:ascii="Arial" w:hAnsi="Arial" w:cs="Arial"/>
          <w:lang w:val="en-GB"/>
        </w:rPr>
        <w:t>,</w:t>
      </w:r>
      <w:r w:rsidRPr="00635917">
        <w:rPr>
          <w:rFonts w:ascii="Arial" w:hAnsi="Arial" w:cs="Arial"/>
          <w:lang w:val="en-GB"/>
        </w:rPr>
        <w:t xml:space="preserve"> 14).</w:t>
      </w:r>
    </w:p>
  </w:footnote>
  <w:footnote w:id="406">
    <w:p w14:paraId="755F0CF4" w14:textId="421C273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00A034F6">
        <w:rPr>
          <w:rFonts w:ascii="Arial" w:hAnsi="Arial" w:cs="Arial"/>
          <w:i/>
          <w:iCs/>
          <w:lang w:val="en-GB"/>
        </w:rPr>
        <w:t xml:space="preserve"> </w:t>
      </w:r>
      <w:r w:rsidR="00A034F6">
        <w:rPr>
          <w:rFonts w:ascii="Arial" w:hAnsi="Arial" w:cs="Arial"/>
          <w:i/>
          <w:iCs/>
          <w:lang w:val="en-GB"/>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38 &amp; 41.</w:t>
      </w:r>
    </w:p>
  </w:footnote>
  <w:footnote w:id="407">
    <w:p w14:paraId="5A80F23D" w14:textId="102B3EA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40.</w:t>
      </w:r>
    </w:p>
  </w:footnote>
  <w:footnote w:id="408">
    <w:p w14:paraId="1FD9E2E8" w14:textId="7B9F67AC"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41.</w:t>
      </w:r>
    </w:p>
  </w:footnote>
  <w:footnote w:id="409">
    <w:p w14:paraId="04E2A278" w14:textId="7814033D"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49.</w:t>
      </w:r>
    </w:p>
  </w:footnote>
  <w:footnote w:id="410">
    <w:p w14:paraId="057F9450" w14:textId="273F830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41.</w:t>
      </w:r>
    </w:p>
  </w:footnote>
  <w:footnote w:id="411">
    <w:p w14:paraId="0A6975D1" w14:textId="12911D2E"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49.</w:t>
      </w:r>
    </w:p>
  </w:footnote>
  <w:footnote w:id="412">
    <w:p w14:paraId="0AD9819C" w14:textId="3227B86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50.</w:t>
      </w:r>
    </w:p>
  </w:footnote>
  <w:footnote w:id="413">
    <w:p w14:paraId="554DF75E" w14:textId="593F7C20"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A034F6">
        <w:rPr>
          <w:rFonts w:ascii="Arial" w:hAnsi="Arial" w:cs="Arial"/>
        </w:rPr>
        <w:tab/>
      </w:r>
      <w:r w:rsidR="00AC7C24">
        <w:rPr>
          <w:rFonts w:ascii="Arial" w:hAnsi="Arial" w:cs="Arial"/>
        </w:rPr>
        <w:t>Marais 2021b</w:t>
      </w:r>
      <w:r w:rsidR="00074F84">
        <w:rPr>
          <w:rFonts w:ascii="Arial" w:hAnsi="Arial" w:cs="Arial"/>
        </w:rPr>
        <w:t>:</w:t>
      </w:r>
      <w:r w:rsidRPr="00635917">
        <w:rPr>
          <w:rFonts w:ascii="Arial" w:hAnsi="Arial" w:cs="Arial"/>
        </w:rPr>
        <w:t>91.</w:t>
      </w:r>
    </w:p>
  </w:footnote>
  <w:footnote w:id="414">
    <w:p w14:paraId="2B17A5BE" w14:textId="26CF4549"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22AC9">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29-30.</w:t>
      </w:r>
    </w:p>
  </w:footnote>
  <w:footnote w:id="415">
    <w:p w14:paraId="453E46A3" w14:textId="229F79A2" w:rsidR="00761FF4" w:rsidRPr="009E6526" w:rsidRDefault="00761FF4" w:rsidP="00E63179">
      <w:pPr>
        <w:pStyle w:val="FootnoteText"/>
        <w:ind w:left="357" w:hanging="357"/>
        <w:jc w:val="both"/>
        <w:rPr>
          <w:lang w:val="de-DE"/>
        </w:rPr>
      </w:pPr>
      <w:r w:rsidRPr="00635917">
        <w:rPr>
          <w:rStyle w:val="FootnoteReference"/>
          <w:rFonts w:ascii="Arial" w:hAnsi="Arial" w:cs="Arial"/>
        </w:rPr>
        <w:footnoteRef/>
      </w:r>
      <w:r w:rsidRPr="009E6526">
        <w:rPr>
          <w:rFonts w:ascii="Arial" w:hAnsi="Arial" w:cs="Arial"/>
          <w:lang w:val="de-DE"/>
        </w:rPr>
        <w:t xml:space="preserve"> </w:t>
      </w:r>
      <w:r w:rsidR="00822AC9" w:rsidRPr="009E6526">
        <w:rPr>
          <w:rFonts w:ascii="Arial" w:hAnsi="Arial" w:cs="Arial"/>
          <w:lang w:val="de-DE"/>
        </w:rPr>
        <w:tab/>
      </w:r>
      <w:r w:rsidR="00AC7C24" w:rsidRPr="009E6526">
        <w:rPr>
          <w:rFonts w:ascii="Arial" w:hAnsi="Arial" w:cs="Arial"/>
          <w:lang w:val="de-DE"/>
        </w:rPr>
        <w:t>Marais 2021b</w:t>
      </w:r>
      <w:r w:rsidR="00074F84" w:rsidRPr="009E6526">
        <w:rPr>
          <w:rFonts w:ascii="Arial" w:hAnsi="Arial" w:cs="Arial"/>
          <w:lang w:val="de-DE"/>
        </w:rPr>
        <w:t>:</w:t>
      </w:r>
      <w:r w:rsidRPr="009E6526">
        <w:rPr>
          <w:rFonts w:ascii="Arial" w:hAnsi="Arial" w:cs="Arial"/>
          <w:lang w:val="de-DE"/>
        </w:rPr>
        <w:t>93-94.</w:t>
      </w:r>
    </w:p>
  </w:footnote>
  <w:footnote w:id="416">
    <w:p w14:paraId="76B08B63" w14:textId="1A680181" w:rsidR="00A7207C" w:rsidRPr="009E6526" w:rsidRDefault="00A7207C" w:rsidP="00866963">
      <w:pPr>
        <w:pStyle w:val="FootnoteText"/>
        <w:ind w:left="357" w:hanging="357"/>
        <w:rPr>
          <w:lang w:val="de-DE"/>
        </w:rPr>
      </w:pPr>
      <w:r w:rsidRPr="00866963">
        <w:rPr>
          <w:rStyle w:val="FootnoteReference"/>
        </w:rPr>
        <w:footnoteRef/>
      </w:r>
      <w:r w:rsidRPr="009E6526">
        <w:rPr>
          <w:lang w:val="de-DE"/>
        </w:rPr>
        <w:t xml:space="preserve"> </w:t>
      </w:r>
      <w:r w:rsidR="00866963" w:rsidRPr="009E6526">
        <w:rPr>
          <w:lang w:val="de-DE"/>
        </w:rPr>
        <w:tab/>
      </w:r>
      <w:r w:rsidRPr="009E6526">
        <w:rPr>
          <w:rFonts w:ascii="Arial" w:hAnsi="Arial" w:cs="Arial"/>
          <w:lang w:val="de-DE"/>
        </w:rPr>
        <w:t xml:space="preserve">Horn </w:t>
      </w:r>
      <w:r w:rsidRPr="009E6526">
        <w:rPr>
          <w:rFonts w:ascii="Arial" w:hAnsi="Arial" w:cs="Arial"/>
          <w:i/>
          <w:iCs/>
          <w:lang w:val="de-DE"/>
        </w:rPr>
        <w:t>et al</w:t>
      </w:r>
      <w:r w:rsidRPr="009E6526">
        <w:rPr>
          <w:rFonts w:ascii="Arial" w:hAnsi="Arial" w:cs="Arial"/>
          <w:lang w:val="de-DE"/>
        </w:rPr>
        <w:t xml:space="preserve"> 2021:253.</w:t>
      </w:r>
    </w:p>
  </w:footnote>
  <w:footnote w:id="417">
    <w:p w14:paraId="17292046" w14:textId="1A2A109C"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866963" w:rsidRP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CC</w:t>
      </w:r>
      <w:r w:rsidRPr="00E336C2">
        <w:rPr>
          <w:rFonts w:ascii="Arial" w:hAnsi="Arial" w:cs="Arial"/>
          <w:lang w:val="en-GB"/>
        </w:rPr>
        <w:t xml:space="preserve"> 2020 ZAGPJHC 31:par 27.</w:t>
      </w:r>
    </w:p>
  </w:footnote>
  <w:footnote w:id="418">
    <w:p w14:paraId="1FC7CDE9" w14:textId="0122BA7A" w:rsidR="006D74A8" w:rsidRPr="00E336C2" w:rsidRDefault="006D74A8" w:rsidP="00866963">
      <w:pPr>
        <w:pStyle w:val="FootnoteText"/>
        <w:ind w:left="357" w:hanging="357"/>
        <w:rPr>
          <w:rFonts w:ascii="Arial" w:hAnsi="Arial" w:cs="Arial"/>
        </w:rPr>
      </w:pPr>
      <w:r w:rsidRPr="00E336C2">
        <w:rPr>
          <w:rStyle w:val="FootnoteReference"/>
        </w:rPr>
        <w:footnoteRef/>
      </w:r>
      <w:r w:rsidRPr="00E336C2">
        <w:t xml:space="preserve"> </w:t>
      </w:r>
      <w:r w:rsidR="00866963" w:rsidRPr="00E336C2">
        <w:tab/>
      </w:r>
      <w:r w:rsidR="00866963" w:rsidRPr="00E336C2">
        <w:rPr>
          <w:rFonts w:ascii="Arial" w:hAnsi="Arial" w:cs="Arial"/>
        </w:rPr>
        <w:t>H</w:t>
      </w:r>
      <w:r w:rsidRPr="00E336C2">
        <w:rPr>
          <w:rFonts w:ascii="Arial" w:hAnsi="Arial" w:cs="Arial"/>
        </w:rPr>
        <w:t xml:space="preserve">orn </w:t>
      </w:r>
      <w:r w:rsidRPr="00E336C2">
        <w:rPr>
          <w:rFonts w:ascii="Arial" w:hAnsi="Arial" w:cs="Arial"/>
          <w:i/>
          <w:iCs/>
        </w:rPr>
        <w:t>et al</w:t>
      </w:r>
      <w:r w:rsidRPr="00E336C2">
        <w:rPr>
          <w:rFonts w:ascii="Arial" w:hAnsi="Arial" w:cs="Arial"/>
        </w:rPr>
        <w:t xml:space="preserve"> 2021:254.</w:t>
      </w:r>
    </w:p>
  </w:footnote>
  <w:footnote w:id="419">
    <w:p w14:paraId="4F332B20" w14:textId="5B8CA50F" w:rsidR="006D74A8" w:rsidRPr="00E336C2" w:rsidRDefault="006D74A8" w:rsidP="00866963">
      <w:pPr>
        <w:pStyle w:val="FootnoteText"/>
        <w:ind w:left="357" w:hanging="357"/>
        <w:rPr>
          <w:lang w:val="en-GB"/>
        </w:rPr>
      </w:pPr>
      <w:r w:rsidRPr="00E336C2">
        <w:rPr>
          <w:rStyle w:val="FootnoteReference"/>
          <w:rFonts w:ascii="Arial" w:hAnsi="Arial" w:cs="Arial"/>
        </w:rPr>
        <w:footnoteRef/>
      </w:r>
      <w:r w:rsidR="002D0801" w:rsidRPr="00E336C2">
        <w:rPr>
          <w:rFonts w:ascii="Arial" w:hAnsi="Arial" w:cs="Arial"/>
        </w:rPr>
        <w:t xml:space="preserve"> </w:t>
      </w:r>
      <w:r w:rsidR="00E336C2">
        <w:rPr>
          <w:rFonts w:ascii="Arial" w:hAnsi="Arial" w:cs="Arial"/>
        </w:rPr>
        <w:tab/>
      </w:r>
      <w:r w:rsidR="00866963" w:rsidRPr="00E336C2">
        <w:rPr>
          <w:rFonts w:ascii="Arial" w:hAnsi="Arial" w:cs="Arial"/>
          <w:i/>
          <w:iCs/>
        </w:rPr>
        <w:t>E</w:t>
      </w:r>
      <w:proofErr w:type="spellStart"/>
      <w:r w:rsidRPr="00E336C2">
        <w:rPr>
          <w:rFonts w:ascii="Arial" w:hAnsi="Arial" w:cs="Arial"/>
          <w:i/>
          <w:iCs/>
          <w:lang w:val="en-GB"/>
        </w:rPr>
        <w:t>skom</w:t>
      </w:r>
      <w:proofErr w:type="spellEnd"/>
      <w:r w:rsidRPr="00E336C2">
        <w:rPr>
          <w:rFonts w:ascii="Arial" w:hAnsi="Arial" w:cs="Arial"/>
          <w:i/>
          <w:iCs/>
          <w:lang w:val="en-GB"/>
        </w:rPr>
        <w:t xml:space="preserve">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26.</w:t>
      </w:r>
    </w:p>
  </w:footnote>
  <w:footnote w:id="420">
    <w:p w14:paraId="790A4F67" w14:textId="3DA5108C"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27.</w:t>
      </w:r>
    </w:p>
  </w:footnote>
  <w:footnote w:id="421">
    <w:p w14:paraId="1B950806" w14:textId="00788FCC"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27.</w:t>
      </w:r>
    </w:p>
  </w:footnote>
  <w:footnote w:id="422">
    <w:p w14:paraId="3F618D58" w14:textId="2C313CC8"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27.</w:t>
      </w:r>
    </w:p>
  </w:footnote>
  <w:footnote w:id="423">
    <w:p w14:paraId="1C784788" w14:textId="77F59CEB"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35.</w:t>
      </w:r>
    </w:p>
  </w:footnote>
  <w:footnote w:id="424">
    <w:p w14:paraId="4D5CE8B9" w14:textId="2491EE07" w:rsidR="006D74A8" w:rsidRPr="00E336C2" w:rsidRDefault="006D74A8" w:rsidP="00866963">
      <w:pPr>
        <w:pStyle w:val="FootnoteText"/>
        <w:ind w:left="357" w:hanging="357"/>
        <w:rPr>
          <w:lang w:val="en-GB"/>
        </w:rPr>
      </w:pPr>
      <w:r w:rsidRPr="00E336C2">
        <w:rPr>
          <w:rStyle w:val="FootnoteReference"/>
        </w:rPr>
        <w:footnoteRef/>
      </w:r>
      <w:r w:rsidRPr="00E336C2">
        <w:t xml:space="preserve"> </w:t>
      </w:r>
      <w:r w:rsid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34.</w:t>
      </w:r>
    </w:p>
  </w:footnote>
  <w:footnote w:id="425">
    <w:p w14:paraId="0058E384" w14:textId="1C0264DF" w:rsidR="006D74A8" w:rsidRPr="00E336C2" w:rsidRDefault="006D74A8" w:rsidP="00E336C2">
      <w:pPr>
        <w:pStyle w:val="FootnoteText"/>
        <w:ind w:left="357" w:hanging="357"/>
        <w:rPr>
          <w:lang w:val="en-GB"/>
        </w:rPr>
      </w:pPr>
      <w:r w:rsidRPr="00E336C2">
        <w:rPr>
          <w:rStyle w:val="FootnoteReference"/>
        </w:rPr>
        <w:footnoteRef/>
      </w:r>
      <w:r w:rsidRPr="00E336C2">
        <w:t xml:space="preserve"> </w:t>
      </w:r>
      <w:r w:rsidR="00E336C2" w:rsidRPr="00E336C2">
        <w:tab/>
      </w:r>
      <w:r w:rsidRPr="00E336C2">
        <w:rPr>
          <w:rFonts w:ascii="Arial" w:hAnsi="Arial" w:cs="Arial"/>
          <w:i/>
          <w:iCs/>
          <w:lang w:val="en-GB"/>
        </w:rPr>
        <w:t xml:space="preserve">Eskom Holdings SOC Limited v </w:t>
      </w:r>
      <w:proofErr w:type="spellStart"/>
      <w:r w:rsidRPr="00E336C2">
        <w:rPr>
          <w:rFonts w:ascii="Arial" w:hAnsi="Arial" w:cs="Arial"/>
          <w:i/>
          <w:iCs/>
          <w:lang w:val="en-GB"/>
        </w:rPr>
        <w:t>Metchem</w:t>
      </w:r>
      <w:proofErr w:type="spellEnd"/>
      <w:r w:rsidRPr="00E336C2">
        <w:rPr>
          <w:rFonts w:ascii="Arial" w:hAnsi="Arial" w:cs="Arial"/>
          <w:i/>
          <w:iCs/>
          <w:lang w:val="en-GB"/>
        </w:rPr>
        <w:t xml:space="preserve"> </w:t>
      </w:r>
      <w:proofErr w:type="spellStart"/>
      <w:r w:rsidRPr="00E336C2">
        <w:rPr>
          <w:rFonts w:ascii="Arial" w:hAnsi="Arial" w:cs="Arial"/>
          <w:i/>
          <w:iCs/>
          <w:lang w:val="en-GB"/>
        </w:rPr>
        <w:t>Steelpoort</w:t>
      </w:r>
      <w:proofErr w:type="spellEnd"/>
      <w:r w:rsidRPr="00E336C2">
        <w:rPr>
          <w:rFonts w:ascii="Arial" w:hAnsi="Arial" w:cs="Arial"/>
          <w:i/>
          <w:iCs/>
          <w:lang w:val="en-GB"/>
        </w:rPr>
        <w:t xml:space="preserve"> </w:t>
      </w:r>
      <w:proofErr w:type="spellStart"/>
      <w:r w:rsidRPr="00E336C2">
        <w:rPr>
          <w:rFonts w:ascii="Arial" w:hAnsi="Arial" w:cs="Arial"/>
          <w:i/>
          <w:iCs/>
          <w:lang w:val="en-GB"/>
        </w:rPr>
        <w:t>CC</w:t>
      </w:r>
      <w:r w:rsidRPr="00E336C2">
        <w:rPr>
          <w:rFonts w:ascii="Arial" w:hAnsi="Arial" w:cs="Arial"/>
          <w:lang w:val="en-GB"/>
        </w:rPr>
        <w:t>:par</w:t>
      </w:r>
      <w:proofErr w:type="spellEnd"/>
      <w:r w:rsidRPr="00E336C2">
        <w:rPr>
          <w:rFonts w:ascii="Arial" w:hAnsi="Arial" w:cs="Arial"/>
          <w:lang w:val="en-GB"/>
        </w:rPr>
        <w:t xml:space="preserve"> 36.</w:t>
      </w:r>
    </w:p>
  </w:footnote>
  <w:footnote w:id="426">
    <w:p w14:paraId="6D1CFE6A" w14:textId="07B15F97" w:rsidR="006D74A8" w:rsidRPr="009E6526" w:rsidRDefault="006D74A8" w:rsidP="00E336C2">
      <w:pPr>
        <w:pStyle w:val="FootnoteText"/>
        <w:ind w:left="357" w:hanging="357"/>
        <w:rPr>
          <w:lang w:val="de-DE"/>
        </w:rPr>
      </w:pPr>
      <w:r w:rsidRPr="00E336C2">
        <w:rPr>
          <w:rStyle w:val="FootnoteReference"/>
        </w:rPr>
        <w:footnoteRef/>
      </w:r>
      <w:r w:rsidRPr="009E6526">
        <w:rPr>
          <w:lang w:val="de-DE"/>
        </w:rPr>
        <w:t xml:space="preserve"> </w:t>
      </w:r>
      <w:r w:rsidR="00E336C2" w:rsidRPr="009E6526">
        <w:rPr>
          <w:lang w:val="de-DE"/>
        </w:rPr>
        <w:tab/>
      </w:r>
      <w:r w:rsidRPr="009E6526">
        <w:rPr>
          <w:rFonts w:ascii="Arial" w:hAnsi="Arial" w:cs="Arial"/>
          <w:lang w:val="de-DE"/>
        </w:rPr>
        <w:t xml:space="preserve">Horn </w:t>
      </w:r>
      <w:r w:rsidRPr="009E6526">
        <w:rPr>
          <w:rFonts w:ascii="Arial" w:hAnsi="Arial" w:cs="Arial"/>
          <w:i/>
          <w:iCs/>
          <w:lang w:val="de-DE"/>
        </w:rPr>
        <w:t>et al</w:t>
      </w:r>
      <w:r w:rsidRPr="009E6526">
        <w:rPr>
          <w:rFonts w:ascii="Arial" w:hAnsi="Arial" w:cs="Arial"/>
          <w:lang w:val="de-DE"/>
        </w:rPr>
        <w:t xml:space="preserve"> 2021: 255.</w:t>
      </w:r>
    </w:p>
  </w:footnote>
  <w:footnote w:id="427">
    <w:p w14:paraId="0C5922F2" w14:textId="449821FF" w:rsidR="006D74A8" w:rsidRPr="009E6526" w:rsidRDefault="006D74A8" w:rsidP="00E336C2">
      <w:pPr>
        <w:pStyle w:val="FootnoteText"/>
        <w:ind w:left="357" w:hanging="357"/>
        <w:rPr>
          <w:lang w:val="de-DE"/>
        </w:rPr>
      </w:pPr>
      <w:r w:rsidRPr="00E336C2">
        <w:rPr>
          <w:rStyle w:val="FootnoteReference"/>
        </w:rPr>
        <w:footnoteRef/>
      </w:r>
      <w:r w:rsidRPr="009E6526">
        <w:rPr>
          <w:lang w:val="de-DE"/>
        </w:rPr>
        <w:t xml:space="preserve"> </w:t>
      </w:r>
      <w:r w:rsidR="00E336C2" w:rsidRPr="009E6526">
        <w:rPr>
          <w:lang w:val="de-DE"/>
        </w:rPr>
        <w:tab/>
      </w:r>
      <w:r w:rsidRPr="009E6526">
        <w:rPr>
          <w:rFonts w:ascii="Arial" w:hAnsi="Arial" w:cs="Arial"/>
          <w:lang w:val="de-DE"/>
        </w:rPr>
        <w:t xml:space="preserve">Horn </w:t>
      </w:r>
      <w:r w:rsidRPr="009E6526">
        <w:rPr>
          <w:rFonts w:ascii="Arial" w:hAnsi="Arial" w:cs="Arial"/>
          <w:i/>
          <w:iCs/>
          <w:lang w:val="de-DE"/>
        </w:rPr>
        <w:t>et al</w:t>
      </w:r>
      <w:r w:rsidRPr="009E6526">
        <w:rPr>
          <w:rFonts w:ascii="Arial" w:hAnsi="Arial" w:cs="Arial"/>
          <w:lang w:val="de-DE"/>
        </w:rPr>
        <w:t xml:space="preserve"> 2021: 255.</w:t>
      </w:r>
    </w:p>
  </w:footnote>
  <w:footnote w:id="428">
    <w:p w14:paraId="0128A22D" w14:textId="5B0A0D99"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822AC9">
        <w:rPr>
          <w:rFonts w:ascii="Arial" w:hAnsi="Arial" w:cs="Arial"/>
        </w:rPr>
        <w:tab/>
      </w:r>
      <w:r w:rsidR="00C87D8C">
        <w:rPr>
          <w:rFonts w:ascii="Arial" w:hAnsi="Arial" w:cs="Arial"/>
          <w:lang w:val="en-GB"/>
        </w:rPr>
        <w:t>Marais 2021a</w:t>
      </w:r>
      <w:r w:rsidR="00074F84">
        <w:rPr>
          <w:rFonts w:ascii="Arial" w:hAnsi="Arial" w:cs="Arial"/>
          <w:lang w:val="en-GB"/>
        </w:rPr>
        <w:t>:</w:t>
      </w:r>
      <w:r w:rsidRPr="00635917">
        <w:rPr>
          <w:rFonts w:ascii="Arial" w:hAnsi="Arial" w:cs="Arial"/>
          <w:lang w:val="en-GB"/>
        </w:rPr>
        <w:t xml:space="preserve">97; </w:t>
      </w:r>
      <w:r w:rsidR="00AC7C24">
        <w:rPr>
          <w:rFonts w:ascii="Arial" w:hAnsi="Arial" w:cs="Arial"/>
          <w:lang w:val="en-GB"/>
        </w:rPr>
        <w:t>Marais 2021b</w:t>
      </w:r>
      <w:r w:rsidR="00074F84">
        <w:rPr>
          <w:rFonts w:ascii="Arial" w:hAnsi="Arial" w:cs="Arial"/>
          <w:lang w:val="en-GB"/>
        </w:rPr>
        <w:t>:</w:t>
      </w:r>
      <w:r w:rsidRPr="00635917">
        <w:rPr>
          <w:rFonts w:ascii="Arial" w:hAnsi="Arial" w:cs="Arial"/>
          <w:lang w:val="en-GB"/>
        </w:rPr>
        <w:t>224.</w:t>
      </w:r>
    </w:p>
  </w:footnote>
  <w:footnote w:id="429">
    <w:p w14:paraId="0EE24C5A" w14:textId="2BB886F1"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822AC9">
        <w:rPr>
          <w:rFonts w:ascii="Arial" w:hAnsi="Arial" w:cs="Arial"/>
        </w:rPr>
        <w:tab/>
      </w:r>
      <w:r w:rsidR="00AC7C24">
        <w:rPr>
          <w:rFonts w:ascii="Arial" w:hAnsi="Arial" w:cs="Arial"/>
        </w:rPr>
        <w:t>Marais 2021b</w:t>
      </w:r>
      <w:r w:rsidR="00074F84">
        <w:rPr>
          <w:rFonts w:ascii="Arial" w:hAnsi="Arial" w:cs="Arial"/>
        </w:rPr>
        <w:t>:</w:t>
      </w:r>
      <w:r w:rsidRPr="00635917">
        <w:rPr>
          <w:rFonts w:ascii="Arial" w:hAnsi="Arial" w:cs="Arial"/>
        </w:rPr>
        <w:t>229.</w:t>
      </w:r>
    </w:p>
  </w:footnote>
  <w:footnote w:id="430">
    <w:p w14:paraId="70E2A2A8" w14:textId="00BD1A5F" w:rsidR="00C05F4C" w:rsidRDefault="00C05F4C" w:rsidP="0053136E">
      <w:pPr>
        <w:pStyle w:val="FootnoteText"/>
        <w:ind w:left="357" w:hanging="357"/>
        <w:jc w:val="both"/>
      </w:pPr>
      <w:r>
        <w:rPr>
          <w:rStyle w:val="FootnoteReference"/>
        </w:rPr>
        <w:footnoteRef/>
      </w:r>
      <w:r>
        <w:t xml:space="preserve">  </w:t>
      </w:r>
      <w:r w:rsidR="00EF798A" w:rsidRPr="0053136E">
        <w:rPr>
          <w:rFonts w:ascii="Arial" w:hAnsi="Arial" w:cs="Arial"/>
        </w:rPr>
        <w:t xml:space="preserve">In the </w:t>
      </w:r>
      <w:r w:rsidR="00EF798A" w:rsidRPr="00097D06">
        <w:rPr>
          <w:rFonts w:ascii="Arial" w:hAnsi="Arial" w:cs="Arial"/>
          <w:i/>
          <w:iCs/>
          <w:shd w:val="clear" w:color="auto" w:fill="FFFFFF"/>
        </w:rPr>
        <w:t xml:space="preserve">City of Cape Town v </w:t>
      </w:r>
      <w:proofErr w:type="spellStart"/>
      <w:r w:rsidR="00EF798A" w:rsidRPr="00097D06">
        <w:rPr>
          <w:rFonts w:ascii="Arial" w:hAnsi="Arial" w:cs="Arial"/>
          <w:i/>
          <w:iCs/>
          <w:shd w:val="clear" w:color="auto" w:fill="FFFFFF"/>
        </w:rPr>
        <w:t>Strümpher</w:t>
      </w:r>
      <w:proofErr w:type="spellEnd"/>
      <w:r w:rsidR="00EF798A" w:rsidRPr="00097D06">
        <w:rPr>
          <w:rFonts w:ascii="Arial" w:hAnsi="Arial" w:cs="Arial"/>
          <w:shd w:val="clear" w:color="auto" w:fill="FFFFFF"/>
        </w:rPr>
        <w:t>,</w:t>
      </w:r>
      <w:r w:rsidR="00EF798A">
        <w:rPr>
          <w:rFonts w:ascii="Arial" w:hAnsi="Arial" w:cs="Arial"/>
          <w:shd w:val="clear" w:color="auto" w:fill="FFFFFF"/>
        </w:rPr>
        <w:t xml:space="preserve"> t</w:t>
      </w:r>
      <w:r w:rsidRPr="00486C80">
        <w:rPr>
          <w:rFonts w:ascii="Arial" w:hAnsi="Arial" w:cs="Arial"/>
          <w:bCs/>
        </w:rPr>
        <w:t>he court observed that a spoliation order should not be denied where the supplier of services summarily terminate services to users without complying with its own</w:t>
      </w:r>
      <w:r w:rsidRPr="00486C80">
        <w:rPr>
          <w:rFonts w:ascii="Arial" w:hAnsi="Arial" w:cs="Arial"/>
        </w:rPr>
        <w:t xml:space="preserve"> set procedural formalities</w:t>
      </w:r>
      <w:r w:rsidR="00EF798A">
        <w:rPr>
          <w:rFonts w:ascii="Arial" w:hAnsi="Arial" w:cs="Arial"/>
        </w:rPr>
        <w:t xml:space="preserve"> (</w:t>
      </w:r>
      <w:r w:rsidR="00EF798A" w:rsidRPr="00486C80">
        <w:rPr>
          <w:rFonts w:ascii="Arial" w:hAnsi="Arial" w:cs="Arial"/>
          <w:i/>
          <w:iCs/>
          <w:shd w:val="clear" w:color="auto" w:fill="FFFFFF"/>
        </w:rPr>
        <w:t xml:space="preserve">City of Cape Town v </w:t>
      </w:r>
      <w:proofErr w:type="spellStart"/>
      <w:r w:rsidR="00EF798A" w:rsidRPr="00486C80">
        <w:rPr>
          <w:rFonts w:ascii="Arial" w:hAnsi="Arial" w:cs="Arial"/>
          <w:i/>
          <w:iCs/>
          <w:shd w:val="clear" w:color="auto" w:fill="FFFFFF"/>
        </w:rPr>
        <w:t>Strümpher</w:t>
      </w:r>
      <w:proofErr w:type="spellEnd"/>
      <w:r w:rsidR="00EF798A" w:rsidRPr="00486C80">
        <w:rPr>
          <w:rFonts w:ascii="Arial" w:hAnsi="Arial" w:cs="Arial"/>
          <w:shd w:val="clear" w:color="auto" w:fill="FFFFFF"/>
        </w:rPr>
        <w:t xml:space="preserve"> </w:t>
      </w:r>
      <w:r w:rsidR="00EF798A" w:rsidRPr="00486C80">
        <w:rPr>
          <w:rFonts w:ascii="Arial" w:hAnsi="Arial" w:cs="Arial"/>
          <w:bCs/>
        </w:rPr>
        <w:t>par.19</w:t>
      </w:r>
      <w:r w:rsidR="00EF798A">
        <w:rPr>
          <w:rFonts w:ascii="Arial" w:hAnsi="Arial" w:cs="Arial"/>
          <w:bCs/>
        </w:rPr>
        <w:t>)</w:t>
      </w:r>
      <w:r w:rsidRPr="00486C80">
        <w:rPr>
          <w:rFonts w:ascii="Arial" w:hAnsi="Arial" w:cs="Arial"/>
        </w:rPr>
        <w:t>.</w:t>
      </w:r>
      <w:r>
        <w:rPr>
          <w:rFonts w:ascii="Arial" w:hAnsi="Arial" w:cs="Arial"/>
        </w:rPr>
        <w:t xml:space="preserve"> Moreover, according to Ngwenyama, the fact that the possession of residential premises ordinarily subsumes the supply of water and electricity as a practical necessity for the use and enjoyment of the property which are either included in the rental amount or paid directly to local authorities, the municipality or landlord cannot therefore merely disconnect the supply of services without giving adequate notice to defaulting residents to remedy the breach. Though he speaks only on the position of tenants who fail to meet their payment obligations, he believes however that tenants would be competent to approach the court for a spoliation order where the municipality or landlord fails to follow correct procedures in terminating the supply of services (</w:t>
      </w:r>
      <w:proofErr w:type="spellStart"/>
      <w:r>
        <w:rPr>
          <w:rFonts w:ascii="Arial" w:hAnsi="Arial" w:cs="Arial"/>
        </w:rPr>
        <w:t>Boggenpoel</w:t>
      </w:r>
      <w:proofErr w:type="spellEnd"/>
      <w:r>
        <w:rPr>
          <w:rFonts w:ascii="Arial" w:hAnsi="Arial" w:cs="Arial"/>
        </w:rPr>
        <w:t xml:space="preserve"> </w:t>
      </w:r>
      <w:r w:rsidRPr="00B00703">
        <w:rPr>
          <w:rFonts w:ascii="Arial" w:hAnsi="Arial" w:cs="Arial"/>
          <w:i/>
          <w:iCs/>
        </w:rPr>
        <w:t>et al</w:t>
      </w:r>
      <w:r>
        <w:rPr>
          <w:rFonts w:ascii="Arial" w:hAnsi="Arial" w:cs="Arial"/>
        </w:rPr>
        <w:t xml:space="preserve"> 2021: 88-89).</w:t>
      </w:r>
    </w:p>
  </w:footnote>
  <w:footnote w:id="431">
    <w:p w14:paraId="1332F899" w14:textId="77777777" w:rsidR="00C05F4C" w:rsidRPr="00486C80" w:rsidRDefault="00C05F4C" w:rsidP="00C05F4C">
      <w:pPr>
        <w:pStyle w:val="FootnoteText"/>
        <w:ind w:left="357" w:hanging="357"/>
        <w:jc w:val="both"/>
        <w:rPr>
          <w:lang w:val="en-GB"/>
        </w:rPr>
      </w:pPr>
      <w:r w:rsidRPr="00486C80">
        <w:rPr>
          <w:rStyle w:val="FootnoteReference"/>
        </w:rPr>
        <w:footnoteRef/>
      </w:r>
      <w:r w:rsidRPr="00486C80">
        <w:t xml:space="preserve"> </w:t>
      </w:r>
      <w:r>
        <w:tab/>
      </w:r>
      <w:r w:rsidRPr="00486C80">
        <w:rPr>
          <w:rFonts w:ascii="Arial" w:hAnsi="Arial" w:cs="Arial"/>
          <w:i/>
          <w:lang w:val="en-GB"/>
        </w:rPr>
        <w:t>Vena and Another v George Municipality</w:t>
      </w:r>
      <w:r w:rsidRPr="00486C80">
        <w:rPr>
          <w:rFonts w:ascii="Arial" w:hAnsi="Arial" w:cs="Arial"/>
          <w:lang w:val="en-GB"/>
        </w:rPr>
        <w:t xml:space="preserve"> 1987(4) SA 29 (C). However, the amended section 3B(2) of the Act indicated that a notice of intention must be given before the demolition can be carried out. This amendment was introduced following the decision in </w:t>
      </w:r>
      <w:r w:rsidRPr="00486C80">
        <w:rPr>
          <w:rFonts w:ascii="Arial" w:hAnsi="Arial" w:cs="Arial"/>
          <w:i/>
          <w:lang w:val="en-GB"/>
        </w:rPr>
        <w:t xml:space="preserve">Fredricks and Another v Stellenbosch Divisional Council </w:t>
      </w:r>
      <w:r w:rsidRPr="00486C80">
        <w:rPr>
          <w:rFonts w:ascii="Arial" w:hAnsi="Arial" w:cs="Arial"/>
          <w:lang w:val="en-GB"/>
        </w:rPr>
        <w:t>1977 (3) SA 133 (C) where the spoliation remedy was granted against the Stellenbosch Divisional Council for unlawfully demolishing the squatter houses without prior notice of 7 days.</w:t>
      </w:r>
    </w:p>
  </w:footnote>
  <w:footnote w:id="432">
    <w:p w14:paraId="2577CBF1" w14:textId="77777777" w:rsidR="00C05F4C" w:rsidRPr="00486C80" w:rsidRDefault="00C05F4C" w:rsidP="00C05F4C">
      <w:pPr>
        <w:pStyle w:val="FootnoteText"/>
        <w:ind w:left="357" w:hanging="357"/>
        <w:jc w:val="both"/>
        <w:rPr>
          <w:lang w:val="en-GB"/>
        </w:rPr>
      </w:pPr>
      <w:r w:rsidRPr="00486C80">
        <w:rPr>
          <w:rStyle w:val="FootnoteReference"/>
        </w:rPr>
        <w:footnoteRef/>
      </w:r>
      <w:r w:rsidRPr="00486C80">
        <w:t xml:space="preserve"> </w:t>
      </w:r>
      <w:r>
        <w:tab/>
      </w:r>
      <w:r w:rsidRPr="00486C80">
        <w:rPr>
          <w:rFonts w:ascii="Arial" w:hAnsi="Arial" w:cs="Arial"/>
          <w:i/>
          <w:lang w:val="en-GB"/>
        </w:rPr>
        <w:t>Vena and Another v George Municipality</w:t>
      </w:r>
      <w:r w:rsidRPr="00486C80">
        <w:rPr>
          <w:rFonts w:ascii="Arial" w:hAnsi="Arial" w:cs="Arial"/>
          <w:lang w:val="en-GB"/>
        </w:rPr>
        <w:t xml:space="preserve"> 1987(4) SA 29 (C):51G-H.</w:t>
      </w:r>
    </w:p>
  </w:footnote>
  <w:footnote w:id="433">
    <w:p w14:paraId="7FD7A587" w14:textId="77777777" w:rsidR="00C05F4C" w:rsidRPr="00635917" w:rsidRDefault="00C05F4C" w:rsidP="00C05F4C">
      <w:pPr>
        <w:pStyle w:val="FootnoteText"/>
        <w:ind w:left="357" w:hanging="357"/>
        <w:jc w:val="both"/>
        <w:rPr>
          <w:lang w:val="en-GB"/>
        </w:rPr>
      </w:pPr>
      <w:r w:rsidRPr="00D15F24">
        <w:rPr>
          <w:rStyle w:val="FootnoteReference"/>
        </w:rPr>
        <w:footnoteRef/>
      </w:r>
      <w:r w:rsidRPr="00D15F24">
        <w:t xml:space="preserve"> </w:t>
      </w:r>
      <w:r>
        <w:tab/>
      </w:r>
      <w:r w:rsidRPr="00D15F24">
        <w:rPr>
          <w:rFonts w:ascii="Arial" w:hAnsi="Arial" w:cs="Arial"/>
          <w:i/>
          <w:lang w:val="en-GB"/>
        </w:rPr>
        <w:t>Vena and Another v George Municipality</w:t>
      </w:r>
      <w:r>
        <w:rPr>
          <w:rFonts w:ascii="Arial" w:hAnsi="Arial" w:cs="Arial"/>
          <w:iCs/>
          <w:lang w:val="en-GB"/>
        </w:rPr>
        <w:t>:</w:t>
      </w:r>
      <w:r w:rsidRPr="00D15F24">
        <w:rPr>
          <w:rFonts w:ascii="Arial" w:hAnsi="Arial" w:cs="Arial"/>
          <w:lang w:val="en-GB"/>
        </w:rPr>
        <w:t>45D-F.</w:t>
      </w:r>
    </w:p>
  </w:footnote>
  <w:footnote w:id="434">
    <w:p w14:paraId="0EF6291A" w14:textId="77777777" w:rsidR="00C05F4C" w:rsidRPr="00635917" w:rsidRDefault="00C05F4C" w:rsidP="00C05F4C">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i/>
          <w:lang w:val="en-GB"/>
        </w:rPr>
        <w:t>Vena and Another v George Municipality</w:t>
      </w:r>
      <w:r>
        <w:rPr>
          <w:rFonts w:ascii="Arial" w:hAnsi="Arial" w:cs="Arial"/>
          <w:iCs/>
          <w:lang w:val="en-GB"/>
        </w:rPr>
        <w:t>:</w:t>
      </w:r>
      <w:r w:rsidRPr="00635917">
        <w:rPr>
          <w:rFonts w:ascii="Arial" w:hAnsi="Arial" w:cs="Arial"/>
          <w:lang w:val="en-GB"/>
        </w:rPr>
        <w:t>43D-E.</w:t>
      </w:r>
    </w:p>
  </w:footnote>
  <w:footnote w:id="435">
    <w:p w14:paraId="14938411" w14:textId="77777777" w:rsidR="00C05F4C" w:rsidRPr="00635917" w:rsidRDefault="00C05F4C" w:rsidP="00C05F4C">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lang w:val="en-GB"/>
        </w:rPr>
        <w:t>Harker 1988:198.</w:t>
      </w:r>
    </w:p>
  </w:footnote>
  <w:footnote w:id="436">
    <w:p w14:paraId="7A3E4DCC" w14:textId="77777777" w:rsidR="00C05F4C" w:rsidRPr="00635917" w:rsidRDefault="00C05F4C" w:rsidP="00C05F4C">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lang w:val="en-GB"/>
        </w:rPr>
        <w:t>Harker 1988:198.</w:t>
      </w:r>
    </w:p>
  </w:footnote>
  <w:footnote w:id="437">
    <w:p w14:paraId="5F64C1E9" w14:textId="4C0F1DEF" w:rsidR="00C05F4C" w:rsidRPr="00635917" w:rsidRDefault="00C05F4C" w:rsidP="00C05F4C">
      <w:pPr>
        <w:pStyle w:val="FootnoteText"/>
        <w:ind w:left="357" w:hanging="357"/>
        <w:jc w:val="both"/>
        <w:rPr>
          <w:lang w:val="en-GB"/>
        </w:rPr>
      </w:pPr>
      <w:r w:rsidRPr="00635917">
        <w:rPr>
          <w:rStyle w:val="FootnoteReference"/>
        </w:rPr>
        <w:footnoteRef/>
      </w:r>
      <w:r w:rsidRPr="00635917">
        <w:t xml:space="preserve"> </w:t>
      </w:r>
      <w:r>
        <w:tab/>
      </w:r>
      <w:r w:rsidRPr="00635917">
        <w:rPr>
          <w:rFonts w:ascii="Arial" w:hAnsi="Arial" w:cs="Arial"/>
          <w:lang w:val="en-GB"/>
        </w:rPr>
        <w:t>The kind of disconnection envisioned by</w:t>
      </w:r>
      <w:r w:rsidR="00A97E00">
        <w:rPr>
          <w:rFonts w:ascii="Arial" w:hAnsi="Arial" w:cs="Arial"/>
          <w:lang w:val="en-GB"/>
        </w:rPr>
        <w:t xml:space="preserve"> the</w:t>
      </w:r>
      <w:r w:rsidRPr="00635917">
        <w:rPr>
          <w:rFonts w:ascii="Arial" w:hAnsi="Arial" w:cs="Arial"/>
          <w:lang w:val="en-GB"/>
        </w:rPr>
        <w:t xml:space="preserve"> authors is one where water and electricity is cut off as an indirect way of evicting occupants.</w:t>
      </w:r>
    </w:p>
  </w:footnote>
  <w:footnote w:id="438">
    <w:p w14:paraId="376FEC80" w14:textId="5106765F" w:rsidR="00C05F4C" w:rsidRPr="00635917" w:rsidRDefault="00C05F4C" w:rsidP="00C05F4C">
      <w:pPr>
        <w:pStyle w:val="FootnoteText"/>
        <w:ind w:left="357" w:hanging="357"/>
        <w:jc w:val="both"/>
        <w:rPr>
          <w:rFonts w:ascii="Arial" w:hAnsi="Arial" w:cs="Arial"/>
          <w:lang w:val="en-GB"/>
        </w:rPr>
      </w:pPr>
      <w:r w:rsidRPr="00635917">
        <w:rPr>
          <w:rStyle w:val="FootnoteReference"/>
          <w:rFonts w:ascii="Arial" w:hAnsi="Arial" w:cs="Arial"/>
        </w:rPr>
        <w:footnoteRef/>
      </w:r>
      <w:r w:rsidRPr="007E1471">
        <w:rPr>
          <w:rFonts w:ascii="Arial" w:hAnsi="Arial" w:cs="Arial"/>
        </w:rPr>
        <w:t xml:space="preserve"> </w:t>
      </w:r>
      <w:r w:rsidRPr="007E1471">
        <w:rPr>
          <w:rFonts w:ascii="Arial" w:hAnsi="Arial" w:cs="Arial"/>
        </w:rPr>
        <w:tab/>
        <w:t>Van der Walt &amp; Sutherland 2003:109.</w:t>
      </w:r>
      <w:r>
        <w:rPr>
          <w:rFonts w:ascii="Arial" w:hAnsi="Arial" w:cs="Arial"/>
        </w:rPr>
        <w:t xml:space="preserve"> </w:t>
      </w:r>
      <w:r w:rsidRPr="00635917">
        <w:rPr>
          <w:rFonts w:ascii="Arial" w:hAnsi="Arial" w:cs="Arial"/>
          <w:lang w:val="en-GB"/>
        </w:rPr>
        <w:t>This opinion is also shared by Freedman 2015:200.</w:t>
      </w:r>
    </w:p>
  </w:footnote>
  <w:footnote w:id="439">
    <w:p w14:paraId="20A4583F" w14:textId="77777777" w:rsidR="00EA0CEE" w:rsidRPr="00635917" w:rsidRDefault="00EA0CEE" w:rsidP="00EA0CEE">
      <w:pPr>
        <w:pStyle w:val="FootnoteText"/>
        <w:ind w:left="357" w:hanging="357"/>
        <w:jc w:val="both"/>
        <w:rPr>
          <w:lang w:val="en-GB"/>
        </w:rPr>
      </w:pPr>
      <w:r w:rsidRPr="00635917">
        <w:rPr>
          <w:rStyle w:val="FootnoteReference"/>
        </w:rPr>
        <w:footnoteRef/>
      </w:r>
      <w:r w:rsidRPr="00635917">
        <w:t xml:space="preserve"> </w:t>
      </w:r>
      <w:r>
        <w:tab/>
      </w:r>
      <w:proofErr w:type="spellStart"/>
      <w:r w:rsidRPr="00635917">
        <w:rPr>
          <w:rFonts w:ascii="Arial" w:hAnsi="Arial" w:cs="Arial"/>
        </w:rPr>
        <w:t>Boggenpoel</w:t>
      </w:r>
      <w:proofErr w:type="spellEnd"/>
      <w:r w:rsidRPr="00635917">
        <w:rPr>
          <w:rFonts w:ascii="Arial" w:hAnsi="Arial" w:cs="Arial"/>
        </w:rPr>
        <w:t xml:space="preserve"> 2016:78.</w:t>
      </w:r>
    </w:p>
  </w:footnote>
  <w:footnote w:id="440">
    <w:p w14:paraId="5BD0B0B5" w14:textId="77777777" w:rsidR="00C05F4C" w:rsidRPr="00DD357E" w:rsidRDefault="00C05F4C" w:rsidP="00C05F4C">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Pr>
          <w:rFonts w:ascii="Arial" w:hAnsi="Arial" w:cs="Arial"/>
        </w:rPr>
        <w:tab/>
      </w:r>
      <w:proofErr w:type="spellStart"/>
      <w:r w:rsidRPr="00635917">
        <w:rPr>
          <w:rFonts w:ascii="Arial" w:hAnsi="Arial" w:cs="Arial"/>
          <w:lang w:val="en-GB"/>
        </w:rPr>
        <w:t>Boggenpoel</w:t>
      </w:r>
      <w:proofErr w:type="spellEnd"/>
      <w:r w:rsidRPr="00635917">
        <w:rPr>
          <w:rFonts w:ascii="Arial" w:hAnsi="Arial" w:cs="Arial"/>
          <w:lang w:val="en-GB"/>
        </w:rPr>
        <w:t xml:space="preserve"> 2017:23</w:t>
      </w:r>
      <w:r>
        <w:rPr>
          <w:rFonts w:ascii="Arial" w:hAnsi="Arial" w:cs="Arial"/>
          <w:lang w:val="en-GB"/>
        </w:rPr>
        <w:t>,</w:t>
      </w:r>
      <w:r w:rsidRPr="00635917">
        <w:rPr>
          <w:rFonts w:ascii="Arial" w:hAnsi="Arial" w:cs="Arial"/>
          <w:lang w:val="en-GB"/>
        </w:rPr>
        <w:t xml:space="preserve"> 28. She stated this principle with reference to </w:t>
      </w:r>
      <w:r w:rsidRPr="00635917">
        <w:rPr>
          <w:rFonts w:ascii="Arial" w:hAnsi="Arial" w:cs="Arial"/>
          <w:i/>
          <w:lang w:val="en-GB"/>
        </w:rPr>
        <w:t xml:space="preserve">The City of Cape Town v </w:t>
      </w:r>
      <w:proofErr w:type="spellStart"/>
      <w:r w:rsidRPr="00635917">
        <w:rPr>
          <w:rFonts w:ascii="Arial" w:hAnsi="Arial" w:cs="Arial"/>
          <w:i/>
          <w:lang w:val="en-GB"/>
        </w:rPr>
        <w:t>Strumpher</w:t>
      </w:r>
      <w:proofErr w:type="spellEnd"/>
      <w:r w:rsidRPr="00635917">
        <w:rPr>
          <w:rFonts w:ascii="Arial" w:hAnsi="Arial" w:cs="Arial"/>
          <w:lang w:val="en-GB"/>
        </w:rPr>
        <w:t xml:space="preserve"> 2012 (4) SA 207 (SCA), where the City after having disconnected the water supply, was found to </w:t>
      </w:r>
      <w:r w:rsidRPr="00DD357E">
        <w:rPr>
          <w:rFonts w:ascii="Arial" w:hAnsi="Arial" w:cs="Arial"/>
          <w:lang w:val="en-GB"/>
        </w:rPr>
        <w:t>have ignored its own dispute resolution procedures. Par. 14 &amp; 15. Muller 2019:13.</w:t>
      </w:r>
    </w:p>
  </w:footnote>
  <w:footnote w:id="441">
    <w:p w14:paraId="7017F128" w14:textId="3E4B421E" w:rsidR="00C05F4C" w:rsidRPr="0053136E" w:rsidRDefault="00C05F4C" w:rsidP="0053136E">
      <w:pPr>
        <w:spacing w:after="0" w:line="240" w:lineRule="auto"/>
        <w:ind w:left="357" w:hanging="357"/>
        <w:jc w:val="both"/>
        <w:rPr>
          <w:rFonts w:ascii="Arial" w:hAnsi="Arial" w:cs="Arial"/>
        </w:rPr>
      </w:pPr>
      <w:r w:rsidRPr="00DD357E">
        <w:rPr>
          <w:rStyle w:val="FootnoteReference"/>
          <w:rFonts w:ascii="Arial" w:hAnsi="Arial" w:cs="Arial"/>
        </w:rPr>
        <w:footnoteRef/>
      </w:r>
      <w:r w:rsidRPr="00DD357E">
        <w:rPr>
          <w:rFonts w:ascii="Arial" w:hAnsi="Arial" w:cs="Arial"/>
        </w:rPr>
        <w:t xml:space="preserve"> </w:t>
      </w:r>
      <w:r w:rsidRPr="00DD357E">
        <w:rPr>
          <w:rFonts w:ascii="Arial" w:hAnsi="Arial" w:cs="Arial"/>
        </w:rPr>
        <w:tab/>
      </w:r>
      <w:r w:rsidRPr="00C454A8">
        <w:rPr>
          <w:rFonts w:ascii="Arial" w:hAnsi="Arial" w:cs="Arial"/>
          <w:i/>
          <w:sz w:val="20"/>
          <w:szCs w:val="20"/>
        </w:rPr>
        <w:t>Nino Bonino v De Lange</w:t>
      </w:r>
      <w:r w:rsidRPr="00C454A8">
        <w:rPr>
          <w:rFonts w:ascii="Arial" w:hAnsi="Arial" w:cs="Arial"/>
          <w:sz w:val="20"/>
          <w:szCs w:val="20"/>
        </w:rPr>
        <w:t xml:space="preserve"> :156</w:t>
      </w:r>
      <w:r w:rsidR="00A97E00">
        <w:rPr>
          <w:rFonts w:ascii="Arial" w:hAnsi="Arial" w:cs="Arial"/>
          <w:sz w:val="20"/>
          <w:szCs w:val="20"/>
        </w:rPr>
        <w:t>;</w:t>
      </w:r>
      <w:r w:rsidRPr="00C454A8">
        <w:rPr>
          <w:rFonts w:ascii="Arial" w:hAnsi="Arial" w:cs="Arial"/>
          <w:sz w:val="20"/>
          <w:szCs w:val="20"/>
        </w:rPr>
        <w:t xml:space="preserve"> Marais 2021b:218.</w:t>
      </w:r>
      <w:r w:rsidR="00C454A8" w:rsidRPr="00C454A8">
        <w:rPr>
          <w:rFonts w:ascii="Arial" w:hAnsi="Arial" w:cs="Arial"/>
          <w:sz w:val="20"/>
          <w:szCs w:val="20"/>
        </w:rPr>
        <w:t xml:space="preserve"> </w:t>
      </w:r>
      <w:r w:rsidR="00C454A8" w:rsidRPr="0053136E">
        <w:rPr>
          <w:rFonts w:ascii="Arial" w:hAnsi="Arial" w:cs="Arial"/>
          <w:sz w:val="20"/>
          <w:szCs w:val="20"/>
          <w:lang w:val="en-GB"/>
        </w:rPr>
        <w:t xml:space="preserve">Additionally, </w:t>
      </w:r>
      <w:r w:rsidR="00C454A8" w:rsidRPr="0053136E">
        <w:rPr>
          <w:rFonts w:ascii="Arial" w:hAnsi="Arial" w:cs="Arial"/>
          <w:sz w:val="20"/>
          <w:szCs w:val="20"/>
          <w:shd w:val="clear" w:color="auto" w:fill="FFFFFF"/>
        </w:rPr>
        <w:t xml:space="preserve">Rens pointed out </w:t>
      </w:r>
      <w:r w:rsidR="00C454A8" w:rsidRPr="0053136E">
        <w:rPr>
          <w:rFonts w:ascii="Arial" w:hAnsi="Arial" w:cs="Arial"/>
          <w:sz w:val="20"/>
          <w:szCs w:val="20"/>
        </w:rPr>
        <w:t>that the spoliation remedy should be extended to industries in which the state has historically provided services. He believed that this would check the powers of incumbent operators from taking the law into their own hands (Rens 2003:754).</w:t>
      </w:r>
      <w:r w:rsidR="00C454A8" w:rsidRPr="00C454A8">
        <w:rPr>
          <w:rFonts w:ascii="Arial" w:hAnsi="Arial" w:cs="Arial"/>
          <w:sz w:val="20"/>
          <w:szCs w:val="20"/>
        </w:rPr>
        <w:t xml:space="preserve"> </w:t>
      </w:r>
      <w:r w:rsidR="00C454A8" w:rsidRPr="0053136E">
        <w:rPr>
          <w:rFonts w:ascii="Arial" w:hAnsi="Arial" w:cs="Arial"/>
          <w:sz w:val="20"/>
          <w:szCs w:val="20"/>
          <w:lang w:val="en-GB"/>
        </w:rPr>
        <w:t xml:space="preserve">Muller </w:t>
      </w:r>
      <w:r w:rsidR="00C454A8" w:rsidRPr="0053136E">
        <w:rPr>
          <w:rFonts w:ascii="Arial" w:hAnsi="Arial" w:cs="Arial"/>
          <w:i/>
          <w:iCs/>
          <w:sz w:val="20"/>
          <w:szCs w:val="20"/>
          <w:lang w:val="en-GB"/>
        </w:rPr>
        <w:t>et al</w:t>
      </w:r>
      <w:r w:rsidR="00C454A8" w:rsidRPr="0053136E">
        <w:rPr>
          <w:rFonts w:ascii="Arial" w:hAnsi="Arial" w:cs="Arial"/>
          <w:sz w:val="20"/>
          <w:szCs w:val="20"/>
          <w:lang w:val="en-GB"/>
        </w:rPr>
        <w:t xml:space="preserve"> agree with Rens in stating that spoliation of possession should not be disqualified even in cases where disconnection is effected by someone else or another institution</w:t>
      </w:r>
      <w:r w:rsidR="00C454A8" w:rsidRPr="00C454A8">
        <w:rPr>
          <w:rFonts w:ascii="Arial" w:hAnsi="Arial" w:cs="Arial"/>
          <w:sz w:val="20"/>
          <w:szCs w:val="20"/>
          <w:lang w:val="en-GB"/>
        </w:rPr>
        <w:t xml:space="preserve"> (</w:t>
      </w:r>
      <w:r w:rsidR="00C454A8" w:rsidRPr="00C454A8">
        <w:rPr>
          <w:rFonts w:ascii="Arial" w:hAnsi="Arial" w:cs="Arial"/>
          <w:sz w:val="20"/>
          <w:szCs w:val="20"/>
        </w:rPr>
        <w:t xml:space="preserve">Muller </w:t>
      </w:r>
      <w:r w:rsidR="00C454A8" w:rsidRPr="00C454A8">
        <w:rPr>
          <w:rFonts w:ascii="Arial" w:hAnsi="Arial" w:cs="Arial"/>
          <w:i/>
          <w:sz w:val="20"/>
          <w:szCs w:val="20"/>
        </w:rPr>
        <w:t>et al</w:t>
      </w:r>
      <w:r w:rsidR="00C454A8" w:rsidRPr="00C454A8">
        <w:rPr>
          <w:rFonts w:ascii="Arial" w:hAnsi="Arial" w:cs="Arial"/>
          <w:sz w:val="20"/>
          <w:szCs w:val="20"/>
        </w:rPr>
        <w:t xml:space="preserve"> 2019b:342)</w:t>
      </w:r>
      <w:r w:rsidR="00C454A8" w:rsidRPr="0053136E">
        <w:rPr>
          <w:rFonts w:ascii="Arial" w:hAnsi="Arial" w:cs="Arial"/>
          <w:sz w:val="20"/>
          <w:szCs w:val="20"/>
          <w:lang w:val="en-GB"/>
        </w:rPr>
        <w:t>.</w:t>
      </w:r>
    </w:p>
  </w:footnote>
  <w:footnote w:id="442">
    <w:p w14:paraId="1A97CE6C" w14:textId="611D95A7" w:rsidR="00761FF4" w:rsidRPr="00635917" w:rsidRDefault="00761FF4" w:rsidP="00E63179">
      <w:pPr>
        <w:pStyle w:val="FootnoteText"/>
        <w:ind w:left="357" w:hanging="357"/>
        <w:jc w:val="both"/>
        <w:rPr>
          <w:rFonts w:ascii="Arial" w:hAnsi="Arial" w:cs="Arial"/>
          <w:lang w:val="en-GB"/>
        </w:rPr>
      </w:pPr>
      <w:r w:rsidRPr="00635917">
        <w:rPr>
          <w:rStyle w:val="FootnoteReference"/>
          <w:rFonts w:ascii="Arial" w:hAnsi="Arial" w:cs="Arial"/>
        </w:rPr>
        <w:footnoteRef/>
      </w:r>
      <w:r w:rsidRPr="00635917">
        <w:rPr>
          <w:rFonts w:ascii="Arial" w:hAnsi="Arial" w:cs="Arial"/>
        </w:rPr>
        <w:t xml:space="preserve"> </w:t>
      </w:r>
      <w:r w:rsidR="00822AC9">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Another </w:t>
      </w:r>
      <w:r w:rsidRPr="00635917">
        <w:rPr>
          <w:rFonts w:ascii="Arial" w:hAnsi="Arial" w:cs="Arial"/>
          <w:lang w:val="en-GB"/>
        </w:rPr>
        <w:t xml:space="preserve">(567/2022) [2022] ZAFSHC 151. Categories (a), (b), and (c) as determined in </w:t>
      </w:r>
      <w:r w:rsidRPr="00635917">
        <w:rPr>
          <w:rFonts w:ascii="Arial" w:hAnsi="Arial" w:cs="Arial"/>
          <w:i/>
          <w:iCs/>
          <w:lang w:val="en-GB"/>
        </w:rPr>
        <w:t>Makeshift</w:t>
      </w:r>
      <w:r w:rsidRPr="00635917">
        <w:rPr>
          <w:rFonts w:ascii="Arial" w:hAnsi="Arial" w:cs="Arial"/>
          <w:lang w:val="en-GB"/>
        </w:rPr>
        <w:t>.</w:t>
      </w:r>
    </w:p>
  </w:footnote>
  <w:footnote w:id="443">
    <w:p w14:paraId="4CD6CD47" w14:textId="2C675B50"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17.</w:t>
      </w:r>
    </w:p>
  </w:footnote>
  <w:footnote w:id="444">
    <w:p w14:paraId="678DFC49" w14:textId="02A32F51"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21. Clause 8 made provision for dispute resolution processes, while clause 12 dealt with enquiries and appeals (</w:t>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22)</w:t>
      </w:r>
    </w:p>
  </w:footnote>
  <w:footnote w:id="445">
    <w:p w14:paraId="4D147CCC" w14:textId="08B31E4C"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10.</w:t>
      </w:r>
    </w:p>
  </w:footnote>
  <w:footnote w:id="446">
    <w:p w14:paraId="260476C0" w14:textId="053F9845"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E03802">
        <w:rPr>
          <w:rFonts w:ascii="Arial" w:hAnsi="Arial" w:cs="Arial"/>
          <w:i/>
          <w:iCs/>
          <w:lang w:val="en-GB"/>
        </w:rPr>
        <w:t>:</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21 &amp; 22.</w:t>
      </w:r>
    </w:p>
  </w:footnote>
  <w:footnote w:id="447">
    <w:p w14:paraId="144C7905" w14:textId="2C135FCB"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11.13.</w:t>
      </w:r>
    </w:p>
  </w:footnote>
  <w:footnote w:id="448">
    <w:p w14:paraId="54CB836A" w14:textId="1184B2C8"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11.14.</w:t>
      </w:r>
    </w:p>
  </w:footnote>
  <w:footnote w:id="449">
    <w:p w14:paraId="1E7D681B" w14:textId="3F6D0CBB"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11</w:t>
      </w:r>
      <w:r w:rsidR="00E03802">
        <w:rPr>
          <w:rFonts w:ascii="Arial" w:hAnsi="Arial" w:cs="Arial"/>
          <w:lang w:val="en-GB"/>
        </w:rPr>
        <w:t xml:space="preserve">, </w:t>
      </w:r>
      <w:r w:rsidRPr="00635917">
        <w:rPr>
          <w:rFonts w:ascii="Arial" w:hAnsi="Arial" w:cs="Arial"/>
          <w:lang w:val="en-GB"/>
        </w:rPr>
        <w:t>19.</w:t>
      </w:r>
    </w:p>
  </w:footnote>
  <w:footnote w:id="450">
    <w:p w14:paraId="4C0F8B2E" w14:textId="2F958337"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23.</w:t>
      </w:r>
    </w:p>
  </w:footnote>
  <w:footnote w:id="451">
    <w:p w14:paraId="0B5B4678" w14:textId="54D00CDA"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24.</w:t>
      </w:r>
    </w:p>
  </w:footnote>
  <w:footnote w:id="452">
    <w:p w14:paraId="47AB2C81" w14:textId="38E6E629"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w:t>
      </w:r>
      <w:r w:rsidR="00E03802">
        <w:rPr>
          <w:rFonts w:ascii="Arial" w:hAnsi="Arial" w:cs="Arial"/>
          <w:i/>
          <w:iCs/>
          <w:lang w:val="en-GB"/>
        </w:rPr>
        <w:t>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26.</w:t>
      </w:r>
    </w:p>
  </w:footnote>
  <w:footnote w:id="453">
    <w:p w14:paraId="0CD73293" w14:textId="077BE19F"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26.</w:t>
      </w:r>
    </w:p>
  </w:footnote>
  <w:footnote w:id="454">
    <w:p w14:paraId="36BBDF7C" w14:textId="722668AB" w:rsidR="00761FF4" w:rsidRPr="00635917" w:rsidRDefault="00761FF4" w:rsidP="00E63179">
      <w:pPr>
        <w:pStyle w:val="FootnoteText"/>
        <w:ind w:left="357" w:hanging="357"/>
        <w:jc w:val="both"/>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27.</w:t>
      </w:r>
    </w:p>
  </w:footnote>
  <w:footnote w:id="455">
    <w:p w14:paraId="607966B8" w14:textId="0AFA6900"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Pr="00635917">
        <w:rPr>
          <w:rFonts w:ascii="Arial" w:hAnsi="Arial" w:cs="Arial"/>
        </w:rPr>
        <w:t>11.</w:t>
      </w:r>
    </w:p>
  </w:footnote>
  <w:footnote w:id="456">
    <w:p w14:paraId="2C669668" w14:textId="2F024B8C"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26.</w:t>
      </w:r>
    </w:p>
  </w:footnote>
  <w:footnote w:id="457">
    <w:p w14:paraId="76A4ED64" w14:textId="71288A21"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 xml:space="preserve">22; </w:t>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34.</w:t>
      </w:r>
    </w:p>
  </w:footnote>
  <w:footnote w:id="458">
    <w:p w14:paraId="30341ED3" w14:textId="58613D0E"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sidR="00DC67AC">
        <w:rPr>
          <w:rFonts w:ascii="Arial" w:hAnsi="Arial" w:cs="Arial"/>
          <w:lang w:val="en-GB"/>
        </w:rPr>
        <w:t>:par</w:t>
      </w:r>
      <w:proofErr w:type="spellEnd"/>
      <w:r w:rsidR="00DC67AC">
        <w:rPr>
          <w:rFonts w:ascii="Arial" w:hAnsi="Arial" w:cs="Arial"/>
          <w:lang w:val="en-GB"/>
        </w:rPr>
        <w:t>.</w:t>
      </w:r>
      <w:r w:rsidR="00DC67AC">
        <w:rPr>
          <w:rFonts w:ascii="Arial" w:hAnsi="Arial" w:cs="Arial"/>
        </w:rPr>
        <w:t xml:space="preserve"> </w:t>
      </w:r>
      <w:r w:rsidRPr="00635917">
        <w:rPr>
          <w:rFonts w:ascii="Arial" w:hAnsi="Arial" w:cs="Arial"/>
        </w:rPr>
        <w:t>22.</w:t>
      </w:r>
    </w:p>
  </w:footnote>
  <w:footnote w:id="459">
    <w:p w14:paraId="5A8F441E" w14:textId="6095DE03" w:rsidR="00761FF4" w:rsidRPr="00635917" w:rsidRDefault="00761FF4" w:rsidP="00E63179">
      <w:pPr>
        <w:pStyle w:val="FootnoteText"/>
        <w:ind w:left="357" w:hanging="357"/>
        <w:jc w:val="both"/>
        <w:rPr>
          <w:rFonts w:ascii="Arial" w:hAnsi="Arial" w:cs="Arial"/>
        </w:rPr>
      </w:pPr>
      <w:r w:rsidRPr="00635917">
        <w:rPr>
          <w:rStyle w:val="FootnoteReference"/>
          <w:rFonts w:ascii="Arial" w:hAnsi="Arial" w:cs="Arial"/>
        </w:rPr>
        <w:footnoteRef/>
      </w:r>
      <w:r w:rsidRPr="00635917">
        <w:rPr>
          <w:rFonts w:ascii="Arial" w:hAnsi="Arial" w:cs="Arial"/>
        </w:rPr>
        <w:t xml:space="preserve"> </w:t>
      </w:r>
      <w:r w:rsidR="00E03802">
        <w:rPr>
          <w:rFonts w:ascii="Arial" w:hAnsi="Arial" w:cs="Arial"/>
        </w:rPr>
        <w:tab/>
      </w:r>
      <w:r w:rsidRPr="00635917">
        <w:rPr>
          <w:rFonts w:ascii="Arial" w:hAnsi="Arial" w:cs="Arial"/>
          <w:i/>
          <w:iCs/>
          <w:lang w:val="en-GB"/>
        </w:rPr>
        <w:t xml:space="preserve">Makeshift 1190 (Pty) Ltd v </w:t>
      </w:r>
      <w:proofErr w:type="spellStart"/>
      <w:r w:rsidRPr="00635917">
        <w:rPr>
          <w:rFonts w:ascii="Arial" w:hAnsi="Arial" w:cs="Arial"/>
          <w:i/>
          <w:iCs/>
          <w:lang w:val="en-GB"/>
        </w:rPr>
        <w:t>Cilliers</w:t>
      </w:r>
      <w:r w:rsidR="00DC67AC">
        <w:rPr>
          <w:rFonts w:ascii="Arial" w:hAnsi="Arial" w:cs="Arial"/>
          <w:lang w:val="en-GB"/>
        </w:rPr>
        <w:t>:par</w:t>
      </w:r>
      <w:proofErr w:type="spellEnd"/>
      <w:r w:rsidR="00DC67AC">
        <w:rPr>
          <w:rFonts w:ascii="Arial" w:hAnsi="Arial" w:cs="Arial"/>
          <w:lang w:val="en-GB"/>
        </w:rPr>
        <w:t>.</w:t>
      </w:r>
      <w:r w:rsidR="00857A95">
        <w:rPr>
          <w:rFonts w:ascii="Arial" w:hAnsi="Arial" w:cs="Arial"/>
          <w:lang w:val="en-GB"/>
        </w:rPr>
        <w:t xml:space="preserve"> </w:t>
      </w:r>
      <w:r w:rsidRPr="00635917">
        <w:rPr>
          <w:rFonts w:ascii="Arial" w:hAnsi="Arial" w:cs="Arial"/>
          <w:lang w:val="en-GB"/>
        </w:rPr>
        <w:t>34.</w:t>
      </w:r>
    </w:p>
  </w:footnote>
  <w:footnote w:id="460">
    <w:p w14:paraId="453506F8" w14:textId="654AD31F" w:rsidR="00761FF4" w:rsidRPr="00635917" w:rsidRDefault="00761FF4" w:rsidP="00E63179">
      <w:pPr>
        <w:pStyle w:val="FootnoteText"/>
        <w:ind w:left="357" w:hanging="357"/>
        <w:jc w:val="both"/>
      </w:pPr>
      <w:r w:rsidRPr="00635917">
        <w:rPr>
          <w:rStyle w:val="FootnoteReference"/>
        </w:rPr>
        <w:footnoteRef/>
      </w:r>
      <w:r w:rsidRPr="00635917">
        <w:t xml:space="preserve"> </w:t>
      </w:r>
      <w:r w:rsidR="00E03802">
        <w:tab/>
      </w:r>
      <w:r w:rsidRPr="00635917">
        <w:rPr>
          <w:rFonts w:ascii="Arial" w:hAnsi="Arial" w:cs="Arial"/>
          <w:i/>
          <w:iCs/>
          <w:lang w:val="en-GB"/>
        </w:rPr>
        <w:t xml:space="preserve">Harrismith </w:t>
      </w:r>
      <w:proofErr w:type="spellStart"/>
      <w:r w:rsidRPr="00635917">
        <w:rPr>
          <w:rFonts w:ascii="Arial" w:hAnsi="Arial" w:cs="Arial"/>
          <w:i/>
          <w:iCs/>
          <w:lang w:val="en-GB"/>
        </w:rPr>
        <w:t>Intabazwe</w:t>
      </w:r>
      <w:proofErr w:type="spellEnd"/>
      <w:r w:rsidRPr="00635917">
        <w:rPr>
          <w:rFonts w:ascii="Arial" w:hAnsi="Arial" w:cs="Arial"/>
          <w:i/>
          <w:iCs/>
          <w:lang w:val="en-GB"/>
        </w:rPr>
        <w:t xml:space="preserve"> </w:t>
      </w:r>
      <w:proofErr w:type="spellStart"/>
      <w:r w:rsidRPr="00635917">
        <w:rPr>
          <w:rFonts w:ascii="Arial" w:hAnsi="Arial" w:cs="Arial"/>
          <w:i/>
          <w:iCs/>
          <w:lang w:val="en-GB"/>
        </w:rPr>
        <w:t>Tsiame</w:t>
      </w:r>
      <w:proofErr w:type="spellEnd"/>
      <w:r w:rsidRPr="00635917">
        <w:rPr>
          <w:rFonts w:ascii="Arial" w:hAnsi="Arial" w:cs="Arial"/>
          <w:i/>
          <w:iCs/>
          <w:lang w:val="en-GB"/>
        </w:rPr>
        <w:t xml:space="preserve"> Residents Association (Pty) Ltd and Others v Maluti-A-</w:t>
      </w:r>
      <w:proofErr w:type="spellStart"/>
      <w:r w:rsidRPr="00635917">
        <w:rPr>
          <w:rFonts w:ascii="Arial" w:hAnsi="Arial" w:cs="Arial"/>
          <w:i/>
          <w:iCs/>
          <w:lang w:val="en-GB"/>
        </w:rPr>
        <w:t>Phofung</w:t>
      </w:r>
      <w:proofErr w:type="spellEnd"/>
      <w:r w:rsidRPr="00635917">
        <w:rPr>
          <w:rFonts w:ascii="Arial" w:hAnsi="Arial" w:cs="Arial"/>
          <w:i/>
          <w:iCs/>
          <w:lang w:val="en-GB"/>
        </w:rPr>
        <w:t xml:space="preserve"> Local Municipality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38.</w:t>
      </w:r>
    </w:p>
  </w:footnote>
  <w:footnote w:id="461">
    <w:p w14:paraId="1E592A4B" w14:textId="495AD752" w:rsidR="00761FF4" w:rsidRPr="00635917" w:rsidRDefault="00761FF4" w:rsidP="00E63179">
      <w:pPr>
        <w:pStyle w:val="FootnoteText"/>
        <w:ind w:left="357" w:hanging="357"/>
        <w:jc w:val="both"/>
      </w:pPr>
      <w:r w:rsidRPr="00635917">
        <w:rPr>
          <w:rStyle w:val="FootnoteReference"/>
        </w:rPr>
        <w:footnoteRef/>
      </w:r>
      <w:r w:rsidRPr="00635917">
        <w:t xml:space="preserve"> </w:t>
      </w:r>
      <w:r w:rsidR="00021D98">
        <w:tab/>
      </w:r>
      <w:r w:rsidRPr="00635917">
        <w:rPr>
          <w:rFonts w:ascii="Arial" w:hAnsi="Arial" w:cs="Arial"/>
          <w:i/>
          <w:iCs/>
          <w:lang w:val="en-GB"/>
        </w:rPr>
        <w:t xml:space="preserve">Van </w:t>
      </w:r>
      <w:proofErr w:type="spellStart"/>
      <w:r w:rsidRPr="00635917">
        <w:rPr>
          <w:rFonts w:ascii="Arial" w:hAnsi="Arial" w:cs="Arial"/>
          <w:i/>
          <w:iCs/>
          <w:lang w:val="en-GB"/>
        </w:rPr>
        <w:t>Kerken</w:t>
      </w:r>
      <w:proofErr w:type="spellEnd"/>
      <w:r w:rsidRPr="00635917">
        <w:rPr>
          <w:rFonts w:ascii="Arial" w:hAnsi="Arial" w:cs="Arial"/>
          <w:i/>
          <w:iCs/>
          <w:lang w:val="en-GB"/>
        </w:rPr>
        <w:t xml:space="preserve"> v Eskom Holdings SOC Limited and Another</w:t>
      </w:r>
      <w:r w:rsidRPr="00635917">
        <w:rPr>
          <w:rFonts w:ascii="Arial" w:hAnsi="Arial" w:cs="Arial"/>
          <w:lang w:val="en-GB"/>
        </w:rPr>
        <w:t xml:space="preserve"> 2024 ZAECMKHC 98</w:t>
      </w:r>
      <w:r w:rsidR="00DC67AC">
        <w:rPr>
          <w:rFonts w:ascii="Arial" w:hAnsi="Arial" w:cs="Arial"/>
          <w:lang w:val="en-GB"/>
        </w:rPr>
        <w:t xml:space="preserve">:par. </w:t>
      </w:r>
      <w:r w:rsidRPr="00635917">
        <w:rPr>
          <w:rFonts w:ascii="Arial" w:hAnsi="Arial" w:cs="Arial"/>
          <w:lang w:val="en-GB"/>
        </w:rPr>
        <w:t>19</w:t>
      </w:r>
      <w:r w:rsidR="00FE1804">
        <w:rPr>
          <w:rFonts w:ascii="Arial" w:hAnsi="Arial" w:cs="Arial"/>
          <w:lang w:val="en-GB"/>
        </w:rPr>
        <w:t xml:space="preserve"> and</w:t>
      </w:r>
      <w:r w:rsidRPr="00635917">
        <w:rPr>
          <w:rFonts w:ascii="Arial" w:hAnsi="Arial" w:cs="Arial"/>
          <w:lang w:val="en-GB"/>
        </w:rPr>
        <w:t xml:space="preserve"> 26.</w:t>
      </w:r>
    </w:p>
  </w:footnote>
  <w:footnote w:id="462">
    <w:p w14:paraId="5DB83CB0" w14:textId="75B4F6E2" w:rsidR="00761FF4" w:rsidRPr="00635917" w:rsidRDefault="00761FF4" w:rsidP="00E63179">
      <w:pPr>
        <w:pStyle w:val="FootnoteText"/>
        <w:ind w:left="357" w:hanging="357"/>
        <w:jc w:val="both"/>
      </w:pPr>
      <w:r w:rsidRPr="00635917">
        <w:rPr>
          <w:rStyle w:val="FootnoteReference"/>
        </w:rPr>
        <w:footnoteRef/>
      </w:r>
      <w:r w:rsidRPr="00635917">
        <w:t xml:space="preserve"> </w:t>
      </w:r>
      <w:r w:rsidR="00021D98">
        <w:tab/>
      </w:r>
      <w:r w:rsidRPr="00635917">
        <w:rPr>
          <w:rFonts w:ascii="Arial" w:hAnsi="Arial" w:cs="Arial"/>
          <w:i/>
          <w:iCs/>
          <w:lang w:val="en-GB"/>
        </w:rPr>
        <w:t xml:space="preserve">Van </w:t>
      </w:r>
      <w:proofErr w:type="spellStart"/>
      <w:r w:rsidRPr="00635917">
        <w:rPr>
          <w:rFonts w:ascii="Arial" w:hAnsi="Arial" w:cs="Arial"/>
          <w:i/>
          <w:iCs/>
          <w:lang w:val="en-GB"/>
        </w:rPr>
        <w:t>Kerken</w:t>
      </w:r>
      <w:proofErr w:type="spellEnd"/>
      <w:r w:rsidRPr="00635917">
        <w:rPr>
          <w:rFonts w:ascii="Arial" w:hAnsi="Arial" w:cs="Arial"/>
          <w:i/>
          <w:iCs/>
          <w:lang w:val="en-GB"/>
        </w:rPr>
        <w:t xml:space="preserve"> v Eskom Holdings SOC Limited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13.</w:t>
      </w:r>
    </w:p>
  </w:footnote>
  <w:footnote w:id="463">
    <w:p w14:paraId="7FFD03AD" w14:textId="74F38248" w:rsidR="00761FF4" w:rsidRPr="00635917" w:rsidRDefault="00761FF4" w:rsidP="00E63179">
      <w:pPr>
        <w:pStyle w:val="FootnoteText"/>
        <w:ind w:left="357" w:hanging="357"/>
        <w:jc w:val="both"/>
      </w:pPr>
      <w:r w:rsidRPr="00635917">
        <w:rPr>
          <w:rStyle w:val="FootnoteReference"/>
        </w:rPr>
        <w:footnoteRef/>
      </w:r>
      <w:r w:rsidRPr="00635917">
        <w:t xml:space="preserve"> </w:t>
      </w:r>
      <w:r w:rsidR="00021D98">
        <w:tab/>
      </w:r>
      <w:r w:rsidRPr="00635917">
        <w:rPr>
          <w:rFonts w:ascii="Arial" w:hAnsi="Arial" w:cs="Arial"/>
          <w:i/>
          <w:iCs/>
          <w:lang w:val="en-GB"/>
        </w:rPr>
        <w:t xml:space="preserve">Van </w:t>
      </w:r>
      <w:proofErr w:type="spellStart"/>
      <w:r w:rsidRPr="00635917">
        <w:rPr>
          <w:rFonts w:ascii="Arial" w:hAnsi="Arial" w:cs="Arial"/>
          <w:i/>
          <w:iCs/>
          <w:lang w:val="en-GB"/>
        </w:rPr>
        <w:t>Kerken</w:t>
      </w:r>
      <w:proofErr w:type="spellEnd"/>
      <w:r w:rsidRPr="00635917">
        <w:rPr>
          <w:rFonts w:ascii="Arial" w:hAnsi="Arial" w:cs="Arial"/>
          <w:i/>
          <w:iCs/>
          <w:lang w:val="en-GB"/>
        </w:rPr>
        <w:t xml:space="preserve"> v Eskom Holdings SOC Limited and </w:t>
      </w:r>
      <w:proofErr w:type="spellStart"/>
      <w:r w:rsidRPr="00635917">
        <w:rPr>
          <w:rFonts w:ascii="Arial" w:hAnsi="Arial" w:cs="Arial"/>
          <w:i/>
          <w:iCs/>
          <w:lang w:val="en-GB"/>
        </w:rPr>
        <w:t>Another</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17.</w:t>
      </w:r>
    </w:p>
  </w:footnote>
  <w:footnote w:id="464">
    <w:p w14:paraId="2882F896" w14:textId="6B73F356" w:rsidR="00761FF4" w:rsidRPr="00635917" w:rsidRDefault="00761FF4" w:rsidP="00E63179">
      <w:pPr>
        <w:pStyle w:val="FootnoteText"/>
        <w:ind w:left="357" w:hanging="357"/>
        <w:jc w:val="both"/>
      </w:pPr>
      <w:r w:rsidRPr="00635917">
        <w:rPr>
          <w:rStyle w:val="FootnoteReference"/>
        </w:rPr>
        <w:footnoteRef/>
      </w:r>
      <w:r w:rsidRPr="00635917">
        <w:t xml:space="preserve"> </w:t>
      </w:r>
      <w:r w:rsidR="00021D98">
        <w:tab/>
      </w:r>
      <w:r w:rsidRPr="00635917">
        <w:rPr>
          <w:rFonts w:ascii="Arial" w:hAnsi="Arial" w:cs="Arial"/>
          <w:i/>
          <w:iCs/>
          <w:lang w:val="en-GB"/>
        </w:rPr>
        <w:t xml:space="preserve">Van </w:t>
      </w:r>
      <w:proofErr w:type="spellStart"/>
      <w:r w:rsidRPr="00635917">
        <w:rPr>
          <w:rFonts w:ascii="Arial" w:hAnsi="Arial" w:cs="Arial"/>
          <w:i/>
          <w:iCs/>
          <w:lang w:val="en-GB"/>
        </w:rPr>
        <w:t>Kerken</w:t>
      </w:r>
      <w:proofErr w:type="spellEnd"/>
      <w:r w:rsidRPr="00635917">
        <w:rPr>
          <w:rFonts w:ascii="Arial" w:hAnsi="Arial" w:cs="Arial"/>
          <w:i/>
          <w:iCs/>
          <w:lang w:val="en-GB"/>
        </w:rPr>
        <w:t xml:space="preserve"> v Eskom Holdings SOC Limited and </w:t>
      </w:r>
      <w:proofErr w:type="spellStart"/>
      <w:r w:rsidRPr="00635917">
        <w:rPr>
          <w:rFonts w:ascii="Arial" w:hAnsi="Arial" w:cs="Arial"/>
          <w:i/>
          <w:iCs/>
          <w:lang w:val="en-GB"/>
        </w:rPr>
        <w:t>Another</w:t>
      </w:r>
      <w:r w:rsidR="002C16BB">
        <w:rPr>
          <w:rFonts w:ascii="Arial" w:hAnsi="Arial" w:cs="Arial"/>
          <w:i/>
          <w:iCs/>
          <w:lang w:val="en-GB"/>
        </w:rPr>
        <w:t>:</w:t>
      </w:r>
      <w:r w:rsidR="00DC67AC">
        <w:rPr>
          <w:rFonts w:ascii="Arial" w:hAnsi="Arial" w:cs="Arial"/>
          <w:lang w:val="en-GB"/>
        </w:rPr>
        <w:t>par</w:t>
      </w:r>
      <w:proofErr w:type="spellEnd"/>
      <w:r w:rsidR="00DC67AC">
        <w:rPr>
          <w:rFonts w:ascii="Arial" w:hAnsi="Arial" w:cs="Arial"/>
          <w:lang w:val="en-GB"/>
        </w:rPr>
        <w:t xml:space="preserve">. </w:t>
      </w:r>
      <w:r w:rsidRPr="00635917">
        <w:rPr>
          <w:rFonts w:ascii="Arial" w:hAnsi="Arial" w:cs="Arial"/>
          <w:lang w:val="en-GB"/>
        </w:rPr>
        <w:t>20.</w:t>
      </w:r>
    </w:p>
  </w:footnote>
  <w:footnote w:id="465">
    <w:p w14:paraId="1C2103D7" w14:textId="3D0334AA" w:rsidR="00A14E4D" w:rsidRPr="00AE5467" w:rsidRDefault="00A14E4D" w:rsidP="002901FA">
      <w:pPr>
        <w:pStyle w:val="FootnoteText"/>
        <w:ind w:left="357" w:hanging="357"/>
        <w:jc w:val="both"/>
        <w:rPr>
          <w:rFonts w:ascii="Arial" w:hAnsi="Arial" w:cs="Arial"/>
        </w:rPr>
      </w:pPr>
      <w:r w:rsidRPr="00DB0ADF">
        <w:rPr>
          <w:rStyle w:val="FootnoteReference"/>
          <w:rFonts w:ascii="Arial" w:hAnsi="Arial" w:cs="Arial"/>
        </w:rPr>
        <w:footnoteRef/>
      </w:r>
      <w:r w:rsidRPr="00DB0ADF">
        <w:rPr>
          <w:rFonts w:ascii="Arial" w:hAnsi="Arial" w:cs="Arial"/>
        </w:rPr>
        <w:t xml:space="preserve"> </w:t>
      </w:r>
      <w:r w:rsidR="002901FA">
        <w:rPr>
          <w:rFonts w:ascii="Arial" w:hAnsi="Arial" w:cs="Arial"/>
        </w:rPr>
        <w:tab/>
      </w:r>
      <w:proofErr w:type="spellStart"/>
      <w:r w:rsidRPr="00DB0ADF">
        <w:rPr>
          <w:rFonts w:ascii="Arial" w:hAnsi="Arial" w:cs="Arial"/>
        </w:rPr>
        <w:t>Boggenpoel</w:t>
      </w:r>
      <w:proofErr w:type="spellEnd"/>
      <w:r w:rsidRPr="00DB0ADF">
        <w:rPr>
          <w:rFonts w:ascii="Arial" w:hAnsi="Arial" w:cs="Arial"/>
        </w:rPr>
        <w:t xml:space="preserve"> 2017: 132; Muller </w:t>
      </w:r>
      <w:r w:rsidRPr="00DB0ADF">
        <w:rPr>
          <w:rFonts w:ascii="Arial" w:hAnsi="Arial" w:cs="Arial"/>
          <w:i/>
          <w:iCs/>
        </w:rPr>
        <w:t>et al</w:t>
      </w:r>
      <w:r w:rsidRPr="00DB0ADF">
        <w:rPr>
          <w:rFonts w:ascii="Arial" w:hAnsi="Arial" w:cs="Arial"/>
        </w:rPr>
        <w:t xml:space="preserve"> 2019</w:t>
      </w:r>
      <w:r>
        <w:rPr>
          <w:rFonts w:ascii="Arial" w:hAnsi="Arial" w:cs="Arial"/>
        </w:rPr>
        <w:t>a</w:t>
      </w:r>
      <w:r w:rsidRPr="00DB0ADF">
        <w:rPr>
          <w:rFonts w:ascii="Arial" w:hAnsi="Arial" w:cs="Arial"/>
        </w:rPr>
        <w:t xml:space="preserve">: 208-209. This was recently highlighted by the High Court in </w:t>
      </w:r>
      <w:r w:rsidRPr="00DB0ADF">
        <w:rPr>
          <w:rFonts w:ascii="Arial" w:hAnsi="Arial" w:cs="Arial"/>
          <w:i/>
          <w:iCs/>
          <w:lang w:val="en-GB"/>
        </w:rPr>
        <w:t xml:space="preserve">JC Impellers Proprietary Limited v Erven 1[...] </w:t>
      </w:r>
      <w:proofErr w:type="spellStart"/>
      <w:r w:rsidRPr="00DB0ADF">
        <w:rPr>
          <w:rFonts w:ascii="Arial" w:hAnsi="Arial" w:cs="Arial"/>
          <w:i/>
          <w:iCs/>
          <w:lang w:val="en-GB"/>
        </w:rPr>
        <w:t>Wadeville</w:t>
      </w:r>
      <w:proofErr w:type="spellEnd"/>
      <w:r w:rsidRPr="00DB0ADF">
        <w:rPr>
          <w:rFonts w:ascii="Arial" w:hAnsi="Arial" w:cs="Arial"/>
          <w:i/>
          <w:iCs/>
          <w:lang w:val="en-GB"/>
        </w:rPr>
        <w:t xml:space="preserve"> Proprietary Limited</w:t>
      </w:r>
      <w:r w:rsidRPr="00DB0ADF">
        <w:rPr>
          <w:rFonts w:ascii="Arial" w:hAnsi="Arial" w:cs="Arial"/>
          <w:lang w:val="en-GB"/>
        </w:rPr>
        <w:t xml:space="preserve">, in that the spoliation remedy is not available </w:t>
      </w:r>
      <w:r w:rsidRPr="00AE5467">
        <w:rPr>
          <w:rFonts w:ascii="Arial" w:hAnsi="Arial" w:cs="Arial"/>
          <w:lang w:val="en-GB"/>
        </w:rPr>
        <w:t>where property is destroyed because the underlying assumption behind the granting of the spoliation order is that property must exi</w:t>
      </w:r>
      <w:r w:rsidR="000D0665">
        <w:rPr>
          <w:rFonts w:ascii="Arial" w:hAnsi="Arial" w:cs="Arial"/>
          <w:lang w:val="en-GB"/>
        </w:rPr>
        <w:t>st</w:t>
      </w:r>
      <w:r w:rsidRPr="00AE5467">
        <w:rPr>
          <w:rFonts w:ascii="Arial" w:hAnsi="Arial" w:cs="Arial"/>
          <w:lang w:val="en-GB"/>
        </w:rPr>
        <w:t xml:space="preserve"> and be competent for restoration (</w:t>
      </w:r>
      <w:r w:rsidRPr="00AE5467">
        <w:rPr>
          <w:rFonts w:ascii="Arial" w:hAnsi="Arial" w:cs="Arial"/>
          <w:i/>
          <w:iCs/>
          <w:lang w:val="en-GB"/>
        </w:rPr>
        <w:t xml:space="preserve">JC Impellers Proprietary Limited v Erven 1[...] </w:t>
      </w:r>
      <w:proofErr w:type="spellStart"/>
      <w:r w:rsidRPr="00AE5467">
        <w:rPr>
          <w:rFonts w:ascii="Arial" w:hAnsi="Arial" w:cs="Arial"/>
          <w:i/>
          <w:iCs/>
          <w:lang w:val="en-GB"/>
        </w:rPr>
        <w:t>Wadeville</w:t>
      </w:r>
      <w:proofErr w:type="spellEnd"/>
      <w:r w:rsidRPr="00AE5467">
        <w:rPr>
          <w:rFonts w:ascii="Arial" w:hAnsi="Arial" w:cs="Arial"/>
          <w:i/>
          <w:iCs/>
          <w:lang w:val="en-GB"/>
        </w:rPr>
        <w:t xml:space="preserve"> Proprietary Limited</w:t>
      </w:r>
      <w:r w:rsidRPr="00AE5467">
        <w:rPr>
          <w:rFonts w:ascii="Arial" w:hAnsi="Arial" w:cs="Arial"/>
          <w:lang w:val="en-GB"/>
        </w:rPr>
        <w:t xml:space="preserve"> [2024] ZAGPJHC 1025: par 12).</w:t>
      </w:r>
    </w:p>
  </w:footnote>
  <w:footnote w:id="466">
    <w:p w14:paraId="399D092D" w14:textId="31AD9B3D" w:rsidR="00A14E4D" w:rsidRPr="00AE5467" w:rsidRDefault="00A14E4D" w:rsidP="002901FA">
      <w:pPr>
        <w:pStyle w:val="FootnoteText"/>
        <w:ind w:left="357" w:hanging="357"/>
        <w:jc w:val="both"/>
        <w:rPr>
          <w:rFonts w:ascii="Arial" w:hAnsi="Arial" w:cs="Arial"/>
        </w:rPr>
      </w:pPr>
      <w:r w:rsidRPr="00AE5467">
        <w:rPr>
          <w:rStyle w:val="FootnoteReference"/>
          <w:rFonts w:ascii="Arial" w:hAnsi="Arial" w:cs="Arial"/>
        </w:rPr>
        <w:footnoteRef/>
      </w:r>
      <w:r w:rsidRPr="00AE5467">
        <w:rPr>
          <w:rFonts w:ascii="Arial" w:hAnsi="Arial" w:cs="Arial"/>
        </w:rPr>
        <w:t xml:space="preserve"> </w:t>
      </w:r>
      <w:r w:rsidR="00AA30E0">
        <w:rPr>
          <w:rFonts w:ascii="Arial" w:hAnsi="Arial" w:cs="Arial"/>
        </w:rPr>
        <w:tab/>
      </w:r>
      <w:proofErr w:type="spellStart"/>
      <w:r w:rsidRPr="00AE5467">
        <w:rPr>
          <w:rFonts w:ascii="Arial" w:hAnsi="Arial" w:cs="Arial"/>
        </w:rPr>
        <w:t>Boggenpoel</w:t>
      </w:r>
      <w:proofErr w:type="spellEnd"/>
      <w:r w:rsidRPr="00AE5467">
        <w:rPr>
          <w:rFonts w:ascii="Arial" w:hAnsi="Arial" w:cs="Arial"/>
        </w:rPr>
        <w:t xml:space="preserve"> 2017: 136-137.</w:t>
      </w:r>
    </w:p>
  </w:footnote>
  <w:footnote w:id="467">
    <w:p w14:paraId="5875D46B" w14:textId="6C2946DA" w:rsidR="00A14E4D" w:rsidRDefault="00A14E4D" w:rsidP="002901FA">
      <w:pPr>
        <w:pStyle w:val="FootnoteText"/>
        <w:ind w:left="357" w:hanging="357"/>
        <w:jc w:val="both"/>
      </w:pPr>
      <w:r w:rsidRPr="00AE5467">
        <w:rPr>
          <w:rStyle w:val="FootnoteReference"/>
          <w:rFonts w:ascii="Arial" w:hAnsi="Arial" w:cs="Arial"/>
        </w:rPr>
        <w:footnoteRef/>
      </w:r>
      <w:r w:rsidRPr="00AE5467">
        <w:rPr>
          <w:rFonts w:ascii="Arial" w:hAnsi="Arial" w:cs="Arial"/>
        </w:rPr>
        <w:t xml:space="preserve"> </w:t>
      </w:r>
      <w:r w:rsidR="00AA30E0">
        <w:rPr>
          <w:rFonts w:ascii="Arial" w:hAnsi="Arial" w:cs="Arial"/>
        </w:rPr>
        <w:tab/>
      </w:r>
      <w:r w:rsidRPr="00AE5467">
        <w:rPr>
          <w:rFonts w:ascii="Arial" w:hAnsi="Arial" w:cs="Arial"/>
          <w:i/>
          <w:iCs/>
        </w:rPr>
        <w:t>Monteiro and Another v Diedricks</w:t>
      </w:r>
      <w:r w:rsidRPr="00AE5467">
        <w:rPr>
          <w:rFonts w:ascii="Arial" w:hAnsi="Arial" w:cs="Arial"/>
        </w:rPr>
        <w:t xml:space="preserve"> [2021] 2 All SA 405 (SCA): par 18.</w:t>
      </w:r>
    </w:p>
  </w:footnote>
  <w:footnote w:id="468">
    <w:p w14:paraId="3B62FB3E" w14:textId="069BBC4E" w:rsidR="00A14E4D" w:rsidRPr="00E336C2" w:rsidRDefault="00A14E4D" w:rsidP="00E336C2">
      <w:pPr>
        <w:pStyle w:val="FootnoteText"/>
        <w:ind w:left="357" w:hanging="357"/>
        <w:rPr>
          <w:rFonts w:ascii="Arial" w:hAnsi="Arial" w:cs="Arial"/>
        </w:rPr>
      </w:pPr>
      <w:r w:rsidRPr="00E336C2">
        <w:rPr>
          <w:rStyle w:val="FootnoteReference"/>
          <w:rFonts w:ascii="Arial" w:hAnsi="Arial" w:cs="Arial"/>
        </w:rPr>
        <w:footnoteRef/>
      </w:r>
      <w:r w:rsidR="00AA30E0" w:rsidRPr="00E336C2">
        <w:rPr>
          <w:rFonts w:ascii="Arial" w:hAnsi="Arial" w:cs="Arial"/>
          <w:lang w:val="en-US"/>
        </w:rPr>
        <w:t xml:space="preserve"> </w:t>
      </w:r>
      <w:r w:rsidR="00E336C2">
        <w:rPr>
          <w:rFonts w:ascii="Arial" w:hAnsi="Arial" w:cs="Arial"/>
          <w:lang w:val="en-US"/>
        </w:rPr>
        <w:tab/>
      </w:r>
      <w:r w:rsidRPr="00E336C2">
        <w:rPr>
          <w:rFonts w:ascii="Arial" w:hAnsi="Arial" w:cs="Arial"/>
          <w:lang w:val="en-US"/>
        </w:rPr>
        <w:t>Refer to par. 3.3.</w:t>
      </w:r>
    </w:p>
  </w:footnote>
  <w:footnote w:id="469">
    <w:p w14:paraId="5F4D425A" w14:textId="542BAE2F" w:rsidR="00A14E4D" w:rsidRPr="00E336C2" w:rsidRDefault="00A14E4D" w:rsidP="00E336C2">
      <w:pPr>
        <w:pStyle w:val="FootnoteText"/>
        <w:ind w:left="357" w:hanging="357"/>
        <w:rPr>
          <w:rFonts w:ascii="Arial" w:hAnsi="Arial" w:cs="Arial"/>
        </w:rPr>
      </w:pPr>
      <w:r w:rsidRPr="00E336C2">
        <w:rPr>
          <w:rStyle w:val="FootnoteReference"/>
          <w:rFonts w:ascii="Arial" w:hAnsi="Arial" w:cs="Arial"/>
        </w:rPr>
        <w:footnoteRef/>
      </w:r>
      <w:r w:rsidRPr="00E336C2">
        <w:rPr>
          <w:rFonts w:ascii="Arial" w:hAnsi="Arial" w:cs="Arial"/>
        </w:rPr>
        <w:t xml:space="preserve"> </w:t>
      </w:r>
      <w:r w:rsidR="00E336C2">
        <w:rPr>
          <w:rFonts w:ascii="Arial" w:hAnsi="Arial" w:cs="Arial"/>
        </w:rPr>
        <w:tab/>
      </w:r>
      <w:r w:rsidRPr="00E336C2">
        <w:rPr>
          <w:rFonts w:ascii="Arial" w:hAnsi="Arial" w:cs="Arial"/>
          <w:lang w:val="en-US"/>
        </w:rPr>
        <w:t>Refer to par. 3.3.1.1.</w:t>
      </w:r>
    </w:p>
  </w:footnote>
  <w:footnote w:id="470">
    <w:p w14:paraId="31F765D1" w14:textId="32482872" w:rsidR="00A14E4D" w:rsidRPr="00E336C2" w:rsidRDefault="00A14E4D" w:rsidP="00E336C2">
      <w:pPr>
        <w:pStyle w:val="FootnoteText"/>
        <w:ind w:left="357" w:hanging="357"/>
        <w:rPr>
          <w:rFonts w:ascii="Arial" w:hAnsi="Arial" w:cs="Arial"/>
        </w:rPr>
      </w:pPr>
      <w:r w:rsidRPr="00E336C2">
        <w:rPr>
          <w:rStyle w:val="FootnoteReference"/>
          <w:rFonts w:ascii="Arial" w:hAnsi="Arial" w:cs="Arial"/>
        </w:rPr>
        <w:footnoteRef/>
      </w:r>
      <w:r w:rsidRPr="00E336C2">
        <w:rPr>
          <w:rFonts w:ascii="Arial" w:hAnsi="Arial" w:cs="Arial"/>
        </w:rPr>
        <w:t xml:space="preserve"> </w:t>
      </w:r>
      <w:r w:rsidR="00E336C2">
        <w:rPr>
          <w:rFonts w:ascii="Arial" w:hAnsi="Arial" w:cs="Arial"/>
        </w:rPr>
        <w:tab/>
      </w:r>
      <w:r w:rsidRPr="00E336C2">
        <w:rPr>
          <w:rFonts w:ascii="Arial" w:hAnsi="Arial" w:cs="Arial"/>
          <w:lang w:val="en-US"/>
        </w:rPr>
        <w:t>Refer to par. 3.3.1.1.</w:t>
      </w:r>
    </w:p>
  </w:footnote>
  <w:footnote w:id="471">
    <w:p w14:paraId="7B09C4B6" w14:textId="66C0A615" w:rsidR="00A14E4D" w:rsidRPr="00E336C2" w:rsidRDefault="00A14E4D" w:rsidP="00E336C2">
      <w:pPr>
        <w:pStyle w:val="FootnoteText"/>
        <w:ind w:left="357" w:hanging="357"/>
        <w:rPr>
          <w:rFonts w:ascii="Arial" w:hAnsi="Arial" w:cs="Arial"/>
        </w:rPr>
      </w:pPr>
      <w:r w:rsidRPr="00E336C2">
        <w:rPr>
          <w:rStyle w:val="FootnoteReference"/>
          <w:rFonts w:ascii="Arial" w:hAnsi="Arial" w:cs="Arial"/>
        </w:rPr>
        <w:footnoteRef/>
      </w:r>
      <w:r w:rsidRPr="00E336C2">
        <w:rPr>
          <w:rFonts w:ascii="Arial" w:hAnsi="Arial" w:cs="Arial"/>
        </w:rPr>
        <w:t xml:space="preserve"> </w:t>
      </w:r>
      <w:r w:rsidR="00E336C2">
        <w:rPr>
          <w:rFonts w:ascii="Arial" w:hAnsi="Arial" w:cs="Arial"/>
        </w:rPr>
        <w:tab/>
      </w:r>
      <w:r w:rsidRPr="00E336C2">
        <w:rPr>
          <w:rFonts w:ascii="Arial" w:hAnsi="Arial" w:cs="Arial"/>
          <w:lang w:val="en-US"/>
        </w:rPr>
        <w:t>Refer to par. 3.3.1.2</w:t>
      </w:r>
      <w:r w:rsidRPr="00E336C2">
        <w:rPr>
          <w:rFonts w:ascii="Arial" w:hAnsi="Arial" w:cs="Arial"/>
        </w:rPr>
        <w:t>.</w:t>
      </w:r>
    </w:p>
  </w:footnote>
  <w:footnote w:id="472">
    <w:p w14:paraId="40CC6664" w14:textId="4A7B3DE8" w:rsidR="00A14E4D" w:rsidRPr="00E336C2" w:rsidRDefault="00A14E4D" w:rsidP="00E336C2">
      <w:pPr>
        <w:pStyle w:val="FootnoteText"/>
        <w:ind w:left="357" w:hanging="357"/>
        <w:rPr>
          <w:rFonts w:ascii="Arial" w:hAnsi="Arial" w:cs="Arial"/>
        </w:rPr>
      </w:pPr>
      <w:r w:rsidRPr="00E336C2">
        <w:rPr>
          <w:rStyle w:val="FootnoteReference"/>
          <w:rFonts w:ascii="Arial" w:hAnsi="Arial" w:cs="Arial"/>
        </w:rPr>
        <w:footnoteRef/>
      </w:r>
      <w:r w:rsidRPr="00E336C2">
        <w:rPr>
          <w:rFonts w:ascii="Arial" w:hAnsi="Arial" w:cs="Arial"/>
        </w:rPr>
        <w:t xml:space="preserve"> </w:t>
      </w:r>
      <w:r w:rsidR="00E336C2">
        <w:rPr>
          <w:rFonts w:ascii="Arial" w:hAnsi="Arial" w:cs="Arial"/>
        </w:rPr>
        <w:tab/>
      </w:r>
      <w:r w:rsidRPr="00E336C2">
        <w:rPr>
          <w:rFonts w:ascii="Arial" w:hAnsi="Arial" w:cs="Arial"/>
          <w:lang w:val="en-US"/>
        </w:rPr>
        <w:t>Refer to par. 4.3.1 &amp; 4.3.2.</w:t>
      </w:r>
    </w:p>
  </w:footnote>
  <w:footnote w:id="473">
    <w:p w14:paraId="7C80CFEF" w14:textId="1CD17428" w:rsidR="00A14E4D" w:rsidRDefault="00A14E4D" w:rsidP="00E336C2">
      <w:pPr>
        <w:pStyle w:val="FootnoteText"/>
        <w:ind w:left="357" w:hanging="357"/>
      </w:pPr>
      <w:r>
        <w:rPr>
          <w:rStyle w:val="FootnoteReference"/>
        </w:rPr>
        <w:footnoteRef/>
      </w:r>
      <w:r>
        <w:rPr>
          <w:lang w:val="en-US"/>
        </w:rPr>
        <w:t xml:space="preserve"> </w:t>
      </w:r>
      <w:r w:rsidR="00E336C2">
        <w:rPr>
          <w:lang w:val="en-US"/>
        </w:rPr>
        <w:tab/>
      </w:r>
      <w:r w:rsidRPr="00B2429C">
        <w:rPr>
          <w:lang w:val="en-US"/>
        </w:rPr>
        <w:t xml:space="preserve">Refer to par. </w:t>
      </w:r>
      <w:r>
        <w:rPr>
          <w:lang w:val="en-US"/>
        </w:rPr>
        <w:t>4.3.2.</w:t>
      </w:r>
    </w:p>
  </w:footnote>
  <w:footnote w:id="474">
    <w:p w14:paraId="78489A0F" w14:textId="38698FB1" w:rsidR="00956628" w:rsidRPr="009E6526" w:rsidRDefault="00956628" w:rsidP="00956628">
      <w:pPr>
        <w:pStyle w:val="FootnoteText"/>
        <w:rPr>
          <w:rFonts w:ascii="Arial" w:hAnsi="Arial" w:cs="Arial"/>
        </w:rPr>
      </w:pPr>
      <w:r>
        <w:rPr>
          <w:rStyle w:val="FootnoteReference"/>
        </w:rPr>
        <w:footnoteRef/>
      </w:r>
      <w:r>
        <w:t xml:space="preserve">   </w:t>
      </w:r>
      <w:r w:rsidRPr="00635917">
        <w:rPr>
          <w:rFonts w:ascii="Arial" w:hAnsi="Arial" w:cs="Arial"/>
          <w:i/>
          <w:iCs/>
          <w:lang w:val="en-GB"/>
        </w:rPr>
        <w:t xml:space="preserve">Eskom Holdings SOC Limited v </w:t>
      </w:r>
      <w:proofErr w:type="spellStart"/>
      <w:r w:rsidRPr="00635917">
        <w:rPr>
          <w:rFonts w:ascii="Arial" w:hAnsi="Arial" w:cs="Arial"/>
          <w:i/>
          <w:iCs/>
          <w:lang w:val="en-GB"/>
        </w:rPr>
        <w:t>Masinda</w:t>
      </w:r>
      <w:r>
        <w:rPr>
          <w:rFonts w:ascii="Arial" w:hAnsi="Arial" w:cs="Arial"/>
          <w:lang w:val="en-GB"/>
        </w:rPr>
        <w:t>:par</w:t>
      </w:r>
      <w:proofErr w:type="spellEnd"/>
      <w:r>
        <w:rPr>
          <w:rFonts w:ascii="Arial" w:hAnsi="Arial" w:cs="Arial"/>
          <w:lang w:val="en-GB"/>
        </w:rPr>
        <w:t xml:space="preserve"> </w:t>
      </w:r>
      <w:r w:rsidRPr="009E6526">
        <w:rPr>
          <w:rFonts w:ascii="Arial" w:hAnsi="Arial" w:cs="Arial"/>
        </w:rPr>
        <w:t>24.</w:t>
      </w:r>
    </w:p>
  </w:footnote>
  <w:footnote w:id="475">
    <w:p w14:paraId="144B3793" w14:textId="5AFE561C" w:rsidR="00956628" w:rsidRDefault="00956628" w:rsidP="00956628">
      <w:pPr>
        <w:pStyle w:val="FootnoteText"/>
      </w:pPr>
      <w:r>
        <w:rPr>
          <w:rStyle w:val="FootnoteReference"/>
        </w:rPr>
        <w:footnoteRef/>
      </w:r>
      <w:r>
        <w:t xml:space="preserve">   </w:t>
      </w:r>
      <w:r w:rsidRPr="009E6526">
        <w:rPr>
          <w:rFonts w:ascii="Arial" w:hAnsi="Arial" w:cs="Arial"/>
        </w:rPr>
        <w:t>Marais 2019a: 95-96.</w:t>
      </w:r>
    </w:p>
  </w:footnote>
  <w:footnote w:id="476">
    <w:p w14:paraId="162173F1" w14:textId="52AAFB7D" w:rsidR="00EB5F0C" w:rsidRDefault="00956628" w:rsidP="0053136E">
      <w:pPr>
        <w:spacing w:after="0" w:line="240" w:lineRule="auto"/>
        <w:ind w:left="357" w:hanging="357"/>
        <w:jc w:val="both"/>
        <w:rPr>
          <w:rFonts w:ascii="Arial" w:hAnsi="Arial" w:cs="Arial"/>
          <w:sz w:val="24"/>
          <w:szCs w:val="24"/>
        </w:rPr>
      </w:pPr>
      <w:r>
        <w:rPr>
          <w:rStyle w:val="FootnoteReference"/>
        </w:rPr>
        <w:footnoteRef/>
      </w:r>
      <w:r>
        <w:t xml:space="preserve">  </w:t>
      </w:r>
      <w:r w:rsidRPr="009E6526">
        <w:rPr>
          <w:rFonts w:ascii="Arial" w:hAnsi="Arial" w:cs="Arial"/>
          <w:sz w:val="20"/>
          <w:szCs w:val="20"/>
        </w:rPr>
        <w:t>This is in consonant with the views expressed by Marais who also argues that courts should only determine whether the applicant performed acts associated with the right on land</w:t>
      </w:r>
      <w:r>
        <w:rPr>
          <w:rFonts w:ascii="Arial" w:hAnsi="Arial" w:cs="Arial"/>
          <w:sz w:val="20"/>
          <w:szCs w:val="20"/>
        </w:rPr>
        <w:t xml:space="preserve"> (</w:t>
      </w:r>
      <w:r w:rsidRPr="005A0B22">
        <w:rPr>
          <w:rFonts w:ascii="Arial" w:hAnsi="Arial" w:cs="Arial"/>
          <w:sz w:val="20"/>
          <w:szCs w:val="20"/>
          <w:lang w:val="en-GB"/>
        </w:rPr>
        <w:t>Marais 2021b:225</w:t>
      </w:r>
      <w:r>
        <w:rPr>
          <w:rFonts w:ascii="Arial" w:hAnsi="Arial" w:cs="Arial"/>
          <w:sz w:val="20"/>
          <w:szCs w:val="20"/>
          <w:lang w:val="en-GB"/>
        </w:rPr>
        <w:t>)</w:t>
      </w:r>
      <w:r w:rsidRPr="009E6526">
        <w:rPr>
          <w:rFonts w:ascii="Arial" w:hAnsi="Arial" w:cs="Arial"/>
          <w:sz w:val="20"/>
          <w:szCs w:val="20"/>
        </w:rPr>
        <w:t>.</w:t>
      </w:r>
      <w:r>
        <w:rPr>
          <w:rFonts w:ascii="Arial" w:hAnsi="Arial" w:cs="Arial"/>
          <w:sz w:val="20"/>
          <w:szCs w:val="20"/>
        </w:rPr>
        <w:t xml:space="preserve"> </w:t>
      </w:r>
      <w:r w:rsidRPr="00C32EAF">
        <w:rPr>
          <w:rFonts w:ascii="Arial" w:hAnsi="Arial" w:cs="Arial"/>
          <w:sz w:val="20"/>
          <w:szCs w:val="20"/>
        </w:rPr>
        <w:t xml:space="preserve">It must be emphasised that this argument is not for the protection of ownership of the premises but for the </w:t>
      </w:r>
      <w:r w:rsidRPr="00C32EAF">
        <w:rPr>
          <w:rFonts w:ascii="Arial" w:hAnsi="Arial" w:cs="Arial"/>
          <w:i/>
          <w:iCs/>
          <w:sz w:val="20"/>
          <w:szCs w:val="20"/>
        </w:rPr>
        <w:t>quasi</w:t>
      </w:r>
      <w:r w:rsidRPr="00C32EAF">
        <w:rPr>
          <w:rFonts w:ascii="Arial" w:hAnsi="Arial" w:cs="Arial"/>
          <w:sz w:val="20"/>
          <w:szCs w:val="20"/>
        </w:rPr>
        <w:t xml:space="preserve">-possession </w:t>
      </w:r>
      <w:r w:rsidRPr="00EB5F0C">
        <w:rPr>
          <w:rFonts w:ascii="Arial" w:hAnsi="Arial" w:cs="Arial"/>
          <w:sz w:val="20"/>
          <w:szCs w:val="20"/>
        </w:rPr>
        <w:t>of the electricity and water supply to the premises.</w:t>
      </w:r>
    </w:p>
    <w:p w14:paraId="249FBB46" w14:textId="1C69A42B" w:rsidR="00956628" w:rsidRPr="009E6526" w:rsidRDefault="00956628" w:rsidP="00956628">
      <w:pPr>
        <w:spacing w:line="240" w:lineRule="auto"/>
        <w:ind w:left="357" w:hanging="357"/>
        <w:jc w:val="both"/>
        <w:rPr>
          <w:rFonts w:ascii="Arial" w:hAnsi="Arial" w:cs="Arial"/>
          <w:sz w:val="24"/>
          <w:szCs w:val="24"/>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311B7"/>
    <w:multiLevelType w:val="hybridMultilevel"/>
    <w:tmpl w:val="226E5944"/>
    <w:lvl w:ilvl="0" w:tplc="4E102A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AE1503"/>
    <w:multiLevelType w:val="hybridMultilevel"/>
    <w:tmpl w:val="B2DE6518"/>
    <w:lvl w:ilvl="0" w:tplc="B1A6B572">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12922684"/>
    <w:multiLevelType w:val="hybridMultilevel"/>
    <w:tmpl w:val="A0AEC69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1C826C84"/>
    <w:multiLevelType w:val="multilevel"/>
    <w:tmpl w:val="BAA01D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5AD140DC"/>
    <w:multiLevelType w:val="multilevel"/>
    <w:tmpl w:val="1C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5" w15:restartNumberingAfterBreak="0">
    <w:nsid w:val="602F388B"/>
    <w:multiLevelType w:val="hybridMultilevel"/>
    <w:tmpl w:val="1AB297CC"/>
    <w:lvl w:ilvl="0" w:tplc="9EC42B4A">
      <w:start w:val="1"/>
      <w:numFmt w:val="decimal"/>
      <w:lvlText w:val="%1."/>
      <w:lvlJc w:val="left"/>
      <w:pPr>
        <w:ind w:left="720" w:hanging="360"/>
      </w:pPr>
      <w:rPr>
        <w:b/>
      </w:rPr>
    </w:lvl>
    <w:lvl w:ilvl="1" w:tplc="E6A26594">
      <w:start w:val="1"/>
      <w:numFmt w:val="lowerLetter"/>
      <w:lvlText w:val="%2."/>
      <w:lvlJc w:val="left"/>
      <w:pPr>
        <w:ind w:left="1440" w:hanging="360"/>
      </w:pPr>
      <w:rPr>
        <w:b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2187173"/>
    <w:multiLevelType w:val="hybridMultilevel"/>
    <w:tmpl w:val="63CAC9A0"/>
    <w:lvl w:ilvl="0" w:tplc="A7FCE072">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7" w15:restartNumberingAfterBreak="0">
    <w:nsid w:val="7BCD2ACA"/>
    <w:multiLevelType w:val="multilevel"/>
    <w:tmpl w:val="A7A84446"/>
    <w:lvl w:ilvl="0">
      <w:start w:val="3"/>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num w:numId="1" w16cid:durableId="1630473032">
    <w:abstractNumId w:val="7"/>
  </w:num>
  <w:num w:numId="2" w16cid:durableId="1858347763">
    <w:abstractNumId w:val="2"/>
  </w:num>
  <w:num w:numId="3" w16cid:durableId="18308270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97154757">
    <w:abstractNumId w:val="6"/>
  </w:num>
  <w:num w:numId="5" w16cid:durableId="1989702689">
    <w:abstractNumId w:val="1"/>
  </w:num>
  <w:num w:numId="6" w16cid:durableId="67849118">
    <w:abstractNumId w:val="3"/>
  </w:num>
  <w:num w:numId="7" w16cid:durableId="1454787677">
    <w:abstractNumId w:val="4"/>
  </w:num>
  <w:num w:numId="8" w16cid:durableId="9679763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U2MDc0NDcxNDW2NDNV0lEKTi0uzszPAymwrAUADXznHywAAAA="/>
  </w:docVars>
  <w:rsids>
    <w:rsidRoot w:val="00C72528"/>
    <w:rsid w:val="00000590"/>
    <w:rsid w:val="00000B5B"/>
    <w:rsid w:val="00001021"/>
    <w:rsid w:val="00001EB3"/>
    <w:rsid w:val="00003C21"/>
    <w:rsid w:val="00004957"/>
    <w:rsid w:val="00007485"/>
    <w:rsid w:val="0000767F"/>
    <w:rsid w:val="00010013"/>
    <w:rsid w:val="00013475"/>
    <w:rsid w:val="000144FA"/>
    <w:rsid w:val="00016DFF"/>
    <w:rsid w:val="0002048B"/>
    <w:rsid w:val="00020992"/>
    <w:rsid w:val="00021BD2"/>
    <w:rsid w:val="00021D98"/>
    <w:rsid w:val="00021E33"/>
    <w:rsid w:val="00023A50"/>
    <w:rsid w:val="0002585A"/>
    <w:rsid w:val="0002685B"/>
    <w:rsid w:val="00027100"/>
    <w:rsid w:val="00027F81"/>
    <w:rsid w:val="0003163F"/>
    <w:rsid w:val="00032C51"/>
    <w:rsid w:val="0003527C"/>
    <w:rsid w:val="0003664A"/>
    <w:rsid w:val="00041294"/>
    <w:rsid w:val="000426EC"/>
    <w:rsid w:val="0004385A"/>
    <w:rsid w:val="000439F4"/>
    <w:rsid w:val="00045793"/>
    <w:rsid w:val="0004579E"/>
    <w:rsid w:val="00050E1A"/>
    <w:rsid w:val="00055CD0"/>
    <w:rsid w:val="0005689B"/>
    <w:rsid w:val="00057716"/>
    <w:rsid w:val="000602EB"/>
    <w:rsid w:val="00071D50"/>
    <w:rsid w:val="0007248B"/>
    <w:rsid w:val="00073BE0"/>
    <w:rsid w:val="000746AC"/>
    <w:rsid w:val="00074F84"/>
    <w:rsid w:val="00075192"/>
    <w:rsid w:val="00076A15"/>
    <w:rsid w:val="000805A1"/>
    <w:rsid w:val="00084100"/>
    <w:rsid w:val="00091686"/>
    <w:rsid w:val="0009326E"/>
    <w:rsid w:val="0009495C"/>
    <w:rsid w:val="00094AB7"/>
    <w:rsid w:val="00094CF3"/>
    <w:rsid w:val="00094D35"/>
    <w:rsid w:val="00094EE5"/>
    <w:rsid w:val="00096906"/>
    <w:rsid w:val="00096FB8"/>
    <w:rsid w:val="00097629"/>
    <w:rsid w:val="00097D06"/>
    <w:rsid w:val="000A045A"/>
    <w:rsid w:val="000A3926"/>
    <w:rsid w:val="000A478C"/>
    <w:rsid w:val="000A5554"/>
    <w:rsid w:val="000A5C36"/>
    <w:rsid w:val="000A5C6D"/>
    <w:rsid w:val="000B0379"/>
    <w:rsid w:val="000B1A0B"/>
    <w:rsid w:val="000B2742"/>
    <w:rsid w:val="000B4BBF"/>
    <w:rsid w:val="000B75BE"/>
    <w:rsid w:val="000B7846"/>
    <w:rsid w:val="000C03BB"/>
    <w:rsid w:val="000C188C"/>
    <w:rsid w:val="000C534D"/>
    <w:rsid w:val="000C74A6"/>
    <w:rsid w:val="000D00E2"/>
    <w:rsid w:val="000D0665"/>
    <w:rsid w:val="000D0F99"/>
    <w:rsid w:val="000D3CCF"/>
    <w:rsid w:val="000D4157"/>
    <w:rsid w:val="000D41AC"/>
    <w:rsid w:val="000D4F37"/>
    <w:rsid w:val="000E01A9"/>
    <w:rsid w:val="000E139E"/>
    <w:rsid w:val="000E4A7A"/>
    <w:rsid w:val="000E549E"/>
    <w:rsid w:val="000E5BEB"/>
    <w:rsid w:val="000F00E8"/>
    <w:rsid w:val="000F1243"/>
    <w:rsid w:val="000F3F63"/>
    <w:rsid w:val="000F6085"/>
    <w:rsid w:val="001020B7"/>
    <w:rsid w:val="00102561"/>
    <w:rsid w:val="001050DA"/>
    <w:rsid w:val="001059E4"/>
    <w:rsid w:val="00105C7C"/>
    <w:rsid w:val="0010718C"/>
    <w:rsid w:val="001071D3"/>
    <w:rsid w:val="00107696"/>
    <w:rsid w:val="00107ED2"/>
    <w:rsid w:val="00110CA6"/>
    <w:rsid w:val="00110E29"/>
    <w:rsid w:val="001112B5"/>
    <w:rsid w:val="00112C09"/>
    <w:rsid w:val="00112EC8"/>
    <w:rsid w:val="00113A92"/>
    <w:rsid w:val="00114BC7"/>
    <w:rsid w:val="001208DF"/>
    <w:rsid w:val="00120A27"/>
    <w:rsid w:val="00120ACA"/>
    <w:rsid w:val="00122CC4"/>
    <w:rsid w:val="001232AD"/>
    <w:rsid w:val="001246B1"/>
    <w:rsid w:val="00127B9B"/>
    <w:rsid w:val="0013012D"/>
    <w:rsid w:val="00131DCB"/>
    <w:rsid w:val="00131DE2"/>
    <w:rsid w:val="0013249E"/>
    <w:rsid w:val="001324BD"/>
    <w:rsid w:val="00134C91"/>
    <w:rsid w:val="001353FF"/>
    <w:rsid w:val="001357AA"/>
    <w:rsid w:val="00140880"/>
    <w:rsid w:val="00141179"/>
    <w:rsid w:val="001445C5"/>
    <w:rsid w:val="00144700"/>
    <w:rsid w:val="00145CC5"/>
    <w:rsid w:val="001467A6"/>
    <w:rsid w:val="00146B52"/>
    <w:rsid w:val="00146CFB"/>
    <w:rsid w:val="001509A4"/>
    <w:rsid w:val="001517D9"/>
    <w:rsid w:val="00153202"/>
    <w:rsid w:val="00157B88"/>
    <w:rsid w:val="001605D1"/>
    <w:rsid w:val="0016096E"/>
    <w:rsid w:val="001618C4"/>
    <w:rsid w:val="001622B3"/>
    <w:rsid w:val="00165E66"/>
    <w:rsid w:val="00166D8E"/>
    <w:rsid w:val="00167233"/>
    <w:rsid w:val="001709F5"/>
    <w:rsid w:val="001740B4"/>
    <w:rsid w:val="001747AF"/>
    <w:rsid w:val="001747E6"/>
    <w:rsid w:val="00177B37"/>
    <w:rsid w:val="001842E8"/>
    <w:rsid w:val="00186BFE"/>
    <w:rsid w:val="001904E0"/>
    <w:rsid w:val="00190BAE"/>
    <w:rsid w:val="0019438B"/>
    <w:rsid w:val="00195501"/>
    <w:rsid w:val="00195E01"/>
    <w:rsid w:val="00197EF0"/>
    <w:rsid w:val="001A1D21"/>
    <w:rsid w:val="001A38C5"/>
    <w:rsid w:val="001A5596"/>
    <w:rsid w:val="001A66A5"/>
    <w:rsid w:val="001A75D2"/>
    <w:rsid w:val="001A781B"/>
    <w:rsid w:val="001B07E4"/>
    <w:rsid w:val="001B4277"/>
    <w:rsid w:val="001B671B"/>
    <w:rsid w:val="001B7B1C"/>
    <w:rsid w:val="001C4146"/>
    <w:rsid w:val="001C4ADB"/>
    <w:rsid w:val="001C69CD"/>
    <w:rsid w:val="001D0523"/>
    <w:rsid w:val="001D25F9"/>
    <w:rsid w:val="001D3E75"/>
    <w:rsid w:val="001D3F14"/>
    <w:rsid w:val="001D4093"/>
    <w:rsid w:val="001D436A"/>
    <w:rsid w:val="001D60D8"/>
    <w:rsid w:val="001D6588"/>
    <w:rsid w:val="001E2995"/>
    <w:rsid w:val="001E45FE"/>
    <w:rsid w:val="001E5C7D"/>
    <w:rsid w:val="001E5E12"/>
    <w:rsid w:val="001E62D0"/>
    <w:rsid w:val="001F0A9D"/>
    <w:rsid w:val="001F0E8A"/>
    <w:rsid w:val="001F391B"/>
    <w:rsid w:val="001F3EBC"/>
    <w:rsid w:val="001F4343"/>
    <w:rsid w:val="002028FD"/>
    <w:rsid w:val="0020331C"/>
    <w:rsid w:val="00205797"/>
    <w:rsid w:val="00206B32"/>
    <w:rsid w:val="00210435"/>
    <w:rsid w:val="00210BA3"/>
    <w:rsid w:val="002113A7"/>
    <w:rsid w:val="00211EAE"/>
    <w:rsid w:val="00213F73"/>
    <w:rsid w:val="002146B4"/>
    <w:rsid w:val="0021502C"/>
    <w:rsid w:val="00215449"/>
    <w:rsid w:val="00221350"/>
    <w:rsid w:val="0022291C"/>
    <w:rsid w:val="00222950"/>
    <w:rsid w:val="00223C81"/>
    <w:rsid w:val="00226D1C"/>
    <w:rsid w:val="00226F8A"/>
    <w:rsid w:val="0022783A"/>
    <w:rsid w:val="002307C6"/>
    <w:rsid w:val="00231155"/>
    <w:rsid w:val="002312BB"/>
    <w:rsid w:val="002324E3"/>
    <w:rsid w:val="00233487"/>
    <w:rsid w:val="0023350E"/>
    <w:rsid w:val="00233662"/>
    <w:rsid w:val="00237803"/>
    <w:rsid w:val="0023794E"/>
    <w:rsid w:val="0024046F"/>
    <w:rsid w:val="00242739"/>
    <w:rsid w:val="0024409E"/>
    <w:rsid w:val="002445E1"/>
    <w:rsid w:val="00244F83"/>
    <w:rsid w:val="00245E5B"/>
    <w:rsid w:val="00250648"/>
    <w:rsid w:val="002524C3"/>
    <w:rsid w:val="0025286A"/>
    <w:rsid w:val="00253B03"/>
    <w:rsid w:val="00255733"/>
    <w:rsid w:val="002567B3"/>
    <w:rsid w:val="00257769"/>
    <w:rsid w:val="00261E89"/>
    <w:rsid w:val="0026258A"/>
    <w:rsid w:val="00262BC6"/>
    <w:rsid w:val="00263D04"/>
    <w:rsid w:val="00266286"/>
    <w:rsid w:val="002668E2"/>
    <w:rsid w:val="00273080"/>
    <w:rsid w:val="00273A89"/>
    <w:rsid w:val="002751FD"/>
    <w:rsid w:val="00280529"/>
    <w:rsid w:val="00280892"/>
    <w:rsid w:val="00283C0F"/>
    <w:rsid w:val="00285192"/>
    <w:rsid w:val="00285E63"/>
    <w:rsid w:val="00286812"/>
    <w:rsid w:val="002901FA"/>
    <w:rsid w:val="0029060C"/>
    <w:rsid w:val="00294A4B"/>
    <w:rsid w:val="002957C1"/>
    <w:rsid w:val="00295C8A"/>
    <w:rsid w:val="00296369"/>
    <w:rsid w:val="00296F02"/>
    <w:rsid w:val="002A0990"/>
    <w:rsid w:val="002B2023"/>
    <w:rsid w:val="002B3522"/>
    <w:rsid w:val="002B3FA7"/>
    <w:rsid w:val="002B4735"/>
    <w:rsid w:val="002B47F4"/>
    <w:rsid w:val="002B48B3"/>
    <w:rsid w:val="002B4C5A"/>
    <w:rsid w:val="002B55DB"/>
    <w:rsid w:val="002B6054"/>
    <w:rsid w:val="002B70CA"/>
    <w:rsid w:val="002C16BB"/>
    <w:rsid w:val="002C32F1"/>
    <w:rsid w:val="002C3D55"/>
    <w:rsid w:val="002C4EE2"/>
    <w:rsid w:val="002C7CA4"/>
    <w:rsid w:val="002D0801"/>
    <w:rsid w:val="002D143E"/>
    <w:rsid w:val="002D2203"/>
    <w:rsid w:val="002D3363"/>
    <w:rsid w:val="002D49B8"/>
    <w:rsid w:val="002D56C0"/>
    <w:rsid w:val="002D7715"/>
    <w:rsid w:val="002E67BC"/>
    <w:rsid w:val="002E696F"/>
    <w:rsid w:val="002E6BFE"/>
    <w:rsid w:val="002E785E"/>
    <w:rsid w:val="002F2D69"/>
    <w:rsid w:val="002F6CD7"/>
    <w:rsid w:val="002F6E01"/>
    <w:rsid w:val="002F765C"/>
    <w:rsid w:val="003007D5"/>
    <w:rsid w:val="00301765"/>
    <w:rsid w:val="0030187B"/>
    <w:rsid w:val="00301FB2"/>
    <w:rsid w:val="0030435C"/>
    <w:rsid w:val="003069FD"/>
    <w:rsid w:val="00306FC7"/>
    <w:rsid w:val="0030749D"/>
    <w:rsid w:val="003105ED"/>
    <w:rsid w:val="00310DD4"/>
    <w:rsid w:val="003116EC"/>
    <w:rsid w:val="00311C45"/>
    <w:rsid w:val="003124E6"/>
    <w:rsid w:val="00313EF7"/>
    <w:rsid w:val="00315489"/>
    <w:rsid w:val="0031548B"/>
    <w:rsid w:val="00322A8A"/>
    <w:rsid w:val="00323BE9"/>
    <w:rsid w:val="003243AF"/>
    <w:rsid w:val="00324FB4"/>
    <w:rsid w:val="003311A5"/>
    <w:rsid w:val="00331BF2"/>
    <w:rsid w:val="00331C13"/>
    <w:rsid w:val="003338A4"/>
    <w:rsid w:val="00337691"/>
    <w:rsid w:val="00340AD7"/>
    <w:rsid w:val="003423E8"/>
    <w:rsid w:val="003441EC"/>
    <w:rsid w:val="00344F62"/>
    <w:rsid w:val="00350B5A"/>
    <w:rsid w:val="003520AF"/>
    <w:rsid w:val="0035451E"/>
    <w:rsid w:val="00355E80"/>
    <w:rsid w:val="00356251"/>
    <w:rsid w:val="00356509"/>
    <w:rsid w:val="00357C05"/>
    <w:rsid w:val="00357EE0"/>
    <w:rsid w:val="00357F47"/>
    <w:rsid w:val="00360399"/>
    <w:rsid w:val="003645EB"/>
    <w:rsid w:val="00364AB2"/>
    <w:rsid w:val="00366B3E"/>
    <w:rsid w:val="00370A26"/>
    <w:rsid w:val="00370B6D"/>
    <w:rsid w:val="00371B07"/>
    <w:rsid w:val="00371B43"/>
    <w:rsid w:val="003737D7"/>
    <w:rsid w:val="003753CF"/>
    <w:rsid w:val="0037565B"/>
    <w:rsid w:val="0037669D"/>
    <w:rsid w:val="00380646"/>
    <w:rsid w:val="00380991"/>
    <w:rsid w:val="00380C67"/>
    <w:rsid w:val="0038184B"/>
    <w:rsid w:val="00381C8E"/>
    <w:rsid w:val="00382B8F"/>
    <w:rsid w:val="003834CA"/>
    <w:rsid w:val="003835DF"/>
    <w:rsid w:val="00383F23"/>
    <w:rsid w:val="00396FF9"/>
    <w:rsid w:val="0039755A"/>
    <w:rsid w:val="003A1D85"/>
    <w:rsid w:val="003A265F"/>
    <w:rsid w:val="003A3461"/>
    <w:rsid w:val="003A61E2"/>
    <w:rsid w:val="003B01FC"/>
    <w:rsid w:val="003B31A4"/>
    <w:rsid w:val="003B4684"/>
    <w:rsid w:val="003B5643"/>
    <w:rsid w:val="003B6B2B"/>
    <w:rsid w:val="003C064F"/>
    <w:rsid w:val="003C293A"/>
    <w:rsid w:val="003C4D10"/>
    <w:rsid w:val="003C5EBC"/>
    <w:rsid w:val="003C63E8"/>
    <w:rsid w:val="003C707B"/>
    <w:rsid w:val="003C79F9"/>
    <w:rsid w:val="003D0DEC"/>
    <w:rsid w:val="003D31F5"/>
    <w:rsid w:val="003D40C9"/>
    <w:rsid w:val="003D4721"/>
    <w:rsid w:val="003D54D0"/>
    <w:rsid w:val="003D54DB"/>
    <w:rsid w:val="003E18E4"/>
    <w:rsid w:val="003E4961"/>
    <w:rsid w:val="003E506D"/>
    <w:rsid w:val="003E68C6"/>
    <w:rsid w:val="003F08A3"/>
    <w:rsid w:val="003F0C0A"/>
    <w:rsid w:val="003F29AB"/>
    <w:rsid w:val="003F2A81"/>
    <w:rsid w:val="003F2B12"/>
    <w:rsid w:val="003F3E5A"/>
    <w:rsid w:val="003F4192"/>
    <w:rsid w:val="003F6A9A"/>
    <w:rsid w:val="003F753D"/>
    <w:rsid w:val="00401FE5"/>
    <w:rsid w:val="00402127"/>
    <w:rsid w:val="00402AC9"/>
    <w:rsid w:val="00403BA9"/>
    <w:rsid w:val="004042A0"/>
    <w:rsid w:val="00404374"/>
    <w:rsid w:val="00406680"/>
    <w:rsid w:val="004078A5"/>
    <w:rsid w:val="00410F10"/>
    <w:rsid w:val="00412714"/>
    <w:rsid w:val="0041297E"/>
    <w:rsid w:val="00417581"/>
    <w:rsid w:val="004207BF"/>
    <w:rsid w:val="0042162C"/>
    <w:rsid w:val="004245AF"/>
    <w:rsid w:val="004256F7"/>
    <w:rsid w:val="00434774"/>
    <w:rsid w:val="004356A9"/>
    <w:rsid w:val="00436E73"/>
    <w:rsid w:val="00444CEF"/>
    <w:rsid w:val="00444F05"/>
    <w:rsid w:val="0044710E"/>
    <w:rsid w:val="00450CD8"/>
    <w:rsid w:val="00451115"/>
    <w:rsid w:val="00452D67"/>
    <w:rsid w:val="00454B48"/>
    <w:rsid w:val="004552FB"/>
    <w:rsid w:val="00455611"/>
    <w:rsid w:val="004603A6"/>
    <w:rsid w:val="0046112B"/>
    <w:rsid w:val="00461A65"/>
    <w:rsid w:val="00461DDF"/>
    <w:rsid w:val="004632D8"/>
    <w:rsid w:val="004644D1"/>
    <w:rsid w:val="00464875"/>
    <w:rsid w:val="004648AC"/>
    <w:rsid w:val="004651A2"/>
    <w:rsid w:val="0046527B"/>
    <w:rsid w:val="0046565E"/>
    <w:rsid w:val="0046576F"/>
    <w:rsid w:val="00466457"/>
    <w:rsid w:val="00470106"/>
    <w:rsid w:val="0047011B"/>
    <w:rsid w:val="004714BB"/>
    <w:rsid w:val="00472E45"/>
    <w:rsid w:val="00473F74"/>
    <w:rsid w:val="00475560"/>
    <w:rsid w:val="00476FFC"/>
    <w:rsid w:val="0047711D"/>
    <w:rsid w:val="00480A2E"/>
    <w:rsid w:val="00480DED"/>
    <w:rsid w:val="00481018"/>
    <w:rsid w:val="00486725"/>
    <w:rsid w:val="00486C80"/>
    <w:rsid w:val="00491229"/>
    <w:rsid w:val="00492ED7"/>
    <w:rsid w:val="00493E10"/>
    <w:rsid w:val="004940B2"/>
    <w:rsid w:val="004953E0"/>
    <w:rsid w:val="004A311D"/>
    <w:rsid w:val="004A487A"/>
    <w:rsid w:val="004A7556"/>
    <w:rsid w:val="004A7962"/>
    <w:rsid w:val="004B01B5"/>
    <w:rsid w:val="004B0A34"/>
    <w:rsid w:val="004B0F7D"/>
    <w:rsid w:val="004B3892"/>
    <w:rsid w:val="004B7023"/>
    <w:rsid w:val="004B75F8"/>
    <w:rsid w:val="004B7BC9"/>
    <w:rsid w:val="004C088F"/>
    <w:rsid w:val="004C0C49"/>
    <w:rsid w:val="004C18D0"/>
    <w:rsid w:val="004C1C56"/>
    <w:rsid w:val="004C2166"/>
    <w:rsid w:val="004C2E26"/>
    <w:rsid w:val="004C624C"/>
    <w:rsid w:val="004D18D6"/>
    <w:rsid w:val="004D24BC"/>
    <w:rsid w:val="004D39A7"/>
    <w:rsid w:val="004D3D1D"/>
    <w:rsid w:val="004E1CB5"/>
    <w:rsid w:val="004E1D15"/>
    <w:rsid w:val="004E28A6"/>
    <w:rsid w:val="004E2948"/>
    <w:rsid w:val="004E2E92"/>
    <w:rsid w:val="004E3EF9"/>
    <w:rsid w:val="004E40F7"/>
    <w:rsid w:val="004E54E3"/>
    <w:rsid w:val="004E6C18"/>
    <w:rsid w:val="004E7179"/>
    <w:rsid w:val="004E7228"/>
    <w:rsid w:val="004E74D7"/>
    <w:rsid w:val="004F552D"/>
    <w:rsid w:val="004F6A58"/>
    <w:rsid w:val="004F78A1"/>
    <w:rsid w:val="004F78C1"/>
    <w:rsid w:val="00501543"/>
    <w:rsid w:val="00501C5A"/>
    <w:rsid w:val="00501ED2"/>
    <w:rsid w:val="005057F3"/>
    <w:rsid w:val="00506021"/>
    <w:rsid w:val="00510FD0"/>
    <w:rsid w:val="005160A2"/>
    <w:rsid w:val="00516369"/>
    <w:rsid w:val="0051651F"/>
    <w:rsid w:val="0051791B"/>
    <w:rsid w:val="005212CE"/>
    <w:rsid w:val="00521373"/>
    <w:rsid w:val="00522F36"/>
    <w:rsid w:val="00526AC4"/>
    <w:rsid w:val="005300D7"/>
    <w:rsid w:val="00530C1F"/>
    <w:rsid w:val="0053136E"/>
    <w:rsid w:val="005333B8"/>
    <w:rsid w:val="005343E1"/>
    <w:rsid w:val="00536529"/>
    <w:rsid w:val="005371A6"/>
    <w:rsid w:val="0053778F"/>
    <w:rsid w:val="00537C5B"/>
    <w:rsid w:val="00537D4B"/>
    <w:rsid w:val="00541B81"/>
    <w:rsid w:val="0054203A"/>
    <w:rsid w:val="005420CD"/>
    <w:rsid w:val="00542237"/>
    <w:rsid w:val="005424B5"/>
    <w:rsid w:val="00542B82"/>
    <w:rsid w:val="005438F6"/>
    <w:rsid w:val="00543FA4"/>
    <w:rsid w:val="005441A9"/>
    <w:rsid w:val="005449A0"/>
    <w:rsid w:val="0054681D"/>
    <w:rsid w:val="00547427"/>
    <w:rsid w:val="00547A9F"/>
    <w:rsid w:val="00552A30"/>
    <w:rsid w:val="00552A7F"/>
    <w:rsid w:val="00554F76"/>
    <w:rsid w:val="005568E3"/>
    <w:rsid w:val="005622AF"/>
    <w:rsid w:val="00564A72"/>
    <w:rsid w:val="00566733"/>
    <w:rsid w:val="0057016B"/>
    <w:rsid w:val="00570884"/>
    <w:rsid w:val="00571BD5"/>
    <w:rsid w:val="00572FF5"/>
    <w:rsid w:val="005731B3"/>
    <w:rsid w:val="00574AA8"/>
    <w:rsid w:val="00575BF2"/>
    <w:rsid w:val="00576E1F"/>
    <w:rsid w:val="00577E1F"/>
    <w:rsid w:val="00580A51"/>
    <w:rsid w:val="00581DB3"/>
    <w:rsid w:val="00582023"/>
    <w:rsid w:val="0058228F"/>
    <w:rsid w:val="005923E1"/>
    <w:rsid w:val="00595CE3"/>
    <w:rsid w:val="005967EC"/>
    <w:rsid w:val="005969E1"/>
    <w:rsid w:val="005A0B22"/>
    <w:rsid w:val="005A1D86"/>
    <w:rsid w:val="005A3078"/>
    <w:rsid w:val="005A3E5F"/>
    <w:rsid w:val="005A5E83"/>
    <w:rsid w:val="005A7FCC"/>
    <w:rsid w:val="005B043F"/>
    <w:rsid w:val="005B0918"/>
    <w:rsid w:val="005B12D7"/>
    <w:rsid w:val="005B1CF9"/>
    <w:rsid w:val="005B49CF"/>
    <w:rsid w:val="005B5F58"/>
    <w:rsid w:val="005C6A98"/>
    <w:rsid w:val="005D5A50"/>
    <w:rsid w:val="005D5C90"/>
    <w:rsid w:val="005D6470"/>
    <w:rsid w:val="005D79B8"/>
    <w:rsid w:val="005E415C"/>
    <w:rsid w:val="005E4FC9"/>
    <w:rsid w:val="005E5924"/>
    <w:rsid w:val="005E62C9"/>
    <w:rsid w:val="005F0ADE"/>
    <w:rsid w:val="005F0C9F"/>
    <w:rsid w:val="005F261F"/>
    <w:rsid w:val="005F2905"/>
    <w:rsid w:val="005F36A1"/>
    <w:rsid w:val="005F3A97"/>
    <w:rsid w:val="005F41F3"/>
    <w:rsid w:val="005F51C5"/>
    <w:rsid w:val="005F5D79"/>
    <w:rsid w:val="005F6A2E"/>
    <w:rsid w:val="005F74C4"/>
    <w:rsid w:val="006004E4"/>
    <w:rsid w:val="0060104B"/>
    <w:rsid w:val="00601A2C"/>
    <w:rsid w:val="00602303"/>
    <w:rsid w:val="00603971"/>
    <w:rsid w:val="0060439C"/>
    <w:rsid w:val="006052B5"/>
    <w:rsid w:val="006110AF"/>
    <w:rsid w:val="00611F52"/>
    <w:rsid w:val="0061305F"/>
    <w:rsid w:val="00617B5F"/>
    <w:rsid w:val="006211A6"/>
    <w:rsid w:val="00621C7C"/>
    <w:rsid w:val="00621F38"/>
    <w:rsid w:val="00622339"/>
    <w:rsid w:val="0062234D"/>
    <w:rsid w:val="00622CDE"/>
    <w:rsid w:val="00623393"/>
    <w:rsid w:val="00626724"/>
    <w:rsid w:val="006273AB"/>
    <w:rsid w:val="006279B3"/>
    <w:rsid w:val="00630CF7"/>
    <w:rsid w:val="006312C7"/>
    <w:rsid w:val="0063235F"/>
    <w:rsid w:val="00635917"/>
    <w:rsid w:val="00635B9B"/>
    <w:rsid w:val="00636BD1"/>
    <w:rsid w:val="00642823"/>
    <w:rsid w:val="00644015"/>
    <w:rsid w:val="006441CD"/>
    <w:rsid w:val="00646020"/>
    <w:rsid w:val="00647832"/>
    <w:rsid w:val="00647B8D"/>
    <w:rsid w:val="0065232C"/>
    <w:rsid w:val="0065700D"/>
    <w:rsid w:val="00657610"/>
    <w:rsid w:val="00662003"/>
    <w:rsid w:val="00663285"/>
    <w:rsid w:val="00663365"/>
    <w:rsid w:val="006638F5"/>
    <w:rsid w:val="00666D7A"/>
    <w:rsid w:val="0066764F"/>
    <w:rsid w:val="00670080"/>
    <w:rsid w:val="0067052C"/>
    <w:rsid w:val="00672EE7"/>
    <w:rsid w:val="00674449"/>
    <w:rsid w:val="006774FB"/>
    <w:rsid w:val="00677588"/>
    <w:rsid w:val="00680384"/>
    <w:rsid w:val="0068258C"/>
    <w:rsid w:val="006841BE"/>
    <w:rsid w:val="00685419"/>
    <w:rsid w:val="00685BEB"/>
    <w:rsid w:val="00686116"/>
    <w:rsid w:val="006863BD"/>
    <w:rsid w:val="00686E54"/>
    <w:rsid w:val="00687C37"/>
    <w:rsid w:val="006907E6"/>
    <w:rsid w:val="006920AA"/>
    <w:rsid w:val="00692C67"/>
    <w:rsid w:val="00693B87"/>
    <w:rsid w:val="006970A6"/>
    <w:rsid w:val="006A19C7"/>
    <w:rsid w:val="006A1BFF"/>
    <w:rsid w:val="006A2CD1"/>
    <w:rsid w:val="006A5764"/>
    <w:rsid w:val="006A64AD"/>
    <w:rsid w:val="006B0248"/>
    <w:rsid w:val="006B08D3"/>
    <w:rsid w:val="006B0C24"/>
    <w:rsid w:val="006B30C9"/>
    <w:rsid w:val="006B6D85"/>
    <w:rsid w:val="006B6EEC"/>
    <w:rsid w:val="006B721B"/>
    <w:rsid w:val="006B7C24"/>
    <w:rsid w:val="006C010F"/>
    <w:rsid w:val="006C0173"/>
    <w:rsid w:val="006C2208"/>
    <w:rsid w:val="006C4932"/>
    <w:rsid w:val="006C5270"/>
    <w:rsid w:val="006C5314"/>
    <w:rsid w:val="006C5AF1"/>
    <w:rsid w:val="006C6DE6"/>
    <w:rsid w:val="006D0015"/>
    <w:rsid w:val="006D1DE9"/>
    <w:rsid w:val="006D35DC"/>
    <w:rsid w:val="006D5582"/>
    <w:rsid w:val="006D68A2"/>
    <w:rsid w:val="006D74A8"/>
    <w:rsid w:val="006E326B"/>
    <w:rsid w:val="006E3D48"/>
    <w:rsid w:val="006E6E99"/>
    <w:rsid w:val="006E72B3"/>
    <w:rsid w:val="006E73CC"/>
    <w:rsid w:val="006F19F5"/>
    <w:rsid w:val="006F1A0D"/>
    <w:rsid w:val="006F21F0"/>
    <w:rsid w:val="006F2D67"/>
    <w:rsid w:val="006F4032"/>
    <w:rsid w:val="006F6B80"/>
    <w:rsid w:val="00700652"/>
    <w:rsid w:val="00702C35"/>
    <w:rsid w:val="007032C1"/>
    <w:rsid w:val="00703E3D"/>
    <w:rsid w:val="00704A0E"/>
    <w:rsid w:val="0070624F"/>
    <w:rsid w:val="00713E68"/>
    <w:rsid w:val="007219DC"/>
    <w:rsid w:val="007219EB"/>
    <w:rsid w:val="00721E0C"/>
    <w:rsid w:val="00730173"/>
    <w:rsid w:val="00730A6C"/>
    <w:rsid w:val="00735F87"/>
    <w:rsid w:val="00737CC5"/>
    <w:rsid w:val="00737F4E"/>
    <w:rsid w:val="0074255B"/>
    <w:rsid w:val="00743A0F"/>
    <w:rsid w:val="00747803"/>
    <w:rsid w:val="00747A32"/>
    <w:rsid w:val="007500A7"/>
    <w:rsid w:val="00750746"/>
    <w:rsid w:val="00750941"/>
    <w:rsid w:val="00755256"/>
    <w:rsid w:val="00756552"/>
    <w:rsid w:val="0075672B"/>
    <w:rsid w:val="00756CD5"/>
    <w:rsid w:val="00757008"/>
    <w:rsid w:val="00761FF4"/>
    <w:rsid w:val="00765DDC"/>
    <w:rsid w:val="00766DF3"/>
    <w:rsid w:val="0077185A"/>
    <w:rsid w:val="007725A2"/>
    <w:rsid w:val="0077409B"/>
    <w:rsid w:val="007761D5"/>
    <w:rsid w:val="0077749D"/>
    <w:rsid w:val="0078293A"/>
    <w:rsid w:val="00783E9F"/>
    <w:rsid w:val="00784B44"/>
    <w:rsid w:val="00784CB0"/>
    <w:rsid w:val="00785C13"/>
    <w:rsid w:val="007865F2"/>
    <w:rsid w:val="007868A5"/>
    <w:rsid w:val="007868E9"/>
    <w:rsid w:val="00786949"/>
    <w:rsid w:val="0079181F"/>
    <w:rsid w:val="0079184B"/>
    <w:rsid w:val="00792141"/>
    <w:rsid w:val="0079380B"/>
    <w:rsid w:val="00793C78"/>
    <w:rsid w:val="007951C5"/>
    <w:rsid w:val="007A02E5"/>
    <w:rsid w:val="007A236A"/>
    <w:rsid w:val="007A3DB3"/>
    <w:rsid w:val="007A3DC3"/>
    <w:rsid w:val="007A7DA6"/>
    <w:rsid w:val="007B2260"/>
    <w:rsid w:val="007B2638"/>
    <w:rsid w:val="007B3530"/>
    <w:rsid w:val="007B3A69"/>
    <w:rsid w:val="007B3D83"/>
    <w:rsid w:val="007B5059"/>
    <w:rsid w:val="007B5901"/>
    <w:rsid w:val="007B7544"/>
    <w:rsid w:val="007C0493"/>
    <w:rsid w:val="007C076B"/>
    <w:rsid w:val="007C0AA0"/>
    <w:rsid w:val="007C0CFB"/>
    <w:rsid w:val="007C141E"/>
    <w:rsid w:val="007C2AA7"/>
    <w:rsid w:val="007C62B4"/>
    <w:rsid w:val="007D04C4"/>
    <w:rsid w:val="007D11B8"/>
    <w:rsid w:val="007D3EE6"/>
    <w:rsid w:val="007D4C36"/>
    <w:rsid w:val="007D5715"/>
    <w:rsid w:val="007D59BD"/>
    <w:rsid w:val="007D5E16"/>
    <w:rsid w:val="007D6354"/>
    <w:rsid w:val="007D65D5"/>
    <w:rsid w:val="007E09AB"/>
    <w:rsid w:val="007E09F2"/>
    <w:rsid w:val="007E1471"/>
    <w:rsid w:val="007E2959"/>
    <w:rsid w:val="007E2B3B"/>
    <w:rsid w:val="007E3182"/>
    <w:rsid w:val="007E5C92"/>
    <w:rsid w:val="007F2920"/>
    <w:rsid w:val="007F3445"/>
    <w:rsid w:val="007F4EC9"/>
    <w:rsid w:val="007F5AEF"/>
    <w:rsid w:val="007F64D9"/>
    <w:rsid w:val="008009E0"/>
    <w:rsid w:val="00810440"/>
    <w:rsid w:val="00814DA1"/>
    <w:rsid w:val="00815394"/>
    <w:rsid w:val="0081725F"/>
    <w:rsid w:val="00817789"/>
    <w:rsid w:val="00822AC9"/>
    <w:rsid w:val="0082654C"/>
    <w:rsid w:val="008276B3"/>
    <w:rsid w:val="0083100D"/>
    <w:rsid w:val="00834DEB"/>
    <w:rsid w:val="00840CE8"/>
    <w:rsid w:val="00840E7E"/>
    <w:rsid w:val="00843195"/>
    <w:rsid w:val="00843712"/>
    <w:rsid w:val="00845FB6"/>
    <w:rsid w:val="0084640A"/>
    <w:rsid w:val="00846725"/>
    <w:rsid w:val="00851B0D"/>
    <w:rsid w:val="00852526"/>
    <w:rsid w:val="00854A18"/>
    <w:rsid w:val="00854F24"/>
    <w:rsid w:val="008552F1"/>
    <w:rsid w:val="008564B1"/>
    <w:rsid w:val="0085650E"/>
    <w:rsid w:val="00857A95"/>
    <w:rsid w:val="00860B8C"/>
    <w:rsid w:val="008619D6"/>
    <w:rsid w:val="00863355"/>
    <w:rsid w:val="00863B07"/>
    <w:rsid w:val="00863CF5"/>
    <w:rsid w:val="00864838"/>
    <w:rsid w:val="00865510"/>
    <w:rsid w:val="00865F9D"/>
    <w:rsid w:val="00866963"/>
    <w:rsid w:val="00870456"/>
    <w:rsid w:val="0087171E"/>
    <w:rsid w:val="008719C3"/>
    <w:rsid w:val="008721BD"/>
    <w:rsid w:val="0087242F"/>
    <w:rsid w:val="008729B7"/>
    <w:rsid w:val="00873581"/>
    <w:rsid w:val="00873B75"/>
    <w:rsid w:val="008747B4"/>
    <w:rsid w:val="00874D10"/>
    <w:rsid w:val="00875AC1"/>
    <w:rsid w:val="00876597"/>
    <w:rsid w:val="008766DD"/>
    <w:rsid w:val="008773E5"/>
    <w:rsid w:val="008832B6"/>
    <w:rsid w:val="00883829"/>
    <w:rsid w:val="008840A5"/>
    <w:rsid w:val="00886AC1"/>
    <w:rsid w:val="0089188C"/>
    <w:rsid w:val="00893FA5"/>
    <w:rsid w:val="0089572D"/>
    <w:rsid w:val="008978AF"/>
    <w:rsid w:val="008A2D10"/>
    <w:rsid w:val="008A2D5C"/>
    <w:rsid w:val="008A5F2E"/>
    <w:rsid w:val="008A64EC"/>
    <w:rsid w:val="008A7803"/>
    <w:rsid w:val="008B10D6"/>
    <w:rsid w:val="008B47F3"/>
    <w:rsid w:val="008B6269"/>
    <w:rsid w:val="008B6E89"/>
    <w:rsid w:val="008B7676"/>
    <w:rsid w:val="008C0076"/>
    <w:rsid w:val="008C2955"/>
    <w:rsid w:val="008C2A73"/>
    <w:rsid w:val="008C3409"/>
    <w:rsid w:val="008C67C7"/>
    <w:rsid w:val="008C6CB3"/>
    <w:rsid w:val="008C7EC2"/>
    <w:rsid w:val="008C7F2E"/>
    <w:rsid w:val="008D0DBF"/>
    <w:rsid w:val="008D3168"/>
    <w:rsid w:val="008D31F1"/>
    <w:rsid w:val="008D4D50"/>
    <w:rsid w:val="008D551A"/>
    <w:rsid w:val="008D627D"/>
    <w:rsid w:val="008D672D"/>
    <w:rsid w:val="008E02E5"/>
    <w:rsid w:val="008E0884"/>
    <w:rsid w:val="008E4C11"/>
    <w:rsid w:val="008E50C9"/>
    <w:rsid w:val="008E6123"/>
    <w:rsid w:val="008E6DEB"/>
    <w:rsid w:val="008E7286"/>
    <w:rsid w:val="008F0471"/>
    <w:rsid w:val="008F059C"/>
    <w:rsid w:val="008F13AE"/>
    <w:rsid w:val="008F1F7F"/>
    <w:rsid w:val="008F25D2"/>
    <w:rsid w:val="008F3E38"/>
    <w:rsid w:val="008F43C4"/>
    <w:rsid w:val="008F4AA6"/>
    <w:rsid w:val="008F4D9D"/>
    <w:rsid w:val="008F6501"/>
    <w:rsid w:val="008F6CAE"/>
    <w:rsid w:val="008F7C52"/>
    <w:rsid w:val="009001A7"/>
    <w:rsid w:val="00901EC7"/>
    <w:rsid w:val="0090339A"/>
    <w:rsid w:val="009037E8"/>
    <w:rsid w:val="009039AF"/>
    <w:rsid w:val="00904DF3"/>
    <w:rsid w:val="009053C6"/>
    <w:rsid w:val="00905793"/>
    <w:rsid w:val="009069ED"/>
    <w:rsid w:val="00906EFE"/>
    <w:rsid w:val="009174C2"/>
    <w:rsid w:val="00920258"/>
    <w:rsid w:val="00920A3E"/>
    <w:rsid w:val="009211C1"/>
    <w:rsid w:val="00921DAF"/>
    <w:rsid w:val="009220D3"/>
    <w:rsid w:val="009240FD"/>
    <w:rsid w:val="009268A5"/>
    <w:rsid w:val="009271C2"/>
    <w:rsid w:val="009276B0"/>
    <w:rsid w:val="009278E6"/>
    <w:rsid w:val="00931612"/>
    <w:rsid w:val="0093309B"/>
    <w:rsid w:val="00937CD5"/>
    <w:rsid w:val="0094180C"/>
    <w:rsid w:val="00942509"/>
    <w:rsid w:val="00942578"/>
    <w:rsid w:val="009434E9"/>
    <w:rsid w:val="00944248"/>
    <w:rsid w:val="00945255"/>
    <w:rsid w:val="00945757"/>
    <w:rsid w:val="00945BC5"/>
    <w:rsid w:val="009471C5"/>
    <w:rsid w:val="009479BA"/>
    <w:rsid w:val="00950A4D"/>
    <w:rsid w:val="00952376"/>
    <w:rsid w:val="00953892"/>
    <w:rsid w:val="0095429F"/>
    <w:rsid w:val="009546E0"/>
    <w:rsid w:val="00954B76"/>
    <w:rsid w:val="009558A1"/>
    <w:rsid w:val="00956628"/>
    <w:rsid w:val="00962398"/>
    <w:rsid w:val="0096428C"/>
    <w:rsid w:val="009658EC"/>
    <w:rsid w:val="009665F6"/>
    <w:rsid w:val="00970528"/>
    <w:rsid w:val="00972342"/>
    <w:rsid w:val="00972536"/>
    <w:rsid w:val="009743DE"/>
    <w:rsid w:val="009754D6"/>
    <w:rsid w:val="0097622E"/>
    <w:rsid w:val="0098062C"/>
    <w:rsid w:val="00982B6A"/>
    <w:rsid w:val="00982BED"/>
    <w:rsid w:val="00984F0A"/>
    <w:rsid w:val="0098520D"/>
    <w:rsid w:val="00990D67"/>
    <w:rsid w:val="00993BA2"/>
    <w:rsid w:val="00993BA4"/>
    <w:rsid w:val="009950A3"/>
    <w:rsid w:val="0099590B"/>
    <w:rsid w:val="00996F8E"/>
    <w:rsid w:val="00997638"/>
    <w:rsid w:val="009A2020"/>
    <w:rsid w:val="009A2409"/>
    <w:rsid w:val="009A2CDB"/>
    <w:rsid w:val="009A4512"/>
    <w:rsid w:val="009A6D58"/>
    <w:rsid w:val="009A6FC7"/>
    <w:rsid w:val="009B1694"/>
    <w:rsid w:val="009B1729"/>
    <w:rsid w:val="009B33F6"/>
    <w:rsid w:val="009B33F7"/>
    <w:rsid w:val="009B3F13"/>
    <w:rsid w:val="009B682D"/>
    <w:rsid w:val="009B7D8E"/>
    <w:rsid w:val="009C00F9"/>
    <w:rsid w:val="009C1499"/>
    <w:rsid w:val="009C28BA"/>
    <w:rsid w:val="009C6A97"/>
    <w:rsid w:val="009C7751"/>
    <w:rsid w:val="009D17B8"/>
    <w:rsid w:val="009D18D2"/>
    <w:rsid w:val="009D3A31"/>
    <w:rsid w:val="009D4E5A"/>
    <w:rsid w:val="009D56F5"/>
    <w:rsid w:val="009D780D"/>
    <w:rsid w:val="009D7B2B"/>
    <w:rsid w:val="009E1BFC"/>
    <w:rsid w:val="009E1DE6"/>
    <w:rsid w:val="009E228F"/>
    <w:rsid w:val="009E6526"/>
    <w:rsid w:val="009F0C72"/>
    <w:rsid w:val="009F3B00"/>
    <w:rsid w:val="009F4FEF"/>
    <w:rsid w:val="00A01759"/>
    <w:rsid w:val="00A018EC"/>
    <w:rsid w:val="00A025BF"/>
    <w:rsid w:val="00A02662"/>
    <w:rsid w:val="00A034F6"/>
    <w:rsid w:val="00A038A1"/>
    <w:rsid w:val="00A06D3A"/>
    <w:rsid w:val="00A12BF9"/>
    <w:rsid w:val="00A12EA4"/>
    <w:rsid w:val="00A14E4D"/>
    <w:rsid w:val="00A17690"/>
    <w:rsid w:val="00A20614"/>
    <w:rsid w:val="00A2091F"/>
    <w:rsid w:val="00A22F1D"/>
    <w:rsid w:val="00A26BDF"/>
    <w:rsid w:val="00A30215"/>
    <w:rsid w:val="00A303E7"/>
    <w:rsid w:val="00A31F3A"/>
    <w:rsid w:val="00A33930"/>
    <w:rsid w:val="00A34E12"/>
    <w:rsid w:val="00A35DBD"/>
    <w:rsid w:val="00A365AD"/>
    <w:rsid w:val="00A37F70"/>
    <w:rsid w:val="00A4024F"/>
    <w:rsid w:val="00A41090"/>
    <w:rsid w:val="00A41882"/>
    <w:rsid w:val="00A42F09"/>
    <w:rsid w:val="00A45287"/>
    <w:rsid w:val="00A45701"/>
    <w:rsid w:val="00A46412"/>
    <w:rsid w:val="00A475EC"/>
    <w:rsid w:val="00A47606"/>
    <w:rsid w:val="00A5122F"/>
    <w:rsid w:val="00A51AD6"/>
    <w:rsid w:val="00A5319D"/>
    <w:rsid w:val="00A544A0"/>
    <w:rsid w:val="00A55D70"/>
    <w:rsid w:val="00A56541"/>
    <w:rsid w:val="00A56F65"/>
    <w:rsid w:val="00A625D3"/>
    <w:rsid w:val="00A63A08"/>
    <w:rsid w:val="00A63AFE"/>
    <w:rsid w:val="00A64AEA"/>
    <w:rsid w:val="00A650C5"/>
    <w:rsid w:val="00A66E47"/>
    <w:rsid w:val="00A67291"/>
    <w:rsid w:val="00A70F0F"/>
    <w:rsid w:val="00A7115B"/>
    <w:rsid w:val="00A71457"/>
    <w:rsid w:val="00A71804"/>
    <w:rsid w:val="00A7207C"/>
    <w:rsid w:val="00A72882"/>
    <w:rsid w:val="00A729CC"/>
    <w:rsid w:val="00A72F26"/>
    <w:rsid w:val="00A731EF"/>
    <w:rsid w:val="00A74813"/>
    <w:rsid w:val="00A74882"/>
    <w:rsid w:val="00A87B5D"/>
    <w:rsid w:val="00A958F0"/>
    <w:rsid w:val="00A95B54"/>
    <w:rsid w:val="00A96370"/>
    <w:rsid w:val="00A9777A"/>
    <w:rsid w:val="00A97954"/>
    <w:rsid w:val="00A97E00"/>
    <w:rsid w:val="00AA2E35"/>
    <w:rsid w:val="00AA30E0"/>
    <w:rsid w:val="00AA50AA"/>
    <w:rsid w:val="00AA6DC8"/>
    <w:rsid w:val="00AB216A"/>
    <w:rsid w:val="00AB436C"/>
    <w:rsid w:val="00AB4A82"/>
    <w:rsid w:val="00AB5B73"/>
    <w:rsid w:val="00AB64B8"/>
    <w:rsid w:val="00AB6EAB"/>
    <w:rsid w:val="00AB700F"/>
    <w:rsid w:val="00AB7239"/>
    <w:rsid w:val="00AC047D"/>
    <w:rsid w:val="00AC168F"/>
    <w:rsid w:val="00AC3722"/>
    <w:rsid w:val="00AC3E08"/>
    <w:rsid w:val="00AC538F"/>
    <w:rsid w:val="00AC6361"/>
    <w:rsid w:val="00AC64CA"/>
    <w:rsid w:val="00AC7C24"/>
    <w:rsid w:val="00AC7EF5"/>
    <w:rsid w:val="00AC7F29"/>
    <w:rsid w:val="00AD1F6D"/>
    <w:rsid w:val="00AD1FA6"/>
    <w:rsid w:val="00AD263E"/>
    <w:rsid w:val="00AD525B"/>
    <w:rsid w:val="00AD78E0"/>
    <w:rsid w:val="00AE1ADF"/>
    <w:rsid w:val="00AE21CC"/>
    <w:rsid w:val="00AE5396"/>
    <w:rsid w:val="00AE6F6F"/>
    <w:rsid w:val="00AE6FFB"/>
    <w:rsid w:val="00AF082D"/>
    <w:rsid w:val="00AF10DB"/>
    <w:rsid w:val="00AF1197"/>
    <w:rsid w:val="00AF11D3"/>
    <w:rsid w:val="00AF1677"/>
    <w:rsid w:val="00AF171F"/>
    <w:rsid w:val="00AF21EC"/>
    <w:rsid w:val="00AF3C78"/>
    <w:rsid w:val="00AF5F9F"/>
    <w:rsid w:val="00AF61F7"/>
    <w:rsid w:val="00AF6F06"/>
    <w:rsid w:val="00B0057D"/>
    <w:rsid w:val="00B00703"/>
    <w:rsid w:val="00B00BC3"/>
    <w:rsid w:val="00B0293D"/>
    <w:rsid w:val="00B02ECF"/>
    <w:rsid w:val="00B03D4F"/>
    <w:rsid w:val="00B03E6F"/>
    <w:rsid w:val="00B067D4"/>
    <w:rsid w:val="00B075C9"/>
    <w:rsid w:val="00B07976"/>
    <w:rsid w:val="00B109BD"/>
    <w:rsid w:val="00B10A58"/>
    <w:rsid w:val="00B1110A"/>
    <w:rsid w:val="00B133A1"/>
    <w:rsid w:val="00B149DA"/>
    <w:rsid w:val="00B16F22"/>
    <w:rsid w:val="00B17C11"/>
    <w:rsid w:val="00B20B64"/>
    <w:rsid w:val="00B22CEE"/>
    <w:rsid w:val="00B3013D"/>
    <w:rsid w:val="00B31243"/>
    <w:rsid w:val="00B342FC"/>
    <w:rsid w:val="00B34A55"/>
    <w:rsid w:val="00B37317"/>
    <w:rsid w:val="00B40C79"/>
    <w:rsid w:val="00B415B3"/>
    <w:rsid w:val="00B416AD"/>
    <w:rsid w:val="00B4193B"/>
    <w:rsid w:val="00B45CFB"/>
    <w:rsid w:val="00B52B1C"/>
    <w:rsid w:val="00B552E7"/>
    <w:rsid w:val="00B563D7"/>
    <w:rsid w:val="00B56ACD"/>
    <w:rsid w:val="00B5704F"/>
    <w:rsid w:val="00B570D6"/>
    <w:rsid w:val="00B61A17"/>
    <w:rsid w:val="00B624C5"/>
    <w:rsid w:val="00B634F6"/>
    <w:rsid w:val="00B63B53"/>
    <w:rsid w:val="00B6403E"/>
    <w:rsid w:val="00B67477"/>
    <w:rsid w:val="00B67D1E"/>
    <w:rsid w:val="00B67F98"/>
    <w:rsid w:val="00B70E23"/>
    <w:rsid w:val="00B71354"/>
    <w:rsid w:val="00B71C11"/>
    <w:rsid w:val="00B743AC"/>
    <w:rsid w:val="00B74413"/>
    <w:rsid w:val="00B744C9"/>
    <w:rsid w:val="00B74F04"/>
    <w:rsid w:val="00B759DF"/>
    <w:rsid w:val="00B767C4"/>
    <w:rsid w:val="00B76888"/>
    <w:rsid w:val="00B7714D"/>
    <w:rsid w:val="00B80499"/>
    <w:rsid w:val="00B85305"/>
    <w:rsid w:val="00B86E56"/>
    <w:rsid w:val="00B8766B"/>
    <w:rsid w:val="00B879C1"/>
    <w:rsid w:val="00B90468"/>
    <w:rsid w:val="00B90842"/>
    <w:rsid w:val="00B9348E"/>
    <w:rsid w:val="00B94E90"/>
    <w:rsid w:val="00B94ED9"/>
    <w:rsid w:val="00B95FBA"/>
    <w:rsid w:val="00BA2515"/>
    <w:rsid w:val="00BA4637"/>
    <w:rsid w:val="00BA5C5D"/>
    <w:rsid w:val="00BA5D00"/>
    <w:rsid w:val="00BA6D1C"/>
    <w:rsid w:val="00BA7365"/>
    <w:rsid w:val="00BB2230"/>
    <w:rsid w:val="00BB3A9A"/>
    <w:rsid w:val="00BB47CC"/>
    <w:rsid w:val="00BB5A23"/>
    <w:rsid w:val="00BB5EFB"/>
    <w:rsid w:val="00BB7210"/>
    <w:rsid w:val="00BC13BD"/>
    <w:rsid w:val="00BC20D7"/>
    <w:rsid w:val="00BD0F72"/>
    <w:rsid w:val="00BD12A9"/>
    <w:rsid w:val="00BD2728"/>
    <w:rsid w:val="00BD3A35"/>
    <w:rsid w:val="00BD4020"/>
    <w:rsid w:val="00BD48AC"/>
    <w:rsid w:val="00BD4F74"/>
    <w:rsid w:val="00BD6B92"/>
    <w:rsid w:val="00BE3EC7"/>
    <w:rsid w:val="00BE5C5A"/>
    <w:rsid w:val="00BE5CE0"/>
    <w:rsid w:val="00BE722B"/>
    <w:rsid w:val="00BF0099"/>
    <w:rsid w:val="00BF00E8"/>
    <w:rsid w:val="00BF27B0"/>
    <w:rsid w:val="00BF300B"/>
    <w:rsid w:val="00BF49F5"/>
    <w:rsid w:val="00BF5F0A"/>
    <w:rsid w:val="00C00813"/>
    <w:rsid w:val="00C01621"/>
    <w:rsid w:val="00C017E9"/>
    <w:rsid w:val="00C01B0F"/>
    <w:rsid w:val="00C03738"/>
    <w:rsid w:val="00C045CA"/>
    <w:rsid w:val="00C04F8E"/>
    <w:rsid w:val="00C05614"/>
    <w:rsid w:val="00C05F4C"/>
    <w:rsid w:val="00C07C4F"/>
    <w:rsid w:val="00C07F5B"/>
    <w:rsid w:val="00C1161A"/>
    <w:rsid w:val="00C129B2"/>
    <w:rsid w:val="00C1414A"/>
    <w:rsid w:val="00C14975"/>
    <w:rsid w:val="00C14E6A"/>
    <w:rsid w:val="00C1620F"/>
    <w:rsid w:val="00C1643B"/>
    <w:rsid w:val="00C16CB5"/>
    <w:rsid w:val="00C175C4"/>
    <w:rsid w:val="00C21345"/>
    <w:rsid w:val="00C218B1"/>
    <w:rsid w:val="00C251F2"/>
    <w:rsid w:val="00C2750F"/>
    <w:rsid w:val="00C32FA8"/>
    <w:rsid w:val="00C3311E"/>
    <w:rsid w:val="00C33E06"/>
    <w:rsid w:val="00C359A2"/>
    <w:rsid w:val="00C369F8"/>
    <w:rsid w:val="00C43FE6"/>
    <w:rsid w:val="00C448BF"/>
    <w:rsid w:val="00C454A8"/>
    <w:rsid w:val="00C47AEA"/>
    <w:rsid w:val="00C47F96"/>
    <w:rsid w:val="00C50CC6"/>
    <w:rsid w:val="00C52B4C"/>
    <w:rsid w:val="00C541B4"/>
    <w:rsid w:val="00C54513"/>
    <w:rsid w:val="00C55269"/>
    <w:rsid w:val="00C5785B"/>
    <w:rsid w:val="00C6077E"/>
    <w:rsid w:val="00C608FC"/>
    <w:rsid w:val="00C61A78"/>
    <w:rsid w:val="00C61D2C"/>
    <w:rsid w:val="00C6239B"/>
    <w:rsid w:val="00C62A7C"/>
    <w:rsid w:val="00C64229"/>
    <w:rsid w:val="00C65072"/>
    <w:rsid w:val="00C6739F"/>
    <w:rsid w:val="00C673AB"/>
    <w:rsid w:val="00C67F9A"/>
    <w:rsid w:val="00C70F85"/>
    <w:rsid w:val="00C71851"/>
    <w:rsid w:val="00C72528"/>
    <w:rsid w:val="00C72D03"/>
    <w:rsid w:val="00C73F68"/>
    <w:rsid w:val="00C75828"/>
    <w:rsid w:val="00C77538"/>
    <w:rsid w:val="00C802D9"/>
    <w:rsid w:val="00C80868"/>
    <w:rsid w:val="00C80B43"/>
    <w:rsid w:val="00C82DBB"/>
    <w:rsid w:val="00C833A1"/>
    <w:rsid w:val="00C837BD"/>
    <w:rsid w:val="00C846DC"/>
    <w:rsid w:val="00C85645"/>
    <w:rsid w:val="00C87A35"/>
    <w:rsid w:val="00C87D8C"/>
    <w:rsid w:val="00C87E04"/>
    <w:rsid w:val="00C91566"/>
    <w:rsid w:val="00C949F6"/>
    <w:rsid w:val="00C971A7"/>
    <w:rsid w:val="00C978AA"/>
    <w:rsid w:val="00CA0687"/>
    <w:rsid w:val="00CA3884"/>
    <w:rsid w:val="00CA5084"/>
    <w:rsid w:val="00CA5630"/>
    <w:rsid w:val="00CA5786"/>
    <w:rsid w:val="00CA6A65"/>
    <w:rsid w:val="00CA6AC5"/>
    <w:rsid w:val="00CA7E55"/>
    <w:rsid w:val="00CB1244"/>
    <w:rsid w:val="00CB4251"/>
    <w:rsid w:val="00CB53B8"/>
    <w:rsid w:val="00CC1F5E"/>
    <w:rsid w:val="00CC2548"/>
    <w:rsid w:val="00CC32CD"/>
    <w:rsid w:val="00CC3FA3"/>
    <w:rsid w:val="00CC4483"/>
    <w:rsid w:val="00CC44F1"/>
    <w:rsid w:val="00CC4A1C"/>
    <w:rsid w:val="00CC5020"/>
    <w:rsid w:val="00CC5CF8"/>
    <w:rsid w:val="00CC6E83"/>
    <w:rsid w:val="00CC723D"/>
    <w:rsid w:val="00CC7FDA"/>
    <w:rsid w:val="00CD2C04"/>
    <w:rsid w:val="00CD3E07"/>
    <w:rsid w:val="00CD6691"/>
    <w:rsid w:val="00CD6AD7"/>
    <w:rsid w:val="00CD79B0"/>
    <w:rsid w:val="00CD7C2D"/>
    <w:rsid w:val="00CE0116"/>
    <w:rsid w:val="00CE01B9"/>
    <w:rsid w:val="00CE2572"/>
    <w:rsid w:val="00CE30B7"/>
    <w:rsid w:val="00CE36BE"/>
    <w:rsid w:val="00CE42DA"/>
    <w:rsid w:val="00CE4733"/>
    <w:rsid w:val="00CE5623"/>
    <w:rsid w:val="00CF1C3F"/>
    <w:rsid w:val="00CF2FE2"/>
    <w:rsid w:val="00CF4EDC"/>
    <w:rsid w:val="00CF60B7"/>
    <w:rsid w:val="00CF6810"/>
    <w:rsid w:val="00CF7A36"/>
    <w:rsid w:val="00D00C27"/>
    <w:rsid w:val="00D05B2B"/>
    <w:rsid w:val="00D06C10"/>
    <w:rsid w:val="00D15F24"/>
    <w:rsid w:val="00D16113"/>
    <w:rsid w:val="00D1657E"/>
    <w:rsid w:val="00D17AE3"/>
    <w:rsid w:val="00D2126C"/>
    <w:rsid w:val="00D227F1"/>
    <w:rsid w:val="00D24162"/>
    <w:rsid w:val="00D244ED"/>
    <w:rsid w:val="00D24AAC"/>
    <w:rsid w:val="00D252D7"/>
    <w:rsid w:val="00D25C5B"/>
    <w:rsid w:val="00D25F94"/>
    <w:rsid w:val="00D30FA4"/>
    <w:rsid w:val="00D32FC3"/>
    <w:rsid w:val="00D3306B"/>
    <w:rsid w:val="00D341CE"/>
    <w:rsid w:val="00D34542"/>
    <w:rsid w:val="00D3659A"/>
    <w:rsid w:val="00D37E72"/>
    <w:rsid w:val="00D4172A"/>
    <w:rsid w:val="00D43F3D"/>
    <w:rsid w:val="00D4491D"/>
    <w:rsid w:val="00D45CFE"/>
    <w:rsid w:val="00D46937"/>
    <w:rsid w:val="00D47447"/>
    <w:rsid w:val="00D47BC9"/>
    <w:rsid w:val="00D50D50"/>
    <w:rsid w:val="00D53701"/>
    <w:rsid w:val="00D53FED"/>
    <w:rsid w:val="00D54D18"/>
    <w:rsid w:val="00D5722C"/>
    <w:rsid w:val="00D57425"/>
    <w:rsid w:val="00D6101B"/>
    <w:rsid w:val="00D61087"/>
    <w:rsid w:val="00D61AD4"/>
    <w:rsid w:val="00D62574"/>
    <w:rsid w:val="00D62A80"/>
    <w:rsid w:val="00D700BC"/>
    <w:rsid w:val="00D7236E"/>
    <w:rsid w:val="00D72BD3"/>
    <w:rsid w:val="00D73A4F"/>
    <w:rsid w:val="00D746F0"/>
    <w:rsid w:val="00D75FC1"/>
    <w:rsid w:val="00D830C8"/>
    <w:rsid w:val="00D83729"/>
    <w:rsid w:val="00D83DDD"/>
    <w:rsid w:val="00D86055"/>
    <w:rsid w:val="00D86E2A"/>
    <w:rsid w:val="00D8722C"/>
    <w:rsid w:val="00D9099C"/>
    <w:rsid w:val="00D92B15"/>
    <w:rsid w:val="00D9378D"/>
    <w:rsid w:val="00D93E2A"/>
    <w:rsid w:val="00D93EB8"/>
    <w:rsid w:val="00D9416D"/>
    <w:rsid w:val="00D97248"/>
    <w:rsid w:val="00DA0205"/>
    <w:rsid w:val="00DA0287"/>
    <w:rsid w:val="00DA0461"/>
    <w:rsid w:val="00DA0E28"/>
    <w:rsid w:val="00DA36D1"/>
    <w:rsid w:val="00DA464D"/>
    <w:rsid w:val="00DB19D5"/>
    <w:rsid w:val="00DB1B23"/>
    <w:rsid w:val="00DB4F6B"/>
    <w:rsid w:val="00DB544E"/>
    <w:rsid w:val="00DB6601"/>
    <w:rsid w:val="00DC1BD3"/>
    <w:rsid w:val="00DC327C"/>
    <w:rsid w:val="00DC4B73"/>
    <w:rsid w:val="00DC5302"/>
    <w:rsid w:val="00DC5A12"/>
    <w:rsid w:val="00DC62E6"/>
    <w:rsid w:val="00DC67AC"/>
    <w:rsid w:val="00DC6DCD"/>
    <w:rsid w:val="00DD357E"/>
    <w:rsid w:val="00DD3AB9"/>
    <w:rsid w:val="00DD434F"/>
    <w:rsid w:val="00DD52A2"/>
    <w:rsid w:val="00DD5C8B"/>
    <w:rsid w:val="00DE2537"/>
    <w:rsid w:val="00DE2CB7"/>
    <w:rsid w:val="00DE343E"/>
    <w:rsid w:val="00DE4308"/>
    <w:rsid w:val="00DF0CC7"/>
    <w:rsid w:val="00DF244E"/>
    <w:rsid w:val="00DF3382"/>
    <w:rsid w:val="00DF3B8C"/>
    <w:rsid w:val="00DF3BB9"/>
    <w:rsid w:val="00DF49C9"/>
    <w:rsid w:val="00DF5287"/>
    <w:rsid w:val="00DF587F"/>
    <w:rsid w:val="00DF683E"/>
    <w:rsid w:val="00DF79F0"/>
    <w:rsid w:val="00E00233"/>
    <w:rsid w:val="00E013FA"/>
    <w:rsid w:val="00E037F6"/>
    <w:rsid w:val="00E03802"/>
    <w:rsid w:val="00E04526"/>
    <w:rsid w:val="00E071B6"/>
    <w:rsid w:val="00E11AEB"/>
    <w:rsid w:val="00E11F73"/>
    <w:rsid w:val="00E16750"/>
    <w:rsid w:val="00E1683F"/>
    <w:rsid w:val="00E21D55"/>
    <w:rsid w:val="00E23773"/>
    <w:rsid w:val="00E24A80"/>
    <w:rsid w:val="00E24BF2"/>
    <w:rsid w:val="00E27196"/>
    <w:rsid w:val="00E273A9"/>
    <w:rsid w:val="00E331AE"/>
    <w:rsid w:val="00E336C2"/>
    <w:rsid w:val="00E35CA8"/>
    <w:rsid w:val="00E3736D"/>
    <w:rsid w:val="00E4184E"/>
    <w:rsid w:val="00E418CE"/>
    <w:rsid w:val="00E4252E"/>
    <w:rsid w:val="00E42B99"/>
    <w:rsid w:val="00E42FB3"/>
    <w:rsid w:val="00E43220"/>
    <w:rsid w:val="00E44E20"/>
    <w:rsid w:val="00E4523B"/>
    <w:rsid w:val="00E46C5D"/>
    <w:rsid w:val="00E47FE4"/>
    <w:rsid w:val="00E50754"/>
    <w:rsid w:val="00E5255F"/>
    <w:rsid w:val="00E5288D"/>
    <w:rsid w:val="00E54D1E"/>
    <w:rsid w:val="00E57190"/>
    <w:rsid w:val="00E61054"/>
    <w:rsid w:val="00E61AD8"/>
    <w:rsid w:val="00E61BCF"/>
    <w:rsid w:val="00E63179"/>
    <w:rsid w:val="00E6720F"/>
    <w:rsid w:val="00E70083"/>
    <w:rsid w:val="00E71012"/>
    <w:rsid w:val="00E7114F"/>
    <w:rsid w:val="00E755AE"/>
    <w:rsid w:val="00E7577D"/>
    <w:rsid w:val="00E76BB2"/>
    <w:rsid w:val="00E778B3"/>
    <w:rsid w:val="00E77A4F"/>
    <w:rsid w:val="00E8217F"/>
    <w:rsid w:val="00E83D7B"/>
    <w:rsid w:val="00E85109"/>
    <w:rsid w:val="00E8536A"/>
    <w:rsid w:val="00E85881"/>
    <w:rsid w:val="00E87E9F"/>
    <w:rsid w:val="00E92CB9"/>
    <w:rsid w:val="00E974C2"/>
    <w:rsid w:val="00EA0CEE"/>
    <w:rsid w:val="00EA5798"/>
    <w:rsid w:val="00EA5DB8"/>
    <w:rsid w:val="00EA68F0"/>
    <w:rsid w:val="00EA693A"/>
    <w:rsid w:val="00EB0AC8"/>
    <w:rsid w:val="00EB1E4E"/>
    <w:rsid w:val="00EB34DC"/>
    <w:rsid w:val="00EB5F0C"/>
    <w:rsid w:val="00EB74AE"/>
    <w:rsid w:val="00EC3949"/>
    <w:rsid w:val="00EC43B3"/>
    <w:rsid w:val="00EC4B9A"/>
    <w:rsid w:val="00EC4C77"/>
    <w:rsid w:val="00EC4F4C"/>
    <w:rsid w:val="00EC54A1"/>
    <w:rsid w:val="00ED3E92"/>
    <w:rsid w:val="00ED7E6A"/>
    <w:rsid w:val="00EE3E7B"/>
    <w:rsid w:val="00EE41D0"/>
    <w:rsid w:val="00EE4536"/>
    <w:rsid w:val="00EE5BC1"/>
    <w:rsid w:val="00EE7930"/>
    <w:rsid w:val="00EF0B4A"/>
    <w:rsid w:val="00EF1CCD"/>
    <w:rsid w:val="00EF1E71"/>
    <w:rsid w:val="00EF202E"/>
    <w:rsid w:val="00EF37AB"/>
    <w:rsid w:val="00EF4C5D"/>
    <w:rsid w:val="00EF798A"/>
    <w:rsid w:val="00F00ABD"/>
    <w:rsid w:val="00F00CF8"/>
    <w:rsid w:val="00F0178D"/>
    <w:rsid w:val="00F02FBC"/>
    <w:rsid w:val="00F03C52"/>
    <w:rsid w:val="00F05019"/>
    <w:rsid w:val="00F0768F"/>
    <w:rsid w:val="00F105D4"/>
    <w:rsid w:val="00F11372"/>
    <w:rsid w:val="00F12D55"/>
    <w:rsid w:val="00F13A56"/>
    <w:rsid w:val="00F15130"/>
    <w:rsid w:val="00F160AB"/>
    <w:rsid w:val="00F17E97"/>
    <w:rsid w:val="00F17FF5"/>
    <w:rsid w:val="00F208C0"/>
    <w:rsid w:val="00F214FC"/>
    <w:rsid w:val="00F21DBE"/>
    <w:rsid w:val="00F21E2B"/>
    <w:rsid w:val="00F22CEB"/>
    <w:rsid w:val="00F245A4"/>
    <w:rsid w:val="00F26378"/>
    <w:rsid w:val="00F30144"/>
    <w:rsid w:val="00F31E9D"/>
    <w:rsid w:val="00F33597"/>
    <w:rsid w:val="00F3369D"/>
    <w:rsid w:val="00F33A8E"/>
    <w:rsid w:val="00F33E5D"/>
    <w:rsid w:val="00F3439B"/>
    <w:rsid w:val="00F3541A"/>
    <w:rsid w:val="00F35471"/>
    <w:rsid w:val="00F35CF3"/>
    <w:rsid w:val="00F3645A"/>
    <w:rsid w:val="00F36B8C"/>
    <w:rsid w:val="00F3729B"/>
    <w:rsid w:val="00F37D55"/>
    <w:rsid w:val="00F4017B"/>
    <w:rsid w:val="00F40283"/>
    <w:rsid w:val="00F43057"/>
    <w:rsid w:val="00F45F6E"/>
    <w:rsid w:val="00F4607A"/>
    <w:rsid w:val="00F46A75"/>
    <w:rsid w:val="00F470B9"/>
    <w:rsid w:val="00F470E4"/>
    <w:rsid w:val="00F47E7C"/>
    <w:rsid w:val="00F50EFD"/>
    <w:rsid w:val="00F51A8C"/>
    <w:rsid w:val="00F5270A"/>
    <w:rsid w:val="00F54299"/>
    <w:rsid w:val="00F558B4"/>
    <w:rsid w:val="00F56009"/>
    <w:rsid w:val="00F5734E"/>
    <w:rsid w:val="00F575A1"/>
    <w:rsid w:val="00F62EBE"/>
    <w:rsid w:val="00F67D80"/>
    <w:rsid w:val="00F70A99"/>
    <w:rsid w:val="00F71895"/>
    <w:rsid w:val="00F724F2"/>
    <w:rsid w:val="00F72E43"/>
    <w:rsid w:val="00F737C6"/>
    <w:rsid w:val="00F754E6"/>
    <w:rsid w:val="00F764CB"/>
    <w:rsid w:val="00F77973"/>
    <w:rsid w:val="00F81273"/>
    <w:rsid w:val="00F86317"/>
    <w:rsid w:val="00F87705"/>
    <w:rsid w:val="00F90430"/>
    <w:rsid w:val="00F90EDD"/>
    <w:rsid w:val="00F9178C"/>
    <w:rsid w:val="00F93AF9"/>
    <w:rsid w:val="00F9670E"/>
    <w:rsid w:val="00FA1CAE"/>
    <w:rsid w:val="00FA6B2C"/>
    <w:rsid w:val="00FA6B8B"/>
    <w:rsid w:val="00FB204F"/>
    <w:rsid w:val="00FB22F3"/>
    <w:rsid w:val="00FB2696"/>
    <w:rsid w:val="00FB57C3"/>
    <w:rsid w:val="00FC0866"/>
    <w:rsid w:val="00FC5D75"/>
    <w:rsid w:val="00FC692A"/>
    <w:rsid w:val="00FD08F0"/>
    <w:rsid w:val="00FD1E72"/>
    <w:rsid w:val="00FD2B84"/>
    <w:rsid w:val="00FD33F3"/>
    <w:rsid w:val="00FD3588"/>
    <w:rsid w:val="00FD3887"/>
    <w:rsid w:val="00FD7632"/>
    <w:rsid w:val="00FD7661"/>
    <w:rsid w:val="00FE0809"/>
    <w:rsid w:val="00FE1804"/>
    <w:rsid w:val="00FE215D"/>
    <w:rsid w:val="00FE2FB0"/>
    <w:rsid w:val="00FE4D11"/>
    <w:rsid w:val="00FE6327"/>
    <w:rsid w:val="00FE6669"/>
    <w:rsid w:val="00FF14BE"/>
    <w:rsid w:val="00FF185B"/>
    <w:rsid w:val="00FF2E4F"/>
    <w:rsid w:val="00FF432C"/>
    <w:rsid w:val="00FF568F"/>
    <w:rsid w:val="00FF6B79"/>
    <w:rsid w:val="00FF768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AA60CA"/>
  <w15:chartTrackingRefBased/>
  <w15:docId w15:val="{CC04EE08-DC86-41E7-9E8C-10D862409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C79"/>
  </w:style>
  <w:style w:type="paragraph" w:styleId="Heading1">
    <w:name w:val="heading 1"/>
    <w:basedOn w:val="ListParagraph"/>
    <w:next w:val="Normal"/>
    <w:link w:val="Heading1Char"/>
    <w:uiPriority w:val="9"/>
    <w:qFormat/>
    <w:rsid w:val="004714BB"/>
    <w:pPr>
      <w:numPr>
        <w:numId w:val="7"/>
      </w:numPr>
      <w:spacing w:line="360" w:lineRule="auto"/>
      <w:jc w:val="center"/>
      <w:outlineLvl w:val="0"/>
    </w:pPr>
    <w:rPr>
      <w:rFonts w:ascii="arial bold" w:hAnsi="arial bold" w:cs="Arial"/>
      <w:b/>
      <w:caps/>
      <w:sz w:val="24"/>
      <w:szCs w:val="24"/>
      <w:lang w:val="en-GB"/>
    </w:rPr>
  </w:style>
  <w:style w:type="paragraph" w:styleId="Heading2">
    <w:name w:val="heading 2"/>
    <w:basedOn w:val="Normal"/>
    <w:next w:val="Normal"/>
    <w:link w:val="Heading2Char"/>
    <w:uiPriority w:val="9"/>
    <w:unhideWhenUsed/>
    <w:qFormat/>
    <w:rsid w:val="00937CD5"/>
    <w:pPr>
      <w:keepNext/>
      <w:keepLines/>
      <w:numPr>
        <w:ilvl w:val="1"/>
        <w:numId w:val="7"/>
      </w:numPr>
      <w:spacing w:before="160" w:after="80"/>
      <w:ind w:left="397" w:hanging="397"/>
      <w:outlineLvl w:val="1"/>
    </w:pPr>
    <w:rPr>
      <w:rFonts w:ascii="arial bold" w:eastAsiaTheme="majorEastAsia" w:hAnsi="arial bold" w:cs="Arial"/>
      <w:b/>
      <w:bCs/>
      <w:caps/>
      <w:sz w:val="24"/>
      <w:szCs w:val="24"/>
    </w:rPr>
  </w:style>
  <w:style w:type="paragraph" w:styleId="Heading3">
    <w:name w:val="heading 3"/>
    <w:basedOn w:val="Normal"/>
    <w:next w:val="Normal"/>
    <w:link w:val="Heading3Char"/>
    <w:uiPriority w:val="9"/>
    <w:unhideWhenUsed/>
    <w:qFormat/>
    <w:rsid w:val="00255733"/>
    <w:pPr>
      <w:spacing w:line="360" w:lineRule="auto"/>
      <w:ind w:left="720" w:hanging="720"/>
      <w:jc w:val="both"/>
      <w:outlineLvl w:val="2"/>
    </w:pPr>
    <w:rPr>
      <w:rFonts w:ascii="Arial" w:hAnsi="Arial" w:cs="Arial"/>
      <w:b/>
      <w:bCs/>
      <w:sz w:val="24"/>
      <w:szCs w:val="24"/>
      <w:shd w:val="clear" w:color="auto" w:fill="FFFFFF"/>
    </w:rPr>
  </w:style>
  <w:style w:type="paragraph" w:styleId="Heading4">
    <w:name w:val="heading 4"/>
    <w:basedOn w:val="Normal"/>
    <w:next w:val="Normal"/>
    <w:link w:val="Heading4Char"/>
    <w:uiPriority w:val="9"/>
    <w:unhideWhenUsed/>
    <w:qFormat/>
    <w:rsid w:val="008C0076"/>
    <w:pPr>
      <w:spacing w:line="360" w:lineRule="auto"/>
      <w:jc w:val="both"/>
      <w:outlineLvl w:val="3"/>
    </w:pPr>
    <w:rPr>
      <w:rFonts w:ascii="Arial" w:hAnsi="Arial" w:cs="Arial"/>
      <w:b/>
      <w:bCs/>
      <w:i/>
      <w:iCs/>
      <w:sz w:val="24"/>
      <w:szCs w:val="24"/>
      <w:shd w:val="clear" w:color="auto" w:fill="FFFFFF"/>
    </w:rPr>
  </w:style>
  <w:style w:type="paragraph" w:styleId="Heading5">
    <w:name w:val="heading 5"/>
    <w:basedOn w:val="Normal"/>
    <w:next w:val="Normal"/>
    <w:link w:val="Heading5Char"/>
    <w:uiPriority w:val="9"/>
    <w:semiHidden/>
    <w:unhideWhenUsed/>
    <w:qFormat/>
    <w:rsid w:val="00761FF4"/>
    <w:pPr>
      <w:keepNext/>
      <w:keepLines/>
      <w:numPr>
        <w:ilvl w:val="4"/>
        <w:numId w:val="7"/>
      </w:numPr>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761FF4"/>
    <w:pPr>
      <w:keepNext/>
      <w:keepLines/>
      <w:numPr>
        <w:ilvl w:val="5"/>
        <w:numId w:val="7"/>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61FF4"/>
    <w:pPr>
      <w:keepNext/>
      <w:keepLines/>
      <w:numPr>
        <w:ilvl w:val="6"/>
        <w:numId w:val="7"/>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61FF4"/>
    <w:pPr>
      <w:keepNext/>
      <w:keepLines/>
      <w:numPr>
        <w:ilvl w:val="7"/>
        <w:numId w:val="7"/>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61FF4"/>
    <w:pPr>
      <w:keepNext/>
      <w:keepLines/>
      <w:numPr>
        <w:ilvl w:val="8"/>
        <w:numId w:val="7"/>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72528"/>
    <w:pPr>
      <w:spacing w:after="0" w:line="240" w:lineRule="auto"/>
    </w:pPr>
    <w:rPr>
      <w:sz w:val="20"/>
      <w:szCs w:val="20"/>
    </w:rPr>
  </w:style>
  <w:style w:type="character" w:customStyle="1" w:styleId="FootnoteTextChar">
    <w:name w:val="Footnote Text Char"/>
    <w:basedOn w:val="DefaultParagraphFont"/>
    <w:link w:val="FootnoteText"/>
    <w:uiPriority w:val="99"/>
    <w:rsid w:val="00C72528"/>
    <w:rPr>
      <w:sz w:val="20"/>
      <w:szCs w:val="20"/>
    </w:rPr>
  </w:style>
  <w:style w:type="character" w:styleId="FootnoteReference">
    <w:name w:val="footnote reference"/>
    <w:basedOn w:val="DefaultParagraphFont"/>
    <w:uiPriority w:val="99"/>
    <w:semiHidden/>
    <w:unhideWhenUsed/>
    <w:rsid w:val="00C72528"/>
    <w:rPr>
      <w:vertAlign w:val="superscript"/>
    </w:rPr>
  </w:style>
  <w:style w:type="paragraph" w:styleId="Footer">
    <w:name w:val="footer"/>
    <w:basedOn w:val="Normal"/>
    <w:link w:val="FooterChar"/>
    <w:uiPriority w:val="99"/>
    <w:unhideWhenUsed/>
    <w:rsid w:val="00C725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2528"/>
  </w:style>
  <w:style w:type="paragraph" w:styleId="Header">
    <w:name w:val="header"/>
    <w:basedOn w:val="Normal"/>
    <w:link w:val="HeaderChar"/>
    <w:uiPriority w:val="99"/>
    <w:unhideWhenUsed/>
    <w:rsid w:val="004066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6680"/>
  </w:style>
  <w:style w:type="paragraph" w:styleId="Revision">
    <w:name w:val="Revision"/>
    <w:hidden/>
    <w:uiPriority w:val="99"/>
    <w:semiHidden/>
    <w:rsid w:val="00EC54A1"/>
    <w:pPr>
      <w:spacing w:after="0" w:line="240" w:lineRule="auto"/>
    </w:pPr>
  </w:style>
  <w:style w:type="character" w:styleId="CommentReference">
    <w:name w:val="annotation reference"/>
    <w:basedOn w:val="DefaultParagraphFont"/>
    <w:uiPriority w:val="99"/>
    <w:semiHidden/>
    <w:unhideWhenUsed/>
    <w:rsid w:val="004042A0"/>
    <w:rPr>
      <w:sz w:val="16"/>
      <w:szCs w:val="16"/>
    </w:rPr>
  </w:style>
  <w:style w:type="paragraph" w:styleId="CommentText">
    <w:name w:val="annotation text"/>
    <w:basedOn w:val="Normal"/>
    <w:link w:val="CommentTextChar"/>
    <w:uiPriority w:val="99"/>
    <w:unhideWhenUsed/>
    <w:rsid w:val="004042A0"/>
    <w:pPr>
      <w:spacing w:line="240" w:lineRule="auto"/>
    </w:pPr>
    <w:rPr>
      <w:sz w:val="20"/>
      <w:szCs w:val="20"/>
    </w:rPr>
  </w:style>
  <w:style w:type="character" w:customStyle="1" w:styleId="CommentTextChar">
    <w:name w:val="Comment Text Char"/>
    <w:basedOn w:val="DefaultParagraphFont"/>
    <w:link w:val="CommentText"/>
    <w:uiPriority w:val="99"/>
    <w:rsid w:val="004042A0"/>
    <w:rPr>
      <w:sz w:val="20"/>
      <w:szCs w:val="20"/>
    </w:rPr>
  </w:style>
  <w:style w:type="paragraph" w:styleId="CommentSubject">
    <w:name w:val="annotation subject"/>
    <w:basedOn w:val="CommentText"/>
    <w:next w:val="CommentText"/>
    <w:link w:val="CommentSubjectChar"/>
    <w:uiPriority w:val="99"/>
    <w:semiHidden/>
    <w:unhideWhenUsed/>
    <w:rsid w:val="004042A0"/>
    <w:rPr>
      <w:b/>
      <w:bCs/>
    </w:rPr>
  </w:style>
  <w:style w:type="character" w:customStyle="1" w:styleId="CommentSubjectChar">
    <w:name w:val="Comment Subject Char"/>
    <w:basedOn w:val="CommentTextChar"/>
    <w:link w:val="CommentSubject"/>
    <w:uiPriority w:val="99"/>
    <w:semiHidden/>
    <w:rsid w:val="004042A0"/>
    <w:rPr>
      <w:b/>
      <w:bCs/>
      <w:sz w:val="20"/>
      <w:szCs w:val="20"/>
    </w:rPr>
  </w:style>
  <w:style w:type="paragraph" w:styleId="BalloonText">
    <w:name w:val="Balloon Text"/>
    <w:basedOn w:val="Normal"/>
    <w:link w:val="BalloonTextChar"/>
    <w:uiPriority w:val="99"/>
    <w:semiHidden/>
    <w:unhideWhenUsed/>
    <w:rsid w:val="006B0C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0C24"/>
    <w:rPr>
      <w:rFonts w:ascii="Segoe UI" w:hAnsi="Segoe UI" w:cs="Segoe UI"/>
      <w:sz w:val="18"/>
      <w:szCs w:val="18"/>
    </w:rPr>
  </w:style>
  <w:style w:type="paragraph" w:styleId="ListParagraph">
    <w:name w:val="List Paragraph"/>
    <w:basedOn w:val="Normal"/>
    <w:uiPriority w:val="34"/>
    <w:qFormat/>
    <w:rsid w:val="00C72D03"/>
    <w:pPr>
      <w:ind w:left="720"/>
      <w:contextualSpacing/>
    </w:pPr>
  </w:style>
  <w:style w:type="character" w:customStyle="1" w:styleId="Heading1Char">
    <w:name w:val="Heading 1 Char"/>
    <w:basedOn w:val="DefaultParagraphFont"/>
    <w:link w:val="Heading1"/>
    <w:uiPriority w:val="9"/>
    <w:rsid w:val="004714BB"/>
    <w:rPr>
      <w:rFonts w:ascii="arial bold" w:hAnsi="arial bold" w:cs="Arial"/>
      <w:b/>
      <w:caps/>
      <w:sz w:val="24"/>
      <w:szCs w:val="24"/>
      <w:lang w:val="en-GB"/>
    </w:rPr>
  </w:style>
  <w:style w:type="character" w:customStyle="1" w:styleId="Heading2Char">
    <w:name w:val="Heading 2 Char"/>
    <w:basedOn w:val="DefaultParagraphFont"/>
    <w:link w:val="Heading2"/>
    <w:uiPriority w:val="9"/>
    <w:rsid w:val="00937CD5"/>
    <w:rPr>
      <w:rFonts w:ascii="arial bold" w:eastAsiaTheme="majorEastAsia" w:hAnsi="arial bold" w:cs="Arial"/>
      <w:b/>
      <w:bCs/>
      <w:caps/>
      <w:sz w:val="24"/>
      <w:szCs w:val="24"/>
    </w:rPr>
  </w:style>
  <w:style w:type="character" w:customStyle="1" w:styleId="Heading3Char">
    <w:name w:val="Heading 3 Char"/>
    <w:basedOn w:val="DefaultParagraphFont"/>
    <w:link w:val="Heading3"/>
    <w:uiPriority w:val="9"/>
    <w:rsid w:val="00255733"/>
    <w:rPr>
      <w:rFonts w:ascii="Arial" w:hAnsi="Arial" w:cs="Arial"/>
      <w:b/>
      <w:bCs/>
      <w:sz w:val="24"/>
      <w:szCs w:val="24"/>
    </w:rPr>
  </w:style>
  <w:style w:type="character" w:customStyle="1" w:styleId="Heading4Char">
    <w:name w:val="Heading 4 Char"/>
    <w:basedOn w:val="DefaultParagraphFont"/>
    <w:link w:val="Heading4"/>
    <w:uiPriority w:val="9"/>
    <w:rsid w:val="008C0076"/>
    <w:rPr>
      <w:rFonts w:ascii="Arial" w:hAnsi="Arial" w:cs="Arial"/>
      <w:b/>
      <w:bCs/>
      <w:i/>
      <w:iCs/>
      <w:sz w:val="24"/>
      <w:szCs w:val="24"/>
    </w:rPr>
  </w:style>
  <w:style w:type="character" w:customStyle="1" w:styleId="Heading5Char">
    <w:name w:val="Heading 5 Char"/>
    <w:basedOn w:val="DefaultParagraphFont"/>
    <w:link w:val="Heading5"/>
    <w:uiPriority w:val="9"/>
    <w:semiHidden/>
    <w:rsid w:val="00761FF4"/>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761F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61F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61F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61FF4"/>
    <w:rPr>
      <w:rFonts w:eastAsiaTheme="majorEastAsia" w:cstheme="majorBidi"/>
      <w:color w:val="272727" w:themeColor="text1" w:themeTint="D8"/>
    </w:rPr>
  </w:style>
  <w:style w:type="paragraph" w:styleId="Title">
    <w:name w:val="Title"/>
    <w:basedOn w:val="Normal"/>
    <w:next w:val="Normal"/>
    <w:link w:val="TitleChar"/>
    <w:uiPriority w:val="10"/>
    <w:qFormat/>
    <w:rsid w:val="00761F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1F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61F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61F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61FF4"/>
    <w:pPr>
      <w:spacing w:before="160"/>
      <w:jc w:val="center"/>
    </w:pPr>
    <w:rPr>
      <w:i/>
      <w:iCs/>
      <w:color w:val="404040" w:themeColor="text1" w:themeTint="BF"/>
    </w:rPr>
  </w:style>
  <w:style w:type="character" w:customStyle="1" w:styleId="QuoteChar">
    <w:name w:val="Quote Char"/>
    <w:basedOn w:val="DefaultParagraphFont"/>
    <w:link w:val="Quote"/>
    <w:uiPriority w:val="29"/>
    <w:rsid w:val="00761FF4"/>
    <w:rPr>
      <w:i/>
      <w:iCs/>
      <w:color w:val="404040" w:themeColor="text1" w:themeTint="BF"/>
    </w:rPr>
  </w:style>
  <w:style w:type="character" w:styleId="IntenseEmphasis">
    <w:name w:val="Intense Emphasis"/>
    <w:basedOn w:val="DefaultParagraphFont"/>
    <w:uiPriority w:val="21"/>
    <w:qFormat/>
    <w:rsid w:val="00761FF4"/>
    <w:rPr>
      <w:i/>
      <w:iCs/>
      <w:color w:val="2E74B5" w:themeColor="accent1" w:themeShade="BF"/>
    </w:rPr>
  </w:style>
  <w:style w:type="paragraph" w:styleId="IntenseQuote">
    <w:name w:val="Intense Quote"/>
    <w:basedOn w:val="Normal"/>
    <w:next w:val="Normal"/>
    <w:link w:val="IntenseQuoteChar"/>
    <w:uiPriority w:val="30"/>
    <w:qFormat/>
    <w:rsid w:val="00761FF4"/>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761FF4"/>
    <w:rPr>
      <w:i/>
      <w:iCs/>
      <w:color w:val="2E74B5" w:themeColor="accent1" w:themeShade="BF"/>
    </w:rPr>
  </w:style>
  <w:style w:type="character" w:styleId="IntenseReference">
    <w:name w:val="Intense Reference"/>
    <w:basedOn w:val="DefaultParagraphFont"/>
    <w:uiPriority w:val="32"/>
    <w:qFormat/>
    <w:rsid w:val="00761FF4"/>
    <w:rPr>
      <w:b/>
      <w:bCs/>
      <w:smallCaps/>
      <w:color w:val="2E74B5" w:themeColor="accent1" w:themeShade="BF"/>
      <w:spacing w:val="5"/>
    </w:rPr>
  </w:style>
  <w:style w:type="character" w:styleId="Hyperlink">
    <w:name w:val="Hyperlink"/>
    <w:basedOn w:val="DefaultParagraphFont"/>
    <w:uiPriority w:val="99"/>
    <w:unhideWhenUsed/>
    <w:rsid w:val="00761FF4"/>
    <w:rPr>
      <w:color w:val="0563C1" w:themeColor="hyperlink"/>
      <w:u w:val="single"/>
    </w:rPr>
  </w:style>
  <w:style w:type="character" w:styleId="UnresolvedMention">
    <w:name w:val="Unresolved Mention"/>
    <w:basedOn w:val="DefaultParagraphFont"/>
    <w:uiPriority w:val="99"/>
    <w:semiHidden/>
    <w:unhideWhenUsed/>
    <w:rsid w:val="00761FF4"/>
    <w:rPr>
      <w:color w:val="605E5C"/>
      <w:shd w:val="clear" w:color="auto" w:fill="E1DFDD"/>
    </w:rPr>
  </w:style>
  <w:style w:type="paragraph" w:styleId="NormalWeb">
    <w:name w:val="Normal (Web)"/>
    <w:basedOn w:val="Normal"/>
    <w:uiPriority w:val="99"/>
    <w:semiHidden/>
    <w:unhideWhenUsed/>
    <w:rsid w:val="00761FF4"/>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761FF4"/>
    <w:rPr>
      <w:color w:val="954F72" w:themeColor="followedHyperlink"/>
      <w:u w:val="single"/>
    </w:rPr>
  </w:style>
  <w:style w:type="paragraph" w:styleId="TOCHeading">
    <w:name w:val="TOC Heading"/>
    <w:basedOn w:val="Heading1"/>
    <w:next w:val="Normal"/>
    <w:uiPriority w:val="39"/>
    <w:unhideWhenUsed/>
    <w:qFormat/>
    <w:rsid w:val="009658EC"/>
    <w:pPr>
      <w:keepNext/>
      <w:keepLines/>
      <w:numPr>
        <w:numId w:val="0"/>
      </w:numPr>
      <w:spacing w:before="240" w:after="0" w:line="259" w:lineRule="auto"/>
      <w:contextualSpacing w:val="0"/>
      <w:jc w:val="left"/>
      <w:outlineLvl w:val="9"/>
    </w:pPr>
    <w:rPr>
      <w:rFonts w:asciiTheme="majorHAnsi" w:eastAsiaTheme="majorEastAsia" w:hAnsiTheme="majorHAnsi" w:cstheme="majorBidi"/>
      <w:b w:val="0"/>
      <w:caps w:val="0"/>
      <w:color w:val="2E74B5" w:themeColor="accent1" w:themeShade="BF"/>
      <w:sz w:val="32"/>
      <w:szCs w:val="32"/>
      <w:lang w:val="en-US"/>
    </w:rPr>
  </w:style>
  <w:style w:type="paragraph" w:styleId="TOC1">
    <w:name w:val="toc 1"/>
    <w:basedOn w:val="Normal"/>
    <w:next w:val="Normal"/>
    <w:autoRedefine/>
    <w:uiPriority w:val="39"/>
    <w:unhideWhenUsed/>
    <w:rsid w:val="00BD0F72"/>
    <w:pPr>
      <w:tabs>
        <w:tab w:val="right" w:leader="dot" w:pos="9016"/>
      </w:tabs>
      <w:spacing w:after="100"/>
    </w:pPr>
    <w:rPr>
      <w:rFonts w:ascii="Arial" w:hAnsi="Arial" w:cs="Arial"/>
      <w:b/>
      <w:bCs/>
      <w:noProof/>
      <w:sz w:val="24"/>
      <w:szCs w:val="24"/>
    </w:rPr>
  </w:style>
  <w:style w:type="paragraph" w:styleId="TOC2">
    <w:name w:val="toc 2"/>
    <w:basedOn w:val="Normal"/>
    <w:next w:val="Normal"/>
    <w:autoRedefine/>
    <w:uiPriority w:val="39"/>
    <w:unhideWhenUsed/>
    <w:rsid w:val="004644D1"/>
    <w:pPr>
      <w:tabs>
        <w:tab w:val="left" w:pos="960"/>
        <w:tab w:val="right" w:leader="dot" w:pos="9016"/>
      </w:tabs>
      <w:spacing w:after="100"/>
      <w:ind w:left="220"/>
    </w:pPr>
  </w:style>
  <w:style w:type="paragraph" w:styleId="TOC3">
    <w:name w:val="toc 3"/>
    <w:basedOn w:val="Normal"/>
    <w:next w:val="Normal"/>
    <w:autoRedefine/>
    <w:uiPriority w:val="39"/>
    <w:unhideWhenUsed/>
    <w:rsid w:val="00D62A80"/>
    <w:pPr>
      <w:tabs>
        <w:tab w:val="right" w:leader="dot" w:pos="9016"/>
      </w:tabs>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ustomXml" Target="ink/ink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3.xml"/><Relationship Id="rId5" Type="http://schemas.openxmlformats.org/officeDocument/2006/relationships/webSettings" Target="webSettings.xml"/><Relationship Id="rId15" Type="http://schemas.openxmlformats.org/officeDocument/2006/relationships/customXml" Target="ink/ink5.xml"/><Relationship Id="rId10" Type="http://schemas.openxmlformats.org/officeDocument/2006/relationships/customXml" Target="ink/ink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1-28T18:55:49.882"/>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0 1,'0'0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2-13T11:13:38.505"/>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2-13T11:10:05.565"/>
    </inkml:context>
    <inkml:brush xml:id="br0">
      <inkml:brushProperty name="width" value="0.025" units="cm"/>
      <inkml:brushProperty name="height" value="0.025" units="cm"/>
    </inkml:brush>
  </inkml:definitions>
  <inkml:trace contextRef="#ctx0" brushRef="#br0">707 1761 24575,'8'-1'0,"-1"0"0,1-1 0,-1 1 0,0-1 0,0 0 0,0 0 0,0-1 0,0 0 0,-1 1 0,11-7 0,0 1 0,125-61 0,-5-4 0,-4-5 0,-5-3 0,218-180 0,-271 198 0,194-173 0,-244 210 0,-1-1 0,-3 0 0,-1-1 0,27-53 0,35-124 0,-32 69 0,-20 66 0,28-71 0,-43 89 0,-14 48 0,-1-1 0,1 1 0,-1-1 0,-1 1 0,1 0 0,-1-1 0,0 1 0,0 0 0,-4-8 0,4 10 0,1 1 0,-1 0 0,0 0 0,0 0 0,0 0 0,0 0 0,0 0 0,0 0 0,0 0 0,-1 0 0,1 0 0,0 0 0,-1 0 0,1 1 0,-1-1 0,1 0 0,-1 1 0,0-1 0,1 1 0,-1-1 0,0 1 0,-3-1 0,2 1 0,0 0 0,0 0 0,1 1 0,-1-1 0,0 0 0,0 1 0,0 0 0,0-1 0,0 1 0,0 0 0,1 0 0,-5 1 0,-4 4 0,1 0 0,-1 0 0,1 0 0,-16 14 0,-37 38 0,3 2 0,-76 103 0,86-98 0,5 1 0,3 2 0,-56 138 0,54-36 0,33-121 0,-13 37 0,-7 29 0,25-73 0,-4-1 0,-2 0 0,-2-1 0,-3 0 0,-3 0 0,-1-1 0,-4-1 0,-1-1 0,-3 0 0,-52 49 0,50-57 0,7-6 0,-1-1 0,-53 36 0,77-57 0,-1 0 0,1 0 0,-1 0 0,0 0 0,0 0 0,1 0 0,-1 0 0,0-1 0,0 1 0,0 0 0,0-1 0,0 1 0,0-1 0,0 0 0,-1 1 0,1-1 0,0 0 0,0 0 0,0 0 0,0 0 0,-1 0 0,1 0 0,0-1 0,0 1 0,-3-1 0,3 0 0,0 0 0,0 0 0,0-1 0,0 1 0,0 0 0,1-1 0,-1 1 0,0-1 0,1 1 0,-1-1 0,1 1 0,0-1 0,0 0 0,0 1 0,0-1 0,0 0 0,1 0 0,-1 0 0,1 1 0,-1-5 0,-1-15 0,2 1 0,0-1 0,2 0 0,1 1 0,2-1 0,8-22 0,62-121 0,-62 138 0,30-51 0,4 2 0,4 1 0,6 1 0,3 2 0,119-105 0,-143 146 0,1 2 0,3 0 0,79-44 0,-96 60 0,1 1 0,0 1 0,1 0 0,0 1 0,1 1 0,1 1 0,-1 0 0,2 2 0,38-5 0,-57 9 0,0 0 0,0 0 0,1 1 0,-1 0 0,14 2 0,-21-2 0,0 0 0,0 1 0,1-1 0,-1 1 0,0-1 0,0 1 0,0 0 0,0 0 0,0-1 0,-1 1 0,1 0 0,0 0 0,-1 0 0,1 1 0,-1-1 0,1 0 0,-1 0 0,0 0 0,1 1 0,-1-1 0,0 1 0,0-1 0,0 0 0,-1 1 0,1-1 0,-1 1 0,1-1 0,0 3 0,0 6 0,0-1 0,-1 1 0,0 0 0,-1 0 0,0 0 0,-1 0 0,-6 13 0,-36 68 0,26-57 0,-206 360 0,202-359 0,-3-1 0,-37 40 0,61-73 0,0 0 0,1 0 0,-1-1 0,0 1 0,0 0 0,0 0 0,1-1 0,-1 1 0,0 0 0,-1-1 0,1 1 0,0 0 0,0-1 0,-2 1 0,1-10 0,16-24 0,170-223 0,-120 171 0,275-326 0,-311 382 0,1 1 0,2 1 0,2 1 0,2 1 0,0 1 0,3 1 0,0 2 0,81-35 0,-114 54 0,-1 0 0,1 0 0,0 1 0,-1-1 0,1 1 0,0 0 0,1 0 0,-1 0 0,0 1 0,0-1 0,0 1 0,10 0 0,-13 0 0,0 1 0,0-1 0,1 1 0,-1-1 0,0 1 0,-1 0 0,1-1 0,0 1 0,0 0 0,0 0 0,-1 0 0,1 0 0,0 0 0,-1 0 0,1 0 0,-1 1 0,0-1 0,0 0 0,0 0 0,0 1 0,0-1 0,0 1 0,0-1 0,0 0 0,-1 1 0,1-1 0,-1 1 0,0-1 0,1 1 0,-1 0 0,0-1 0,-1 3 0,0 13 0,-1 1 0,-1 0 0,-1-1 0,-1 1 0,-10 18 0,2-3 0,-52 120 0,-2 5 0,53-119 0,-33 107 0,40-119 0,2 0 0,2 0 0,2 40 0,2-65 0,-1-1 0,0 1 0,0 0 0,1 0 0,0 0 0,-1 0 0,1 0 0,0-1 0,0 1 0,1 0 0,-1 0 0,0-1 0,1 1 0,0-1 0,-1 1 0,1-1 0,0 1 0,0-1 0,0 0 0,0 0 0,0 1 0,1-1 0,-1 0 0,0-1 0,1 1 0,-1 0 0,1 0 0,-1-1 0,1 1 0,0-1 0,4 1 0,8 0 0,0 0 0,1-1 0,-1 0 0,26-4 0,-16 2 0,22-2 0,-1-2 0,0-1 0,-1-2 0,0-1 0,62-20 0,-7-5 0,110-50 0,-78 23 0,208-128 0,93-97 0,-336 220 0,53-44 0,-149 110 0,0 1 0,0-1 0,0 0 0,0 1 0,0-1 0,-1 0 0,1 0 0,0 0 0,0 1 0,-1-1 0,1 0 0,-1 0 0,1 0 0,-1 0 0,1 0 0,-1 0 0,0 0 0,0 0 0,0 0 0,0 0 0,0 0 0,0 0 0,0 0 0,-1-1 0,0 1 0,0 0 0,0 0 0,0 0 0,0 0 0,0 0 0,-1 0 0,1 0 0,0 1 0,-1-1 0,1 0 0,-1 1 0,1-1 0,-1 1 0,0-1 0,1 1 0,-4-1 0,-10-1 0,1 0 0,-1 1 0,-24 0 0,33 1 0,-130 0 16,1 4 1,-183 23-1,-262 63-993,230-18 548,5 12-1,-363 126 1,-609 286-581,920-323 738,121-52 332,191-86 1113,248-84 1092,872-216-3261,1038-146-775,-1522 332 1196,-179 52 3101,-111 9-1710,-253 17-782,1 0 0,-1-1 0,0 1-1,0-1 1,12-5 0,9-2-1602,-11 5-5258</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1-26T18:07:41.526"/>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85 1,'0'0</inkml:trace>
  <inkml:trace contextRef="#ctx0" brushRef="#br0" timeOffset="1626.09">1 29,'0'0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2-13T11:14:13.627"/>
    </inkml:context>
    <inkml:brush xml:id="br0">
      <inkml:brushProperty name="width" value="0.05" units="cm"/>
      <inkml:brushProperty name="height" value="0.3" units="cm"/>
      <inkml:brushProperty name="color" value="#849398"/>
      <inkml:brushProperty name="ignorePressure" value="1"/>
      <inkml:brushProperty name="inkEffects" value="pencil"/>
    </inkml:brush>
  </inkml:definitions>
  <inkml:trace contextRef="#ctx0" brushRef="#br0">0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25F04E-0834-4FF0-9F4B-9AAEAB06C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91</Pages>
  <Words>23873</Words>
  <Characters>136078</Characters>
  <Application>Microsoft Office Word</Application>
  <DocSecurity>0</DocSecurity>
  <Lines>1133</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Moeketsi Ndlovu</cp:lastModifiedBy>
  <cp:revision>2</cp:revision>
  <cp:lastPrinted>2025-02-24T07:02:00Z</cp:lastPrinted>
  <dcterms:created xsi:type="dcterms:W3CDTF">2025-03-07T08:11:00Z</dcterms:created>
  <dcterms:modified xsi:type="dcterms:W3CDTF">2025-03-07T08:11:00Z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3c7cfee9-b037-4a69-b1f8-5ae0d88e71b3</vt:lpwstr>
  </property>
</Properties>
</file>