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979AB7" w14:textId="77777777" w:rsidR="00F12AE2" w:rsidRPr="00725F93" w:rsidRDefault="00F12AE2" w:rsidP="00F12AE2">
      <w:pPr>
        <w:tabs>
          <w:tab w:val="left" w:pos="426"/>
          <w:tab w:val="left" w:pos="709"/>
          <w:tab w:val="left" w:pos="993"/>
          <w:tab w:val="left" w:pos="1276"/>
        </w:tabs>
        <w:spacing w:after="0" w:line="360" w:lineRule="auto"/>
        <w:jc w:val="center"/>
        <w:rPr>
          <w:rFonts w:ascii="Arial" w:eastAsia="MS Mincho" w:hAnsi="Arial" w:cs="Arial"/>
          <w:b/>
          <w:kern w:val="0"/>
          <w:sz w:val="24"/>
          <w:szCs w:val="24"/>
          <w:lang w:eastAsia="en-ZA"/>
          <w14:ligatures w14:val="none"/>
        </w:rPr>
      </w:pPr>
      <w:r w:rsidRPr="00725F93">
        <w:rPr>
          <w:rFonts w:ascii="Arial" w:eastAsia="Arial" w:hAnsi="Arial" w:cs="Arial"/>
          <w:b/>
          <w:bCs/>
          <w:kern w:val="0"/>
          <w:sz w:val="28"/>
          <w:szCs w:val="28"/>
          <w:lang w:val="en-US"/>
          <w14:ligatures w14:val="none"/>
        </w:rPr>
        <w:t>Affirmative Action: When can it serve as a valid and lawful motivation during the selection process for appointment or promotion in the workplace?</w:t>
      </w:r>
    </w:p>
    <w:p w14:paraId="2A87BB29" w14:textId="77777777" w:rsidR="00BF5716" w:rsidRPr="009F38E3" w:rsidRDefault="00BF5716" w:rsidP="00BF5716">
      <w:pPr>
        <w:tabs>
          <w:tab w:val="left" w:pos="426"/>
          <w:tab w:val="left" w:pos="709"/>
          <w:tab w:val="left" w:pos="993"/>
          <w:tab w:val="left" w:pos="1276"/>
        </w:tabs>
        <w:spacing w:after="0" w:line="360" w:lineRule="auto"/>
        <w:jc w:val="both"/>
        <w:rPr>
          <w:rFonts w:ascii="Arial" w:eastAsia="MS Mincho" w:hAnsi="Arial" w:cs="Arial"/>
          <w:b/>
          <w:kern w:val="0"/>
          <w:sz w:val="24"/>
          <w:szCs w:val="24"/>
          <w:lang w:eastAsia="en-ZA"/>
          <w14:ligatures w14:val="none"/>
        </w:rPr>
      </w:pPr>
    </w:p>
    <w:p w14:paraId="3423E258"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5FAF2AA0"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By</w:t>
      </w:r>
    </w:p>
    <w:p w14:paraId="5E03221A"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39402174"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6C502918" w14:textId="454673AF"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PALESA NOMAGUGU DINGISWAYO</w:t>
      </w:r>
    </w:p>
    <w:p w14:paraId="5A456245"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32D7E847"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1FF6C542"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58FA4A2B"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 xml:space="preserve">Dissertation submitted in fulfilment of the requirements for the degree </w:t>
      </w:r>
    </w:p>
    <w:p w14:paraId="14FC419E" w14:textId="4FF776EA"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MASTER OF LAW IN LABOUR LAW</w:t>
      </w:r>
    </w:p>
    <w:p w14:paraId="2C6E16C0" w14:textId="315901F4"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 xml:space="preserve"> (LLM)</w:t>
      </w:r>
    </w:p>
    <w:p w14:paraId="166BA11D"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3A109573"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 xml:space="preserve">in the </w:t>
      </w:r>
    </w:p>
    <w:p w14:paraId="2942344C"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6BDD0114" w14:textId="6C365F96"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MERCENTILE DEPARTMENT</w:t>
      </w:r>
    </w:p>
    <w:p w14:paraId="187F4252" w14:textId="13140979"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FACULTY OF LAW</w:t>
      </w:r>
    </w:p>
    <w:p w14:paraId="6520068C"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UNIVERSITY OF THE FREE STATE</w:t>
      </w:r>
    </w:p>
    <w:p w14:paraId="18A822FF"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BLOEMFONTEIN</w:t>
      </w:r>
    </w:p>
    <w:p w14:paraId="055346F7"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66D6194A"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3E95287D"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7B3F1FDE" w14:textId="375F12AF"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NOVEMBER 2024</w:t>
      </w:r>
    </w:p>
    <w:p w14:paraId="3FB68D65"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595B3E5F"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1C74A4D2" w14:textId="77777777" w:rsidR="00BF5716" w:rsidRPr="009F38E3" w:rsidRDefault="00BF5716" w:rsidP="00BF5716">
      <w:pPr>
        <w:spacing w:after="0" w:line="360" w:lineRule="auto"/>
        <w:jc w:val="center"/>
        <w:rPr>
          <w:rFonts w:ascii="Arial" w:eastAsia="MS Mincho" w:hAnsi="Arial" w:cs="Arial"/>
          <w:b/>
          <w:kern w:val="0"/>
          <w:sz w:val="24"/>
          <w:szCs w:val="24"/>
          <w:lang w:eastAsia="en-ZA"/>
          <w14:ligatures w14:val="none"/>
        </w:rPr>
      </w:pPr>
    </w:p>
    <w:p w14:paraId="7DF0B88A" w14:textId="77777777" w:rsidR="00A266E5" w:rsidRPr="008A357A" w:rsidRDefault="00BF5716" w:rsidP="008A357A">
      <w:pPr>
        <w:jc w:val="center"/>
        <w:rPr>
          <w:rFonts w:ascii="Arial" w:hAnsi="Arial" w:cs="Arial"/>
          <w:b/>
          <w:bCs/>
          <w:sz w:val="24"/>
          <w:szCs w:val="24"/>
        </w:rPr>
        <w:sectPr w:rsidR="00A266E5" w:rsidRPr="008A357A" w:rsidSect="005177F8">
          <w:pgSz w:w="11906" w:h="16838"/>
          <w:pgMar w:top="1440" w:right="1440" w:bottom="1440" w:left="1440" w:header="708" w:footer="708" w:gutter="0"/>
          <w:pgNumType w:fmt="lowerRoman"/>
          <w:cols w:space="708"/>
          <w:docGrid w:linePitch="360"/>
        </w:sectPr>
      </w:pPr>
      <w:r w:rsidRPr="008A357A">
        <w:rPr>
          <w:rFonts w:ascii="Arial" w:hAnsi="Arial" w:cs="Arial"/>
          <w:b/>
          <w:bCs/>
          <w:sz w:val="24"/>
          <w:szCs w:val="24"/>
        </w:rPr>
        <w:t>STUDY LEADER: MS. MARALIZE CONRADIE</w:t>
      </w:r>
    </w:p>
    <w:p w14:paraId="65E727DE" w14:textId="169B1AFD" w:rsidR="00677E04" w:rsidRPr="009F38E3" w:rsidRDefault="00677E04" w:rsidP="008A357A">
      <w:pPr>
        <w:pStyle w:val="Heading1"/>
        <w:rPr>
          <w:rFonts w:eastAsia="MS Mincho"/>
          <w:lang w:eastAsia="en-ZA"/>
        </w:rPr>
      </w:pPr>
      <w:bookmarkStart w:id="0" w:name="_Toc189739249"/>
      <w:r w:rsidRPr="009F38E3">
        <w:rPr>
          <w:rFonts w:eastAsia="MS Mincho"/>
          <w:lang w:eastAsia="en-ZA"/>
        </w:rPr>
        <w:lastRenderedPageBreak/>
        <w:t>DECLARATION</w:t>
      </w:r>
      <w:bookmarkEnd w:id="0"/>
    </w:p>
    <w:p w14:paraId="6FF1595F" w14:textId="77777777" w:rsidR="00677E04" w:rsidRPr="009F38E3" w:rsidRDefault="00677E04" w:rsidP="00677E04">
      <w:pPr>
        <w:widowControl w:val="0"/>
        <w:spacing w:after="0" w:line="360" w:lineRule="auto"/>
        <w:jc w:val="both"/>
        <w:rPr>
          <w:rFonts w:ascii="Arial" w:eastAsia="MS Mincho" w:hAnsi="Arial" w:cs="Arial"/>
          <w:b/>
          <w:kern w:val="0"/>
          <w:sz w:val="24"/>
          <w:szCs w:val="24"/>
          <w:lang w:eastAsia="en-ZA"/>
          <w14:ligatures w14:val="none"/>
        </w:rPr>
      </w:pPr>
    </w:p>
    <w:p w14:paraId="18FE76AB" w14:textId="3ACF08A3" w:rsidR="00677E04" w:rsidRPr="009F38E3" w:rsidRDefault="00677E04" w:rsidP="00677E04">
      <w:pPr>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kern w:val="0"/>
          <w:sz w:val="24"/>
          <w:szCs w:val="24"/>
          <w:lang w:eastAsia="en-ZA"/>
          <w14:ligatures w14:val="none"/>
        </w:rPr>
        <w:t xml:space="preserve">I, Palesa Nomagugu Dingiswayo declare that the </w:t>
      </w:r>
      <w:proofErr w:type="gramStart"/>
      <w:r w:rsidRPr="009F38E3">
        <w:rPr>
          <w:rFonts w:ascii="Arial" w:eastAsia="MS Mincho" w:hAnsi="Arial" w:cs="Arial"/>
          <w:kern w:val="0"/>
          <w:sz w:val="24"/>
          <w:szCs w:val="24"/>
          <w:lang w:eastAsia="en-ZA"/>
          <w14:ligatures w14:val="none"/>
        </w:rPr>
        <w:t>Master’s</w:t>
      </w:r>
      <w:proofErr w:type="gramEnd"/>
      <w:r w:rsidRPr="009F38E3">
        <w:rPr>
          <w:rFonts w:ascii="Arial" w:eastAsia="MS Mincho" w:hAnsi="Arial" w:cs="Arial"/>
          <w:kern w:val="0"/>
          <w:sz w:val="24"/>
          <w:szCs w:val="24"/>
          <w:lang w:eastAsia="en-ZA"/>
          <w14:ligatures w14:val="none"/>
        </w:rPr>
        <w:t xml:space="preserve"> research dissertation that I herewith submit at the University of the Free State, is my independent work and that I have not previously submitted it for qualification at another institution of higher education. </w:t>
      </w:r>
    </w:p>
    <w:p w14:paraId="751B39FC" w14:textId="684FB860" w:rsidR="00677E04" w:rsidRPr="009F38E3" w:rsidRDefault="00AB5551" w:rsidP="00677E04">
      <w:pPr>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noProof/>
          <w:kern w:val="0"/>
          <w:sz w:val="24"/>
          <w:szCs w:val="24"/>
          <w:lang w:eastAsia="en-ZA"/>
        </w:rPr>
        <w:drawing>
          <wp:inline distT="0" distB="0" distL="0" distR="0" wp14:anchorId="379C0790" wp14:editId="39EADA3E">
            <wp:extent cx="1271214" cy="309988"/>
            <wp:effectExtent l="0" t="0" r="0" b="0"/>
            <wp:docPr id="13432592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259271" name="Picture 134325927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8667" cy="316682"/>
                    </a:xfrm>
                    <a:prstGeom prst="rect">
                      <a:avLst/>
                    </a:prstGeom>
                  </pic:spPr>
                </pic:pic>
              </a:graphicData>
            </a:graphic>
          </wp:inline>
        </w:drawing>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t>29 November 2024</w:t>
      </w:r>
    </w:p>
    <w:p w14:paraId="308C7DC5" w14:textId="684F269B"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_____________________</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__________________</w:t>
      </w:r>
    </w:p>
    <w:p w14:paraId="18C1C6E9" w14:textId="36514EF7"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Palesa Nomagugu Dingiswayo</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Date</w:t>
      </w:r>
    </w:p>
    <w:p w14:paraId="5CF8920A" w14:textId="77777777"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p>
    <w:p w14:paraId="470768B7" w14:textId="77777777"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p>
    <w:p w14:paraId="02492195" w14:textId="4C5E2707" w:rsidR="00677E04" w:rsidRPr="009F38E3" w:rsidRDefault="00677E04" w:rsidP="00677E04">
      <w:pPr>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kern w:val="0"/>
          <w:sz w:val="24"/>
          <w:szCs w:val="24"/>
          <w:lang w:eastAsia="en-ZA"/>
          <w14:ligatures w14:val="none"/>
        </w:rPr>
        <w:t xml:space="preserve">I, Palesa Nomagugu Dingiswayo declare that I am aware that the copyright is vested in the University of the Free State. </w:t>
      </w:r>
    </w:p>
    <w:p w14:paraId="4A99F039" w14:textId="51CA64F1" w:rsidR="00677E04" w:rsidRPr="009F38E3" w:rsidRDefault="00AB5551" w:rsidP="00677E04">
      <w:pPr>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noProof/>
          <w:kern w:val="0"/>
          <w:sz w:val="24"/>
          <w:szCs w:val="24"/>
          <w:lang w:eastAsia="en-ZA"/>
          <w14:ligatures w14:val="none"/>
        </w:rPr>
        <w:drawing>
          <wp:inline distT="0" distB="0" distL="0" distR="0" wp14:anchorId="19500FA3" wp14:editId="2ED23866">
            <wp:extent cx="1268095" cy="311150"/>
            <wp:effectExtent l="0" t="0" r="0" b="0"/>
            <wp:docPr id="7401027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68095" cy="311150"/>
                    </a:xfrm>
                    <a:prstGeom prst="rect">
                      <a:avLst/>
                    </a:prstGeom>
                    <a:noFill/>
                  </pic:spPr>
                </pic:pic>
              </a:graphicData>
            </a:graphic>
          </wp:inline>
        </w:drawing>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t>29 November 2024</w:t>
      </w:r>
    </w:p>
    <w:p w14:paraId="0EA1A32A" w14:textId="6AF5343A"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_____________________</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__________________</w:t>
      </w:r>
    </w:p>
    <w:p w14:paraId="69FD2E50" w14:textId="06C91347"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Palesa Nomagugu Dingiswayo</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Date</w:t>
      </w:r>
    </w:p>
    <w:p w14:paraId="1C58964F" w14:textId="77777777"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p>
    <w:p w14:paraId="0D8B2434" w14:textId="16FD3E75" w:rsidR="00677E04" w:rsidRPr="009F38E3" w:rsidRDefault="00677E04" w:rsidP="00677E04">
      <w:pPr>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kern w:val="0"/>
          <w:sz w:val="24"/>
          <w:szCs w:val="24"/>
          <w:lang w:eastAsia="en-ZA"/>
          <w14:ligatures w14:val="none"/>
        </w:rPr>
        <w:t xml:space="preserve">I, Palesa Nomagugu Dingiswayo declare that all royalties as regards to intellectual property that was developed </w:t>
      </w:r>
      <w:proofErr w:type="gramStart"/>
      <w:r w:rsidRPr="009F38E3">
        <w:rPr>
          <w:rFonts w:ascii="Arial" w:eastAsia="MS Mincho" w:hAnsi="Arial" w:cs="Arial"/>
          <w:kern w:val="0"/>
          <w:sz w:val="24"/>
          <w:szCs w:val="24"/>
          <w:lang w:eastAsia="en-ZA"/>
          <w14:ligatures w14:val="none"/>
        </w:rPr>
        <w:t>during the course of</w:t>
      </w:r>
      <w:proofErr w:type="gramEnd"/>
      <w:r w:rsidRPr="009F38E3">
        <w:rPr>
          <w:rFonts w:ascii="Arial" w:eastAsia="MS Mincho" w:hAnsi="Arial" w:cs="Arial"/>
          <w:kern w:val="0"/>
          <w:sz w:val="24"/>
          <w:szCs w:val="24"/>
          <w:lang w:eastAsia="en-ZA"/>
          <w14:ligatures w14:val="none"/>
        </w:rPr>
        <w:t xml:space="preserve"> and/or in connection with the study at the University of the Free State, will accrue to the University. </w:t>
      </w:r>
    </w:p>
    <w:p w14:paraId="5EC71A5F" w14:textId="77777777" w:rsidR="00677E04" w:rsidRPr="009F38E3" w:rsidRDefault="00677E04" w:rsidP="00677E04">
      <w:pPr>
        <w:spacing w:after="0" w:line="360" w:lineRule="auto"/>
        <w:jc w:val="both"/>
        <w:rPr>
          <w:rFonts w:ascii="Arial" w:eastAsia="MS Mincho" w:hAnsi="Arial" w:cs="Arial"/>
          <w:kern w:val="0"/>
          <w:sz w:val="24"/>
          <w:szCs w:val="24"/>
          <w:lang w:eastAsia="en-ZA"/>
          <w14:ligatures w14:val="none"/>
        </w:rPr>
      </w:pPr>
    </w:p>
    <w:p w14:paraId="2DF887A7" w14:textId="4BE64CF9" w:rsidR="00677E04" w:rsidRPr="009F38E3" w:rsidRDefault="00AB5551" w:rsidP="00677E04">
      <w:pPr>
        <w:tabs>
          <w:tab w:val="left" w:pos="4995"/>
        </w:tabs>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noProof/>
          <w:kern w:val="0"/>
          <w:sz w:val="24"/>
          <w:szCs w:val="24"/>
          <w:lang w:eastAsia="en-ZA"/>
          <w14:ligatures w14:val="none"/>
        </w:rPr>
        <w:drawing>
          <wp:inline distT="0" distB="0" distL="0" distR="0" wp14:anchorId="7F8725E5" wp14:editId="3E909664">
            <wp:extent cx="1268095" cy="311150"/>
            <wp:effectExtent l="0" t="0" r="0" b="0"/>
            <wp:docPr id="1259265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68095" cy="311150"/>
                    </a:xfrm>
                    <a:prstGeom prst="rect">
                      <a:avLst/>
                    </a:prstGeom>
                    <a:noFill/>
                  </pic:spPr>
                </pic:pic>
              </a:graphicData>
            </a:graphic>
          </wp:inline>
        </w:drawing>
      </w:r>
      <w:r w:rsidR="00677E04" w:rsidRPr="009F38E3">
        <w:rPr>
          <w:rFonts w:ascii="Arial" w:eastAsia="MS Mincho" w:hAnsi="Arial" w:cs="Arial"/>
          <w:kern w:val="0"/>
          <w:sz w:val="24"/>
          <w:szCs w:val="24"/>
          <w:lang w:eastAsia="en-ZA"/>
          <w14:ligatures w14:val="none"/>
        </w:rPr>
        <w:tab/>
        <w:t>29 November 2024</w:t>
      </w:r>
    </w:p>
    <w:p w14:paraId="3278E451" w14:textId="0930FB81"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_____________________</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__________________</w:t>
      </w:r>
    </w:p>
    <w:p w14:paraId="62DBB850" w14:textId="372D3DC9"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Palesa Nomagugu Dingiswayo</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Date</w:t>
      </w:r>
    </w:p>
    <w:p w14:paraId="420F51AC" w14:textId="77777777"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p>
    <w:p w14:paraId="60BD1E68" w14:textId="60339843" w:rsidR="00677E04" w:rsidRPr="009F38E3" w:rsidRDefault="00677E04" w:rsidP="00677E04">
      <w:pPr>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kern w:val="0"/>
          <w:sz w:val="24"/>
          <w:szCs w:val="24"/>
          <w:lang w:eastAsia="en-ZA"/>
          <w14:ligatures w14:val="none"/>
        </w:rPr>
        <w:t xml:space="preserve">I, Palesa Nomagugu Dingiswayo declare that I am aware that the research may only be published with the Dean’s approval. </w:t>
      </w:r>
    </w:p>
    <w:p w14:paraId="52445D56" w14:textId="7A050856" w:rsidR="00677E04" w:rsidRPr="009F38E3" w:rsidRDefault="00AB5551" w:rsidP="00677E04">
      <w:pPr>
        <w:spacing w:after="0" w:line="360" w:lineRule="auto"/>
        <w:jc w:val="both"/>
        <w:rPr>
          <w:rFonts w:ascii="Arial" w:eastAsia="MS Mincho" w:hAnsi="Arial" w:cs="Arial"/>
          <w:kern w:val="0"/>
          <w:sz w:val="24"/>
          <w:szCs w:val="24"/>
          <w:lang w:eastAsia="en-ZA"/>
          <w14:ligatures w14:val="none"/>
        </w:rPr>
      </w:pPr>
      <w:r w:rsidRPr="009F38E3">
        <w:rPr>
          <w:rFonts w:ascii="Arial" w:eastAsia="MS Mincho" w:hAnsi="Arial" w:cs="Arial"/>
          <w:noProof/>
          <w:kern w:val="0"/>
          <w:sz w:val="24"/>
          <w:szCs w:val="24"/>
          <w:lang w:eastAsia="en-ZA"/>
          <w14:ligatures w14:val="none"/>
        </w:rPr>
        <w:drawing>
          <wp:inline distT="0" distB="0" distL="0" distR="0" wp14:anchorId="427DAC22" wp14:editId="3D1FFEBD">
            <wp:extent cx="1268095" cy="311150"/>
            <wp:effectExtent l="0" t="0" r="0" b="0"/>
            <wp:docPr id="204965504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68095" cy="311150"/>
                    </a:xfrm>
                    <a:prstGeom prst="rect">
                      <a:avLst/>
                    </a:prstGeom>
                    <a:noFill/>
                  </pic:spPr>
                </pic:pic>
              </a:graphicData>
            </a:graphic>
          </wp:inline>
        </w:drawing>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r>
      <w:r w:rsidR="00677E04" w:rsidRPr="009F38E3">
        <w:rPr>
          <w:rFonts w:ascii="Arial" w:eastAsia="MS Mincho" w:hAnsi="Arial" w:cs="Arial"/>
          <w:kern w:val="0"/>
          <w:sz w:val="24"/>
          <w:szCs w:val="24"/>
          <w:lang w:eastAsia="en-ZA"/>
          <w14:ligatures w14:val="none"/>
        </w:rPr>
        <w:tab/>
        <w:t>29 November 2024</w:t>
      </w:r>
    </w:p>
    <w:p w14:paraId="23BD991D" w14:textId="3D88F030"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_____________________</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__________________</w:t>
      </w:r>
    </w:p>
    <w:p w14:paraId="3BA7C474" w14:textId="49732C84" w:rsidR="00677E04" w:rsidRPr="009F38E3" w:rsidRDefault="00677E04" w:rsidP="00677E04">
      <w:pPr>
        <w:spacing w:after="0" w:line="360" w:lineRule="auto"/>
        <w:jc w:val="both"/>
        <w:rPr>
          <w:rFonts w:ascii="Arial" w:eastAsia="MS Mincho" w:hAnsi="Arial" w:cs="Arial"/>
          <w:b/>
          <w:kern w:val="0"/>
          <w:sz w:val="24"/>
          <w:szCs w:val="24"/>
          <w:lang w:eastAsia="en-ZA"/>
          <w14:ligatures w14:val="none"/>
        </w:rPr>
      </w:pPr>
      <w:r w:rsidRPr="009F38E3">
        <w:rPr>
          <w:rFonts w:ascii="Arial" w:eastAsia="MS Mincho" w:hAnsi="Arial" w:cs="Arial"/>
          <w:b/>
          <w:kern w:val="0"/>
          <w:sz w:val="24"/>
          <w:szCs w:val="24"/>
          <w:lang w:eastAsia="en-ZA"/>
          <w14:ligatures w14:val="none"/>
        </w:rPr>
        <w:t>Palesa Nomagugu Dingiswayo</w:t>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r>
      <w:r w:rsidRPr="009F38E3">
        <w:rPr>
          <w:rFonts w:ascii="Arial" w:eastAsia="MS Mincho" w:hAnsi="Arial" w:cs="Arial"/>
          <w:b/>
          <w:kern w:val="0"/>
          <w:sz w:val="24"/>
          <w:szCs w:val="24"/>
          <w:lang w:eastAsia="en-ZA"/>
          <w14:ligatures w14:val="none"/>
        </w:rPr>
        <w:tab/>
        <w:t>Date</w:t>
      </w:r>
    </w:p>
    <w:p w14:paraId="0A3DE8B8" w14:textId="77777777" w:rsidR="000445FC" w:rsidRPr="009F38E3" w:rsidRDefault="000445FC" w:rsidP="008A357A">
      <w:pPr>
        <w:pStyle w:val="Heading1"/>
        <w:rPr>
          <w:rFonts w:eastAsia="MS Mincho"/>
          <w:lang w:eastAsia="en-ZA"/>
        </w:rPr>
      </w:pPr>
      <w:bookmarkStart w:id="1" w:name="_Toc189739250"/>
      <w:r w:rsidRPr="009F38E3">
        <w:rPr>
          <w:rFonts w:eastAsia="MS Mincho"/>
          <w:lang w:eastAsia="en-ZA"/>
        </w:rPr>
        <w:lastRenderedPageBreak/>
        <w:t>ACKNOWLEDGEMENTS</w:t>
      </w:r>
      <w:bookmarkEnd w:id="1"/>
    </w:p>
    <w:p w14:paraId="2E286498" w14:textId="77777777" w:rsidR="00677E04" w:rsidRPr="009F38E3" w:rsidRDefault="00677E04" w:rsidP="00677E04">
      <w:pPr>
        <w:spacing w:after="0" w:line="360" w:lineRule="auto"/>
        <w:jc w:val="both"/>
        <w:rPr>
          <w:rFonts w:ascii="Arial" w:eastAsia="MS Mincho" w:hAnsi="Arial" w:cs="Arial"/>
          <w:bCs/>
          <w:kern w:val="0"/>
          <w:sz w:val="24"/>
          <w:szCs w:val="24"/>
          <w:lang w:eastAsia="en-ZA"/>
          <w14:ligatures w14:val="none"/>
        </w:rPr>
      </w:pPr>
    </w:p>
    <w:p w14:paraId="2CCDBA46" w14:textId="77777777" w:rsidR="000445FC" w:rsidRPr="009F38E3" w:rsidRDefault="000445FC" w:rsidP="000445FC">
      <w:pPr>
        <w:spacing w:after="200" w:line="360" w:lineRule="auto"/>
        <w:jc w:val="both"/>
        <w:rPr>
          <w:rFonts w:ascii="Arial" w:eastAsia="MS Mincho" w:hAnsi="Arial" w:cs="Arial"/>
          <w:bCs/>
          <w:kern w:val="0"/>
          <w:sz w:val="24"/>
          <w:szCs w:val="24"/>
          <w:lang w:eastAsia="en-ZA"/>
          <w14:ligatures w14:val="none"/>
        </w:rPr>
      </w:pPr>
      <w:r w:rsidRPr="009F38E3">
        <w:rPr>
          <w:rFonts w:ascii="Arial" w:eastAsia="MS Mincho" w:hAnsi="Arial" w:cs="Arial"/>
          <w:bCs/>
          <w:kern w:val="0"/>
          <w:sz w:val="24"/>
          <w:szCs w:val="24"/>
          <w:lang w:eastAsia="en-ZA"/>
          <w14:ligatures w14:val="none"/>
        </w:rPr>
        <w:t>This journey has been both challenging and fulfilling, and I owe its completion to the support, guidance, and love of many remarkable people in my life.</w:t>
      </w:r>
    </w:p>
    <w:p w14:paraId="6B6FEC87" w14:textId="77777777" w:rsidR="000445FC" w:rsidRPr="009F38E3" w:rsidRDefault="000445FC" w:rsidP="000445FC">
      <w:pPr>
        <w:spacing w:after="200" w:line="360" w:lineRule="auto"/>
        <w:jc w:val="both"/>
        <w:rPr>
          <w:rFonts w:ascii="Arial" w:eastAsia="MS Mincho" w:hAnsi="Arial" w:cs="Arial"/>
          <w:bCs/>
          <w:kern w:val="0"/>
          <w:sz w:val="24"/>
          <w:szCs w:val="24"/>
          <w:lang w:eastAsia="en-ZA"/>
          <w14:ligatures w14:val="none"/>
        </w:rPr>
      </w:pPr>
      <w:r w:rsidRPr="009F38E3">
        <w:rPr>
          <w:rFonts w:ascii="Arial" w:eastAsia="MS Mincho" w:hAnsi="Arial" w:cs="Arial"/>
          <w:bCs/>
          <w:kern w:val="0"/>
          <w:sz w:val="24"/>
          <w:szCs w:val="24"/>
          <w:lang w:eastAsia="en-ZA"/>
          <w14:ligatures w14:val="none"/>
        </w:rPr>
        <w:t xml:space="preserve">To my supervisor, Mev. </w:t>
      </w:r>
      <w:proofErr w:type="spellStart"/>
      <w:r w:rsidRPr="009F38E3">
        <w:rPr>
          <w:rFonts w:ascii="Arial" w:eastAsia="MS Mincho" w:hAnsi="Arial" w:cs="Arial"/>
          <w:bCs/>
          <w:kern w:val="0"/>
          <w:sz w:val="24"/>
          <w:szCs w:val="24"/>
          <w:lang w:eastAsia="en-ZA"/>
          <w14:ligatures w14:val="none"/>
        </w:rPr>
        <w:t>Maralize</w:t>
      </w:r>
      <w:proofErr w:type="spellEnd"/>
      <w:r w:rsidRPr="009F38E3">
        <w:rPr>
          <w:rFonts w:ascii="Arial" w:eastAsia="MS Mincho" w:hAnsi="Arial" w:cs="Arial"/>
          <w:bCs/>
          <w:kern w:val="0"/>
          <w:sz w:val="24"/>
          <w:szCs w:val="24"/>
          <w:lang w:eastAsia="en-ZA"/>
          <w14:ligatures w14:val="none"/>
        </w:rPr>
        <w:t xml:space="preserve"> Conradie, thank you for your invaluable mentorship, patience, and unwavering support. Your insightful guidance has shaped this research into something I am proud of. You believed in my abilities even when I doubted myself, and for that, I will forever be grateful. Your encouragement has been a source of strength throughout this process.</w:t>
      </w:r>
    </w:p>
    <w:p w14:paraId="3FD1D81D" w14:textId="77777777" w:rsidR="000445FC" w:rsidRPr="009F38E3" w:rsidRDefault="000445FC" w:rsidP="000445FC">
      <w:pPr>
        <w:spacing w:after="200" w:line="360" w:lineRule="auto"/>
        <w:jc w:val="both"/>
        <w:rPr>
          <w:rFonts w:ascii="Arial" w:eastAsia="MS Mincho" w:hAnsi="Arial" w:cs="Arial"/>
          <w:bCs/>
          <w:kern w:val="0"/>
          <w:sz w:val="24"/>
          <w:szCs w:val="24"/>
          <w:lang w:eastAsia="en-ZA"/>
          <w14:ligatures w14:val="none"/>
        </w:rPr>
      </w:pPr>
      <w:r w:rsidRPr="009F38E3">
        <w:rPr>
          <w:rFonts w:ascii="Arial" w:eastAsia="MS Mincho" w:hAnsi="Arial" w:cs="Arial"/>
          <w:bCs/>
          <w:kern w:val="0"/>
          <w:sz w:val="24"/>
          <w:szCs w:val="24"/>
          <w:lang w:eastAsia="en-ZA"/>
          <w14:ligatures w14:val="none"/>
        </w:rPr>
        <w:t>To my mother, Yvonne Dingiswayo, and my little sister, Busisiwe Dingiswayo, you are the bedrock of my life. Mom, your sacrifices, prayers, and unconditional love have given me the courage to push forward even during the toughest moments. You’ve shown me the true meaning of resilience and grace. Busisiwe, your cheerfulness and constant faith in me have kept my spirit uplifted. You are my sunshine on the darkest days, and I treasure you deeply.</w:t>
      </w:r>
    </w:p>
    <w:p w14:paraId="705CA354" w14:textId="2A947EC3" w:rsidR="000445FC" w:rsidRPr="009F38E3" w:rsidRDefault="000445FC" w:rsidP="000445FC">
      <w:pPr>
        <w:spacing w:after="200" w:line="360" w:lineRule="auto"/>
        <w:jc w:val="both"/>
        <w:rPr>
          <w:rFonts w:ascii="Arial" w:eastAsia="MS Mincho" w:hAnsi="Arial" w:cs="Arial"/>
          <w:bCs/>
          <w:kern w:val="0"/>
          <w:sz w:val="24"/>
          <w:szCs w:val="24"/>
          <w:lang w:eastAsia="en-ZA"/>
          <w14:ligatures w14:val="none"/>
        </w:rPr>
      </w:pPr>
      <w:r w:rsidRPr="009F38E3">
        <w:rPr>
          <w:rFonts w:ascii="Arial" w:eastAsia="MS Mincho" w:hAnsi="Arial" w:cs="Arial"/>
          <w:bCs/>
          <w:kern w:val="0"/>
          <w:sz w:val="24"/>
          <w:szCs w:val="24"/>
          <w:lang w:eastAsia="en-ZA"/>
          <w14:ligatures w14:val="none"/>
        </w:rPr>
        <w:t xml:space="preserve">This work is lovingly dedicated to my son, </w:t>
      </w:r>
      <w:proofErr w:type="spellStart"/>
      <w:r w:rsidRPr="009F38E3">
        <w:rPr>
          <w:rFonts w:ascii="Arial" w:eastAsia="MS Mincho" w:hAnsi="Arial" w:cs="Arial"/>
          <w:bCs/>
          <w:kern w:val="0"/>
          <w:sz w:val="24"/>
          <w:szCs w:val="24"/>
          <w:lang w:eastAsia="en-ZA"/>
          <w14:ligatures w14:val="none"/>
        </w:rPr>
        <w:t>Reotshepile</w:t>
      </w:r>
      <w:proofErr w:type="spellEnd"/>
      <w:r w:rsidRPr="009F38E3">
        <w:rPr>
          <w:rFonts w:ascii="Arial" w:eastAsia="MS Mincho" w:hAnsi="Arial" w:cs="Arial"/>
          <w:bCs/>
          <w:kern w:val="0"/>
          <w:sz w:val="24"/>
          <w:szCs w:val="24"/>
          <w:lang w:eastAsia="en-ZA"/>
          <w14:ligatures w14:val="none"/>
        </w:rPr>
        <w:t xml:space="preserve"> Dingiswayo. You are my greatest inspiration and the reason I strive to be the best version of myself. Watching you grow fills my heart with immense joy and pride. This research is a testament to my hope for a brighter and more equitable world for you and future generations.</w:t>
      </w:r>
    </w:p>
    <w:p w14:paraId="2CF2C2B4" w14:textId="77777777" w:rsidR="000445FC" w:rsidRPr="009F38E3" w:rsidRDefault="000445FC" w:rsidP="000445FC">
      <w:pPr>
        <w:spacing w:after="200" w:line="360" w:lineRule="auto"/>
        <w:jc w:val="both"/>
        <w:rPr>
          <w:rFonts w:ascii="Arial" w:eastAsia="MS Mincho" w:hAnsi="Arial" w:cs="Arial"/>
          <w:bCs/>
          <w:kern w:val="0"/>
          <w:sz w:val="24"/>
          <w:szCs w:val="24"/>
          <w:lang w:eastAsia="en-ZA"/>
          <w14:ligatures w14:val="none"/>
        </w:rPr>
      </w:pPr>
      <w:r w:rsidRPr="009F38E3">
        <w:rPr>
          <w:rFonts w:ascii="Arial" w:eastAsia="MS Mincho" w:hAnsi="Arial" w:cs="Arial"/>
          <w:bCs/>
          <w:kern w:val="0"/>
          <w:sz w:val="24"/>
          <w:szCs w:val="24"/>
          <w:lang w:eastAsia="en-ZA"/>
          <w14:ligatures w14:val="none"/>
        </w:rPr>
        <w:t>To my family and loved ones, your love and unwavering belief in me have carried me through this journey. To every family member, friend, and confidant who stood by me, thank you for your words of encouragement, your laughter when I needed it most, and your reminders to keep going when I felt overwhelmed. Your support has been my anchor, and I am blessed to have you in my life.</w:t>
      </w:r>
    </w:p>
    <w:p w14:paraId="78245086" w14:textId="77777777" w:rsidR="000445FC" w:rsidRPr="009F38E3" w:rsidRDefault="000445FC" w:rsidP="000445FC">
      <w:pPr>
        <w:spacing w:after="200" w:line="360" w:lineRule="auto"/>
        <w:jc w:val="both"/>
        <w:rPr>
          <w:rFonts w:ascii="Arial" w:eastAsia="MS Mincho" w:hAnsi="Arial" w:cs="Arial"/>
          <w:bCs/>
          <w:kern w:val="0"/>
          <w:sz w:val="24"/>
          <w:szCs w:val="24"/>
          <w:lang w:eastAsia="en-ZA"/>
          <w14:ligatures w14:val="none"/>
        </w:rPr>
      </w:pPr>
      <w:r w:rsidRPr="009F38E3">
        <w:rPr>
          <w:rFonts w:ascii="Arial" w:eastAsia="MS Mincho" w:hAnsi="Arial" w:cs="Arial"/>
          <w:bCs/>
          <w:kern w:val="0"/>
          <w:sz w:val="24"/>
          <w:szCs w:val="24"/>
          <w:lang w:eastAsia="en-ZA"/>
          <w14:ligatures w14:val="none"/>
        </w:rPr>
        <w:t xml:space="preserve">Above all, I thank God for His grace, provision, and strength that has carried me to the finish line. This achievement </w:t>
      </w:r>
      <w:proofErr w:type="gramStart"/>
      <w:r w:rsidRPr="009F38E3">
        <w:rPr>
          <w:rFonts w:ascii="Arial" w:eastAsia="MS Mincho" w:hAnsi="Arial" w:cs="Arial"/>
          <w:bCs/>
          <w:kern w:val="0"/>
          <w:sz w:val="24"/>
          <w:szCs w:val="24"/>
          <w:lang w:eastAsia="en-ZA"/>
          <w14:ligatures w14:val="none"/>
        </w:rPr>
        <w:t>is a reflection of</w:t>
      </w:r>
      <w:proofErr w:type="gramEnd"/>
      <w:r w:rsidRPr="009F38E3">
        <w:rPr>
          <w:rFonts w:ascii="Arial" w:eastAsia="MS Mincho" w:hAnsi="Arial" w:cs="Arial"/>
          <w:bCs/>
          <w:kern w:val="0"/>
          <w:sz w:val="24"/>
          <w:szCs w:val="24"/>
          <w:lang w:eastAsia="en-ZA"/>
          <w14:ligatures w14:val="none"/>
        </w:rPr>
        <w:t xml:space="preserve"> His love and faithfulness.</w:t>
      </w:r>
    </w:p>
    <w:p w14:paraId="24321C6B" w14:textId="2478B81A" w:rsidR="000445FC" w:rsidRPr="009F38E3" w:rsidRDefault="000445FC" w:rsidP="000445FC">
      <w:pPr>
        <w:spacing w:after="200" w:line="360" w:lineRule="auto"/>
        <w:jc w:val="both"/>
        <w:rPr>
          <w:rFonts w:ascii="Arial" w:eastAsia="MS Mincho" w:hAnsi="Arial" w:cs="Arial"/>
          <w:bCs/>
          <w:kern w:val="0"/>
          <w:sz w:val="24"/>
          <w:szCs w:val="24"/>
          <w:lang w:eastAsia="en-ZA"/>
          <w14:ligatures w14:val="none"/>
        </w:rPr>
      </w:pPr>
      <w:r w:rsidRPr="009F38E3">
        <w:rPr>
          <w:rFonts w:ascii="Arial" w:eastAsia="MS Mincho" w:hAnsi="Arial" w:cs="Arial"/>
          <w:bCs/>
          <w:kern w:val="0"/>
          <w:sz w:val="24"/>
          <w:szCs w:val="24"/>
          <w:lang w:eastAsia="en-ZA"/>
          <w14:ligatures w14:val="none"/>
        </w:rPr>
        <w:t>With love and gratitude.</w:t>
      </w:r>
    </w:p>
    <w:p w14:paraId="626330C8" w14:textId="77777777" w:rsidR="00C83CBD" w:rsidRPr="008A357A" w:rsidRDefault="00677E04" w:rsidP="008A357A">
      <w:pPr>
        <w:pStyle w:val="Heading1"/>
        <w:jc w:val="center"/>
        <w:rPr>
          <w:rFonts w:eastAsia="MS Mincho"/>
          <w:sz w:val="28"/>
          <w:szCs w:val="28"/>
          <w:lang w:eastAsia="en-ZA"/>
        </w:rPr>
      </w:pPr>
      <w:r w:rsidRPr="009F38E3">
        <w:rPr>
          <w:rFonts w:eastAsia="MS Mincho"/>
          <w:szCs w:val="24"/>
          <w:lang w:eastAsia="en-ZA"/>
        </w:rPr>
        <w:br w:type="page"/>
      </w:r>
      <w:bookmarkStart w:id="2" w:name="_Toc189739251"/>
      <w:r w:rsidR="00C83CBD" w:rsidRPr="00535DFB">
        <w:rPr>
          <w:rFonts w:eastAsia="MS Mincho"/>
          <w:sz w:val="28"/>
          <w:szCs w:val="28"/>
          <w:lang w:eastAsia="en-ZA"/>
        </w:rPr>
        <w:lastRenderedPageBreak/>
        <w:t>ABSTRACT</w:t>
      </w:r>
      <w:bookmarkEnd w:id="2"/>
    </w:p>
    <w:p w14:paraId="7EC46CA7" w14:textId="0F368CC0" w:rsidR="00FE1ADD" w:rsidRPr="00FE1ADD" w:rsidRDefault="00FE1ADD" w:rsidP="00FE1ADD">
      <w:pPr>
        <w:spacing w:line="360" w:lineRule="auto"/>
        <w:jc w:val="both"/>
        <w:rPr>
          <w:rFonts w:ascii="Arial" w:eastAsia="MS Mincho" w:hAnsi="Arial" w:cs="Arial"/>
          <w:bCs/>
          <w:kern w:val="0"/>
          <w:sz w:val="24"/>
          <w:szCs w:val="24"/>
          <w:lang w:val="en-ZA" w:eastAsia="en-ZA"/>
          <w14:ligatures w14:val="none"/>
        </w:rPr>
      </w:pPr>
      <w:r w:rsidRPr="00FE1ADD">
        <w:rPr>
          <w:rFonts w:ascii="Arial" w:eastAsia="MS Mincho" w:hAnsi="Arial" w:cs="Arial"/>
          <w:bCs/>
          <w:kern w:val="0"/>
          <w:sz w:val="24"/>
          <w:szCs w:val="24"/>
          <w:lang w:val="en-ZA" w:eastAsia="en-ZA"/>
          <w14:ligatures w14:val="none"/>
        </w:rPr>
        <w:t xml:space="preserve">This study critically examines the use of affirmative action as a constitutionally sound and legally viable practice in South African employment during the hiring and promotion selection processes. With its roots in section 9(2) of the </w:t>
      </w:r>
      <w:r w:rsidRPr="00FE1ADD">
        <w:rPr>
          <w:rFonts w:ascii="Arial" w:eastAsia="MS Mincho" w:hAnsi="Arial" w:cs="Arial"/>
          <w:bCs/>
          <w:i/>
          <w:iCs/>
          <w:kern w:val="0"/>
          <w:sz w:val="24"/>
          <w:szCs w:val="24"/>
          <w:lang w:val="en-ZA" w:eastAsia="en-ZA"/>
          <w14:ligatures w14:val="none"/>
        </w:rPr>
        <w:t>Constitution</w:t>
      </w:r>
      <w:r w:rsidRPr="00FE1ADD">
        <w:rPr>
          <w:rFonts w:ascii="Arial" w:eastAsia="MS Mincho" w:hAnsi="Arial" w:cs="Arial"/>
          <w:bCs/>
          <w:kern w:val="0"/>
          <w:sz w:val="24"/>
          <w:szCs w:val="24"/>
          <w:lang w:val="en-ZA" w:eastAsia="en-ZA"/>
          <w14:ligatures w14:val="none"/>
        </w:rPr>
        <w:t xml:space="preserve"> and its legislative advancement through the </w:t>
      </w:r>
      <w:r w:rsidRPr="00FE1ADD">
        <w:rPr>
          <w:rFonts w:ascii="Arial" w:eastAsia="MS Mincho" w:hAnsi="Arial" w:cs="Arial"/>
          <w:bCs/>
          <w:i/>
          <w:iCs/>
          <w:kern w:val="0"/>
          <w:sz w:val="24"/>
          <w:szCs w:val="24"/>
          <w:lang w:val="en-ZA" w:eastAsia="en-ZA"/>
          <w14:ligatures w14:val="none"/>
        </w:rPr>
        <w:t>Employment Equity Act</w:t>
      </w:r>
      <w:r w:rsidRPr="00FE1ADD">
        <w:rPr>
          <w:rFonts w:ascii="Arial" w:eastAsia="MS Mincho" w:hAnsi="Arial" w:cs="Arial"/>
          <w:bCs/>
          <w:kern w:val="0"/>
          <w:sz w:val="24"/>
          <w:szCs w:val="24"/>
          <w:lang w:val="en-ZA" w:eastAsia="en-ZA"/>
          <w14:ligatures w14:val="none"/>
        </w:rPr>
        <w:t>, affirmative action is a crucial tactic for addressing the long-standing injustices that apartheid-era legislation has maintained. Even though affirmative action is meant to be transformative, its implementation poses difficult problems with proportionality, fairness, rationality, and striking a balance between individual rights and social justice.</w:t>
      </w:r>
      <w:r>
        <w:rPr>
          <w:rFonts w:ascii="Arial" w:eastAsia="MS Mincho" w:hAnsi="Arial" w:cs="Arial"/>
          <w:bCs/>
          <w:kern w:val="0"/>
          <w:sz w:val="24"/>
          <w:szCs w:val="24"/>
          <w:lang w:val="en-ZA" w:eastAsia="en-ZA"/>
          <w14:ligatures w14:val="none"/>
        </w:rPr>
        <w:t xml:space="preserve"> </w:t>
      </w:r>
      <w:r w:rsidRPr="00FE1ADD">
        <w:rPr>
          <w:rFonts w:ascii="Arial" w:eastAsia="MS Mincho" w:hAnsi="Arial" w:cs="Arial"/>
          <w:bCs/>
          <w:kern w:val="0"/>
          <w:sz w:val="24"/>
          <w:szCs w:val="24"/>
          <w:lang w:val="en-ZA" w:eastAsia="en-ZA"/>
          <w14:ligatures w14:val="none"/>
        </w:rPr>
        <w:t xml:space="preserve">In Chapter 1, the research problem is presented, along with the legislative framework that governs the execution of affirmative action and contextualizes it as a method for substantive equality. Chapter 2 explores the legal and historical roots of workplace inequality, examining the development of post-constitutional reforms such as the </w:t>
      </w:r>
      <w:r w:rsidRPr="00FE1ADD">
        <w:rPr>
          <w:rFonts w:ascii="Arial" w:eastAsia="MS Mincho" w:hAnsi="Arial" w:cs="Arial"/>
          <w:bCs/>
          <w:i/>
          <w:iCs/>
          <w:kern w:val="0"/>
          <w:sz w:val="24"/>
          <w:szCs w:val="24"/>
          <w:lang w:val="en-ZA" w:eastAsia="en-ZA"/>
          <w14:ligatures w14:val="none"/>
        </w:rPr>
        <w:t>Broad-Based Black Economic Empowerment Act</w:t>
      </w:r>
      <w:r w:rsidRPr="00FE1ADD">
        <w:rPr>
          <w:rFonts w:ascii="Arial" w:eastAsia="MS Mincho" w:hAnsi="Arial" w:cs="Arial"/>
          <w:bCs/>
          <w:kern w:val="0"/>
          <w:sz w:val="24"/>
          <w:szCs w:val="24"/>
          <w:lang w:val="en-ZA" w:eastAsia="en-ZA"/>
          <w14:ligatures w14:val="none"/>
        </w:rPr>
        <w:t xml:space="preserve"> and the </w:t>
      </w:r>
      <w:r w:rsidRPr="00FE1ADD">
        <w:rPr>
          <w:rFonts w:ascii="Arial" w:eastAsia="MS Mincho" w:hAnsi="Arial" w:cs="Arial"/>
          <w:bCs/>
          <w:i/>
          <w:iCs/>
          <w:kern w:val="0"/>
          <w:sz w:val="24"/>
          <w:szCs w:val="24"/>
          <w:lang w:val="en-ZA" w:eastAsia="en-ZA"/>
          <w14:ligatures w14:val="none"/>
        </w:rPr>
        <w:t>Employment Equity Act</w:t>
      </w:r>
      <w:r w:rsidRPr="00FE1ADD">
        <w:rPr>
          <w:rFonts w:ascii="Arial" w:eastAsia="MS Mincho" w:hAnsi="Arial" w:cs="Arial"/>
          <w:bCs/>
          <w:kern w:val="0"/>
          <w:sz w:val="24"/>
          <w:szCs w:val="24"/>
          <w:lang w:val="en-ZA" w:eastAsia="en-ZA"/>
          <w14:ligatures w14:val="none"/>
        </w:rPr>
        <w:t xml:space="preserve"> from colonial and apartheid-era labo</w:t>
      </w:r>
      <w:r>
        <w:rPr>
          <w:rFonts w:ascii="Arial" w:eastAsia="MS Mincho" w:hAnsi="Arial" w:cs="Arial"/>
          <w:bCs/>
          <w:kern w:val="0"/>
          <w:sz w:val="24"/>
          <w:szCs w:val="24"/>
          <w:lang w:val="en-ZA" w:eastAsia="en-ZA"/>
          <w14:ligatures w14:val="none"/>
        </w:rPr>
        <w:t>u</w:t>
      </w:r>
      <w:r w:rsidRPr="00FE1ADD">
        <w:rPr>
          <w:rFonts w:ascii="Arial" w:eastAsia="MS Mincho" w:hAnsi="Arial" w:cs="Arial"/>
          <w:bCs/>
          <w:kern w:val="0"/>
          <w:sz w:val="24"/>
          <w:szCs w:val="24"/>
          <w:lang w:val="en-ZA" w:eastAsia="en-ZA"/>
          <w14:ligatures w14:val="none"/>
        </w:rPr>
        <w:t xml:space="preserve">r legislation. Additionally, the chapter makes a distinction between formal and substantive equality, claiming that the latter is the fundamental idea that gives affirmative action its legitimacy. With an emphasis on adherence to statutory mandates and constitutional principles, Chapter 3 explores the legal prerequisites for legitimate affirmative action policies. Significant court rulings are assessed in the study, such as </w:t>
      </w:r>
      <w:r w:rsidRPr="00FE1ADD">
        <w:rPr>
          <w:rFonts w:ascii="Arial" w:eastAsia="MS Mincho" w:hAnsi="Arial" w:cs="Arial"/>
          <w:bCs/>
          <w:i/>
          <w:iCs/>
          <w:kern w:val="0"/>
          <w:sz w:val="24"/>
          <w:szCs w:val="24"/>
          <w:lang w:val="en-ZA" w:eastAsia="en-ZA"/>
          <w14:ligatures w14:val="none"/>
        </w:rPr>
        <w:t>South African Police Service v Solidarity obo Barnard</w:t>
      </w:r>
      <w:r w:rsidRPr="00FE1ADD">
        <w:rPr>
          <w:rFonts w:ascii="Arial" w:eastAsia="MS Mincho" w:hAnsi="Arial" w:cs="Arial"/>
          <w:bCs/>
          <w:kern w:val="0"/>
          <w:sz w:val="24"/>
          <w:szCs w:val="24"/>
          <w:lang w:val="en-ZA" w:eastAsia="en-ZA"/>
          <w14:ligatures w14:val="none"/>
        </w:rPr>
        <w:t xml:space="preserve">, which upheld the need for reasonable and proportionate affirmative action practices that support substantive equality. The study </w:t>
      </w:r>
      <w:proofErr w:type="gramStart"/>
      <w:r w:rsidRPr="00FE1ADD">
        <w:rPr>
          <w:rFonts w:ascii="Arial" w:eastAsia="MS Mincho" w:hAnsi="Arial" w:cs="Arial"/>
          <w:bCs/>
          <w:kern w:val="0"/>
          <w:sz w:val="24"/>
          <w:szCs w:val="24"/>
          <w:lang w:val="en-ZA" w:eastAsia="en-ZA"/>
          <w14:ligatures w14:val="none"/>
        </w:rPr>
        <w:t>comes to the conclusion</w:t>
      </w:r>
      <w:proofErr w:type="gramEnd"/>
      <w:r w:rsidRPr="00FE1ADD">
        <w:rPr>
          <w:rFonts w:ascii="Arial" w:eastAsia="MS Mincho" w:hAnsi="Arial" w:cs="Arial"/>
          <w:bCs/>
          <w:kern w:val="0"/>
          <w:sz w:val="24"/>
          <w:szCs w:val="24"/>
          <w:lang w:val="en-ZA" w:eastAsia="en-ZA"/>
          <w14:ligatures w14:val="none"/>
        </w:rPr>
        <w:t xml:space="preserve"> that although affirmative action is essential for promoting workplace change and redress, its application must respect constitutional protections to avoid abuse, reverse discrimination, and ongoing inequality. Through a critical examination of legal frameworks, historical underpinnings, and judicial precedents, this study adds to the conversation about the limitations and effectiveness of affirmative action in promoting fair employment practices in South Africa.</w:t>
      </w:r>
    </w:p>
    <w:p w14:paraId="741C075C" w14:textId="50893EE6" w:rsidR="00FE1ADD" w:rsidRPr="00FE1ADD" w:rsidRDefault="00FE1ADD" w:rsidP="00FE1ADD">
      <w:pPr>
        <w:spacing w:line="360" w:lineRule="auto"/>
        <w:jc w:val="both"/>
        <w:rPr>
          <w:rFonts w:ascii="Arial" w:eastAsia="MS Mincho" w:hAnsi="Arial" w:cs="Arial"/>
          <w:bCs/>
          <w:kern w:val="0"/>
          <w:sz w:val="24"/>
          <w:szCs w:val="24"/>
          <w:lang w:val="en-ZA" w:eastAsia="en-ZA"/>
          <w14:ligatures w14:val="none"/>
        </w:rPr>
      </w:pPr>
    </w:p>
    <w:p w14:paraId="60F1E65C" w14:textId="1A1DF3BB" w:rsidR="0017055A" w:rsidRDefault="00694A97" w:rsidP="00175A62">
      <w:pPr>
        <w:spacing w:line="360" w:lineRule="auto"/>
        <w:jc w:val="both"/>
        <w:rPr>
          <w:rFonts w:ascii="Arial" w:eastAsia="MS Mincho" w:hAnsi="Arial" w:cs="Arial"/>
          <w:bCs/>
          <w:kern w:val="0"/>
          <w:sz w:val="24"/>
          <w:szCs w:val="24"/>
          <w:lang w:eastAsia="en-ZA"/>
          <w14:ligatures w14:val="none"/>
        </w:rPr>
      </w:pPr>
      <w:r w:rsidRPr="00694A97">
        <w:rPr>
          <w:rFonts w:ascii="Arial" w:eastAsia="MS Mincho" w:hAnsi="Arial" w:cs="Arial"/>
          <w:b/>
          <w:bCs/>
          <w:kern w:val="0"/>
          <w:sz w:val="24"/>
          <w:szCs w:val="24"/>
          <w:lang w:eastAsia="en-ZA"/>
          <w14:ligatures w14:val="none"/>
        </w:rPr>
        <w:t>Keywords</w:t>
      </w:r>
      <w:r w:rsidRPr="00694A97">
        <w:rPr>
          <w:rFonts w:ascii="Arial" w:eastAsia="MS Mincho" w:hAnsi="Arial" w:cs="Arial"/>
          <w:bCs/>
          <w:kern w:val="0"/>
          <w:sz w:val="24"/>
          <w:szCs w:val="24"/>
          <w:lang w:eastAsia="en-ZA"/>
          <w14:ligatures w14:val="none"/>
        </w:rPr>
        <w:t>: Affirmative action, substantive equality, fairness, rationality, proportionality, South African Constitution, Employment Equity Act.</w:t>
      </w:r>
    </w:p>
    <w:p w14:paraId="3DD59AEA" w14:textId="77777777" w:rsidR="0017055A" w:rsidRPr="0017055A" w:rsidRDefault="0017055A" w:rsidP="0017055A">
      <w:pPr>
        <w:pStyle w:val="Heading1"/>
        <w:rPr>
          <w:rFonts w:eastAsia="MS Mincho"/>
          <w:lang w:val="en-US" w:eastAsia="en-ZA"/>
        </w:rPr>
      </w:pPr>
      <w:bookmarkStart w:id="3" w:name="_Toc189739252"/>
      <w:r w:rsidRPr="0017055A">
        <w:rPr>
          <w:rFonts w:eastAsia="MS Mincho"/>
          <w:lang w:val="en-US" w:eastAsia="en-ZA"/>
        </w:rPr>
        <w:lastRenderedPageBreak/>
        <w:t>List of abbreviations</w:t>
      </w:r>
      <w:bookmarkEnd w:id="3"/>
    </w:p>
    <w:p w14:paraId="46A4D966" w14:textId="03F048F9"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Affirmative Action</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AA</w:t>
      </w:r>
    </w:p>
    <w:p w14:paraId="3D350874" w14:textId="7BF399D9"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Basic Conditions of Employment Act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BCEA</w:t>
      </w:r>
    </w:p>
    <w:p w14:paraId="36922148" w14:textId="02C0CCC2"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Black Economic Empowerment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BEE</w:t>
      </w:r>
    </w:p>
    <w:p w14:paraId="1F13AA83" w14:textId="0FE28A11" w:rsidR="0017055A" w:rsidRPr="0017055A" w:rsidRDefault="0017055A" w:rsidP="0017055A">
      <w:pPr>
        <w:rPr>
          <w:rFonts w:ascii="Arial" w:eastAsia="MS Mincho" w:hAnsi="Arial" w:cs="Arial"/>
          <w:bCs/>
          <w:kern w:val="0"/>
          <w:sz w:val="24"/>
          <w:szCs w:val="24"/>
          <w:lang w:val="en-US" w:eastAsia="en-ZA"/>
          <w14:ligatures w14:val="none"/>
        </w:rPr>
      </w:pPr>
      <w:r w:rsidRPr="0017055A">
        <w:rPr>
          <w:rFonts w:ascii="Arial" w:eastAsia="MS Mincho" w:hAnsi="Arial" w:cs="Arial"/>
          <w:bCs/>
          <w:kern w:val="0"/>
          <w:sz w:val="24"/>
          <w:szCs w:val="24"/>
          <w:lang w:val="en-US" w:eastAsia="en-ZA"/>
          <w14:ligatures w14:val="none"/>
        </w:rPr>
        <w:t>Broad-Based Black Economic Empowerment Act 53 of 2004</w:t>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BBBEE Act</w:t>
      </w:r>
    </w:p>
    <w:p w14:paraId="508137E2" w14:textId="60394395"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Commission for Conciliation, Mediation, and Arbitration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CCMA</w:t>
      </w:r>
    </w:p>
    <w:p w14:paraId="0849C035" w14:textId="3628E23C"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Constitution of the Republic of South Africa, 1996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Constitution</w:t>
      </w:r>
    </w:p>
    <w:p w14:paraId="105F6256" w14:textId="648E0AEE" w:rsidR="0017055A" w:rsidRPr="0017055A" w:rsidRDefault="0017055A" w:rsidP="0017055A">
      <w:pPr>
        <w:rPr>
          <w:rFonts w:ascii="Arial" w:eastAsia="MS Mincho" w:hAnsi="Arial" w:cs="Arial"/>
          <w:bCs/>
          <w:kern w:val="0"/>
          <w:sz w:val="24"/>
          <w:szCs w:val="24"/>
          <w:lang w:val="en-US" w:eastAsia="en-ZA"/>
          <w14:ligatures w14:val="none"/>
        </w:rPr>
      </w:pPr>
      <w:r w:rsidRPr="0017055A">
        <w:rPr>
          <w:rFonts w:ascii="Arial" w:eastAsia="MS Mincho" w:hAnsi="Arial" w:cs="Arial"/>
          <w:bCs/>
          <w:kern w:val="0"/>
          <w:sz w:val="24"/>
          <w:szCs w:val="24"/>
          <w:lang w:val="en-US" w:eastAsia="en-ZA"/>
          <w14:ligatures w14:val="none"/>
        </w:rPr>
        <w:t xml:space="preserve">Department of Labor </w:t>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DOL</w:t>
      </w:r>
    </w:p>
    <w:p w14:paraId="364C2FBF" w14:textId="43D06011"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Department of Trade and Industry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DTI</w:t>
      </w:r>
    </w:p>
    <w:p w14:paraId="23D07633" w14:textId="72CD0B77"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Employment Conditions Commission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ECC</w:t>
      </w:r>
    </w:p>
    <w:p w14:paraId="0F5344C4" w14:textId="7C2855F8"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Employment Equity Act 55 of 1998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EEA</w:t>
      </w:r>
    </w:p>
    <w:p w14:paraId="0881DC90" w14:textId="129CE9F8"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Employment Equity Amendment Act of 2022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Amendment Act</w:t>
      </w:r>
    </w:p>
    <w:p w14:paraId="78F72D1E" w14:textId="0063075D"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Employment Equity Plan</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t xml:space="preserve">          </w:t>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EE Plan</w:t>
      </w:r>
    </w:p>
    <w:p w14:paraId="3D8AC991" w14:textId="2947600C"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Green Paper on Employment and Occupational Equity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Green Paper</w:t>
      </w:r>
    </w:p>
    <w:p w14:paraId="10638849" w14:textId="72557402"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International Labour Organizations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ILO</w:t>
      </w:r>
    </w:p>
    <w:p w14:paraId="55700C5E" w14:textId="4D4C0170" w:rsidR="0017055A" w:rsidRPr="0017055A" w:rsidRDefault="0017055A" w:rsidP="0017055A">
      <w:pPr>
        <w:rPr>
          <w:rFonts w:ascii="Arial" w:eastAsia="MS Mincho" w:hAnsi="Arial" w:cs="Arial"/>
          <w:bCs/>
          <w:kern w:val="0"/>
          <w:sz w:val="24"/>
          <w:szCs w:val="24"/>
          <w:lang w:val="en-US" w:eastAsia="en-ZA"/>
          <w14:ligatures w14:val="none"/>
        </w:rPr>
      </w:pPr>
      <w:r w:rsidRPr="0017055A">
        <w:rPr>
          <w:rFonts w:ascii="Arial" w:eastAsia="MS Mincho" w:hAnsi="Arial" w:cs="Arial"/>
          <w:bCs/>
          <w:kern w:val="0"/>
          <w:sz w:val="24"/>
          <w:szCs w:val="24"/>
          <w:lang w:val="en-ZA" w:eastAsia="en-ZA"/>
          <w14:ligatures w14:val="none"/>
        </w:rPr>
        <w:t>Labour Appeal Court</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LAC</w:t>
      </w:r>
    </w:p>
    <w:p w14:paraId="469766A9" w14:textId="1A2A40E8" w:rsidR="0017055A" w:rsidRPr="0017055A" w:rsidRDefault="0017055A" w:rsidP="0017055A">
      <w:pPr>
        <w:rPr>
          <w:rFonts w:ascii="Arial" w:eastAsia="MS Mincho" w:hAnsi="Arial" w:cs="Arial"/>
          <w:bCs/>
          <w:kern w:val="0"/>
          <w:sz w:val="24"/>
          <w:szCs w:val="24"/>
          <w:lang w:val="en-US" w:eastAsia="en-ZA"/>
          <w14:ligatures w14:val="none"/>
        </w:rPr>
      </w:pPr>
      <w:proofErr w:type="spellStart"/>
      <w:r w:rsidRPr="0017055A">
        <w:rPr>
          <w:rFonts w:ascii="Arial" w:eastAsia="MS Mincho" w:hAnsi="Arial" w:cs="Arial"/>
          <w:bCs/>
          <w:kern w:val="0"/>
          <w:sz w:val="24"/>
          <w:szCs w:val="24"/>
          <w:lang w:val="en-US" w:eastAsia="en-ZA"/>
          <w14:ligatures w14:val="none"/>
        </w:rPr>
        <w:t>Labour</w:t>
      </w:r>
      <w:proofErr w:type="spellEnd"/>
      <w:r w:rsidRPr="0017055A">
        <w:rPr>
          <w:rFonts w:ascii="Arial" w:eastAsia="MS Mincho" w:hAnsi="Arial" w:cs="Arial"/>
          <w:bCs/>
          <w:kern w:val="0"/>
          <w:sz w:val="24"/>
          <w:szCs w:val="24"/>
          <w:lang w:val="en-US" w:eastAsia="en-ZA"/>
          <w14:ligatures w14:val="none"/>
        </w:rPr>
        <w:t xml:space="preserve"> Relations Act 66 of 1995</w:t>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Pr>
          <w:rFonts w:ascii="Arial" w:eastAsia="MS Mincho" w:hAnsi="Arial" w:cs="Arial"/>
          <w:bCs/>
          <w:kern w:val="0"/>
          <w:sz w:val="24"/>
          <w:szCs w:val="24"/>
          <w:lang w:val="en-US" w:eastAsia="en-ZA"/>
          <w14:ligatures w14:val="none"/>
        </w:rPr>
        <w:tab/>
      </w:r>
      <w:r w:rsidRPr="0017055A">
        <w:rPr>
          <w:rFonts w:ascii="Arial" w:eastAsia="MS Mincho" w:hAnsi="Arial" w:cs="Arial"/>
          <w:bCs/>
          <w:kern w:val="0"/>
          <w:sz w:val="24"/>
          <w:szCs w:val="24"/>
          <w:lang w:val="en-US" w:eastAsia="en-ZA"/>
          <w14:ligatures w14:val="none"/>
        </w:rPr>
        <w:t>LRA</w:t>
      </w:r>
    </w:p>
    <w:p w14:paraId="394A4C8B" w14:textId="632B3AAE"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Public Servants Association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PSA</w:t>
      </w:r>
    </w:p>
    <w:p w14:paraId="72674097" w14:textId="65A1A4A1"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Natives Land Act of 1913</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Land Act</w:t>
      </w:r>
    </w:p>
    <w:p w14:paraId="7E25E7B9" w14:textId="79F077E8"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South African Police Service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SAPS</w:t>
      </w:r>
    </w:p>
    <w:p w14:paraId="0F37A29D" w14:textId="563E23B3"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South African Congress of Trade Unions</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SACTU</w:t>
      </w:r>
    </w:p>
    <w:p w14:paraId="646624FE" w14:textId="5E5F8B8B" w:rsidR="0017055A" w:rsidRPr="0017055A" w:rsidRDefault="0017055A" w:rsidP="0017055A">
      <w:pPr>
        <w:rPr>
          <w:rFonts w:ascii="Arial" w:eastAsia="MS Mincho" w:hAnsi="Arial" w:cs="Arial"/>
          <w:bCs/>
          <w:kern w:val="0"/>
          <w:sz w:val="24"/>
          <w:szCs w:val="24"/>
          <w:lang w:val="en-ZA" w:eastAsia="en-ZA"/>
          <w14:ligatures w14:val="none"/>
        </w:rPr>
      </w:pPr>
      <w:r w:rsidRPr="0017055A">
        <w:rPr>
          <w:rFonts w:ascii="Arial" w:eastAsia="MS Mincho" w:hAnsi="Arial" w:cs="Arial"/>
          <w:bCs/>
          <w:kern w:val="0"/>
          <w:sz w:val="24"/>
          <w:szCs w:val="24"/>
          <w:lang w:val="en-ZA" w:eastAsia="en-ZA"/>
          <w14:ligatures w14:val="none"/>
        </w:rPr>
        <w:t xml:space="preserve">South African Law Commission </w:t>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Pr>
          <w:rFonts w:ascii="Arial" w:eastAsia="MS Mincho" w:hAnsi="Arial" w:cs="Arial"/>
          <w:bCs/>
          <w:kern w:val="0"/>
          <w:sz w:val="24"/>
          <w:szCs w:val="24"/>
          <w:lang w:val="en-ZA" w:eastAsia="en-ZA"/>
          <w14:ligatures w14:val="none"/>
        </w:rPr>
        <w:tab/>
      </w:r>
      <w:r w:rsidRPr="0017055A">
        <w:rPr>
          <w:rFonts w:ascii="Arial" w:eastAsia="MS Mincho" w:hAnsi="Arial" w:cs="Arial"/>
          <w:bCs/>
          <w:kern w:val="0"/>
          <w:sz w:val="24"/>
          <w:szCs w:val="24"/>
          <w:lang w:val="en-ZA" w:eastAsia="en-ZA"/>
          <w14:ligatures w14:val="none"/>
        </w:rPr>
        <w:t>SALC</w:t>
      </w:r>
    </w:p>
    <w:p w14:paraId="3DA61ACF" w14:textId="77777777" w:rsidR="0017055A" w:rsidRPr="0017055A" w:rsidRDefault="0017055A" w:rsidP="0017055A">
      <w:pPr>
        <w:rPr>
          <w:rFonts w:ascii="Arial" w:eastAsia="MS Mincho" w:hAnsi="Arial" w:cs="Arial"/>
          <w:bCs/>
          <w:kern w:val="0"/>
          <w:sz w:val="24"/>
          <w:szCs w:val="24"/>
          <w:lang w:val="en-ZA" w:eastAsia="en-ZA"/>
          <w14:ligatures w14:val="none"/>
        </w:rPr>
      </w:pPr>
    </w:p>
    <w:p w14:paraId="285F5EAD" w14:textId="77777777" w:rsidR="0017055A" w:rsidRPr="0017055A" w:rsidRDefault="0017055A" w:rsidP="0017055A">
      <w:pPr>
        <w:rPr>
          <w:rFonts w:ascii="Arial" w:eastAsia="MS Mincho" w:hAnsi="Arial" w:cs="Arial"/>
          <w:bCs/>
          <w:kern w:val="0"/>
          <w:sz w:val="24"/>
          <w:szCs w:val="24"/>
          <w:lang w:val="en-ZA" w:eastAsia="en-ZA"/>
          <w14:ligatures w14:val="none"/>
        </w:rPr>
      </w:pPr>
    </w:p>
    <w:p w14:paraId="77A9880F" w14:textId="77777777" w:rsidR="0017055A" w:rsidRDefault="0017055A">
      <w:pPr>
        <w:rPr>
          <w:rFonts w:ascii="Arial" w:eastAsia="MS Mincho" w:hAnsi="Arial" w:cs="Arial"/>
          <w:bCs/>
          <w:kern w:val="0"/>
          <w:sz w:val="24"/>
          <w:szCs w:val="24"/>
          <w:lang w:eastAsia="en-ZA"/>
          <w14:ligatures w14:val="none"/>
        </w:rPr>
      </w:pPr>
      <w:r>
        <w:rPr>
          <w:rFonts w:ascii="Arial" w:eastAsia="MS Mincho" w:hAnsi="Arial" w:cs="Arial"/>
          <w:bCs/>
          <w:kern w:val="0"/>
          <w:sz w:val="24"/>
          <w:szCs w:val="24"/>
          <w:lang w:eastAsia="en-ZA"/>
          <w14:ligatures w14:val="none"/>
        </w:rPr>
        <w:br w:type="page"/>
      </w:r>
    </w:p>
    <w:p w14:paraId="7EB8315C" w14:textId="77777777" w:rsidR="00605E90" w:rsidRDefault="00605E90" w:rsidP="00175A62">
      <w:pPr>
        <w:spacing w:line="360" w:lineRule="auto"/>
        <w:jc w:val="both"/>
        <w:rPr>
          <w:rFonts w:ascii="Arial" w:eastAsia="MS Mincho" w:hAnsi="Arial" w:cs="Arial"/>
          <w:bCs/>
          <w:kern w:val="0"/>
          <w:sz w:val="24"/>
          <w:szCs w:val="24"/>
          <w:lang w:eastAsia="en-ZA"/>
          <w14:ligatures w14:val="none"/>
        </w:rPr>
      </w:pPr>
    </w:p>
    <w:sdt>
      <w:sdtPr>
        <w:rPr>
          <w:rFonts w:asciiTheme="minorHAnsi" w:eastAsiaTheme="minorHAnsi" w:hAnsiTheme="minorHAnsi" w:cstheme="minorBidi"/>
          <w:b w:val="0"/>
          <w:kern w:val="2"/>
          <w:sz w:val="22"/>
          <w:szCs w:val="22"/>
          <w:lang w:val="en-GB"/>
          <w14:ligatures w14:val="standardContextual"/>
        </w:rPr>
        <w:id w:val="1684018701"/>
        <w:docPartObj>
          <w:docPartGallery w:val="Table of Contents"/>
          <w:docPartUnique/>
        </w:docPartObj>
      </w:sdtPr>
      <w:sdtEndPr>
        <w:rPr>
          <w:bCs/>
          <w:noProof/>
        </w:rPr>
      </w:sdtEndPr>
      <w:sdtContent>
        <w:p w14:paraId="27F55CB9" w14:textId="20B09AD4" w:rsidR="00965D37" w:rsidRDefault="00965D37">
          <w:pPr>
            <w:pStyle w:val="TOCHeading"/>
          </w:pPr>
          <w:r>
            <w:t>Contents</w:t>
          </w:r>
        </w:p>
        <w:p w14:paraId="20BF771C" w14:textId="055F7046" w:rsidR="00BA6AF4" w:rsidRDefault="00965D37">
          <w:pPr>
            <w:pStyle w:val="TOC1"/>
            <w:tabs>
              <w:tab w:val="right" w:leader="dot" w:pos="9016"/>
            </w:tabs>
            <w:rPr>
              <w:rFonts w:cstheme="minorBidi"/>
              <w:noProof/>
              <w:kern w:val="2"/>
              <w:sz w:val="24"/>
              <w:szCs w:val="24"/>
              <w:lang w:val="en-ZA" w:eastAsia="en-ZA"/>
              <w14:ligatures w14:val="standardContextual"/>
            </w:rPr>
          </w:pPr>
          <w:r>
            <w:fldChar w:fldCharType="begin"/>
          </w:r>
          <w:r>
            <w:instrText xml:space="preserve"> TOC \o "1-3" \h \z \u </w:instrText>
          </w:r>
          <w:r>
            <w:fldChar w:fldCharType="separate"/>
          </w:r>
          <w:hyperlink w:anchor="_Toc189739249" w:history="1">
            <w:r w:rsidR="00BA6AF4" w:rsidRPr="008F38E3">
              <w:rPr>
                <w:rStyle w:val="Hyperlink"/>
                <w:rFonts w:eastAsia="MS Mincho"/>
                <w:noProof/>
                <w:lang w:eastAsia="en-ZA"/>
              </w:rPr>
              <w:t>DECLARATION</w:t>
            </w:r>
            <w:r w:rsidR="00BA6AF4">
              <w:rPr>
                <w:noProof/>
                <w:webHidden/>
              </w:rPr>
              <w:tab/>
            </w:r>
            <w:r w:rsidR="00BA6AF4">
              <w:rPr>
                <w:noProof/>
                <w:webHidden/>
              </w:rPr>
              <w:fldChar w:fldCharType="begin"/>
            </w:r>
            <w:r w:rsidR="00BA6AF4">
              <w:rPr>
                <w:noProof/>
                <w:webHidden/>
              </w:rPr>
              <w:instrText xml:space="preserve"> PAGEREF _Toc189739249 \h </w:instrText>
            </w:r>
            <w:r w:rsidR="00BA6AF4">
              <w:rPr>
                <w:noProof/>
                <w:webHidden/>
              </w:rPr>
            </w:r>
            <w:r w:rsidR="00BA6AF4">
              <w:rPr>
                <w:noProof/>
                <w:webHidden/>
              </w:rPr>
              <w:fldChar w:fldCharType="separate"/>
            </w:r>
            <w:r w:rsidR="00BA6AF4">
              <w:rPr>
                <w:noProof/>
                <w:webHidden/>
              </w:rPr>
              <w:t>i</w:t>
            </w:r>
            <w:r w:rsidR="00BA6AF4">
              <w:rPr>
                <w:noProof/>
                <w:webHidden/>
              </w:rPr>
              <w:fldChar w:fldCharType="end"/>
            </w:r>
          </w:hyperlink>
        </w:p>
        <w:p w14:paraId="6C49218B" w14:textId="0B9D28DD"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50" w:history="1">
            <w:r w:rsidRPr="008F38E3">
              <w:rPr>
                <w:rStyle w:val="Hyperlink"/>
                <w:rFonts w:eastAsia="MS Mincho"/>
                <w:noProof/>
                <w:lang w:eastAsia="en-ZA"/>
              </w:rPr>
              <w:t>ACKNOWLEDGEMENTS</w:t>
            </w:r>
            <w:r>
              <w:rPr>
                <w:noProof/>
                <w:webHidden/>
              </w:rPr>
              <w:tab/>
            </w:r>
            <w:r>
              <w:rPr>
                <w:noProof/>
                <w:webHidden/>
              </w:rPr>
              <w:fldChar w:fldCharType="begin"/>
            </w:r>
            <w:r>
              <w:rPr>
                <w:noProof/>
                <w:webHidden/>
              </w:rPr>
              <w:instrText xml:space="preserve"> PAGEREF _Toc189739250 \h </w:instrText>
            </w:r>
            <w:r>
              <w:rPr>
                <w:noProof/>
                <w:webHidden/>
              </w:rPr>
            </w:r>
            <w:r>
              <w:rPr>
                <w:noProof/>
                <w:webHidden/>
              </w:rPr>
              <w:fldChar w:fldCharType="separate"/>
            </w:r>
            <w:r>
              <w:rPr>
                <w:noProof/>
                <w:webHidden/>
              </w:rPr>
              <w:t>ii</w:t>
            </w:r>
            <w:r>
              <w:rPr>
                <w:noProof/>
                <w:webHidden/>
              </w:rPr>
              <w:fldChar w:fldCharType="end"/>
            </w:r>
          </w:hyperlink>
        </w:p>
        <w:p w14:paraId="4C98D06D" w14:textId="5B1476FB"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51" w:history="1">
            <w:r w:rsidRPr="008F38E3">
              <w:rPr>
                <w:rStyle w:val="Hyperlink"/>
                <w:rFonts w:eastAsia="MS Mincho"/>
                <w:noProof/>
                <w:lang w:eastAsia="en-ZA"/>
              </w:rPr>
              <w:t>ABSTRACT</w:t>
            </w:r>
            <w:r>
              <w:rPr>
                <w:noProof/>
                <w:webHidden/>
              </w:rPr>
              <w:tab/>
            </w:r>
            <w:r>
              <w:rPr>
                <w:noProof/>
                <w:webHidden/>
              </w:rPr>
              <w:fldChar w:fldCharType="begin"/>
            </w:r>
            <w:r>
              <w:rPr>
                <w:noProof/>
                <w:webHidden/>
              </w:rPr>
              <w:instrText xml:space="preserve"> PAGEREF _Toc189739251 \h </w:instrText>
            </w:r>
            <w:r>
              <w:rPr>
                <w:noProof/>
                <w:webHidden/>
              </w:rPr>
            </w:r>
            <w:r>
              <w:rPr>
                <w:noProof/>
                <w:webHidden/>
              </w:rPr>
              <w:fldChar w:fldCharType="separate"/>
            </w:r>
            <w:r>
              <w:rPr>
                <w:noProof/>
                <w:webHidden/>
              </w:rPr>
              <w:t>iii</w:t>
            </w:r>
            <w:r>
              <w:rPr>
                <w:noProof/>
                <w:webHidden/>
              </w:rPr>
              <w:fldChar w:fldCharType="end"/>
            </w:r>
          </w:hyperlink>
        </w:p>
        <w:p w14:paraId="1D80B40D" w14:textId="76C5FC8B"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52" w:history="1">
            <w:r w:rsidRPr="008F38E3">
              <w:rPr>
                <w:rStyle w:val="Hyperlink"/>
                <w:rFonts w:eastAsia="MS Mincho"/>
                <w:noProof/>
                <w:lang w:eastAsia="en-ZA"/>
              </w:rPr>
              <w:t>List of abbreviations</w:t>
            </w:r>
            <w:r>
              <w:rPr>
                <w:noProof/>
                <w:webHidden/>
              </w:rPr>
              <w:tab/>
            </w:r>
            <w:r>
              <w:rPr>
                <w:noProof/>
                <w:webHidden/>
              </w:rPr>
              <w:fldChar w:fldCharType="begin"/>
            </w:r>
            <w:r>
              <w:rPr>
                <w:noProof/>
                <w:webHidden/>
              </w:rPr>
              <w:instrText xml:space="preserve"> PAGEREF _Toc189739252 \h </w:instrText>
            </w:r>
            <w:r>
              <w:rPr>
                <w:noProof/>
                <w:webHidden/>
              </w:rPr>
            </w:r>
            <w:r>
              <w:rPr>
                <w:noProof/>
                <w:webHidden/>
              </w:rPr>
              <w:fldChar w:fldCharType="separate"/>
            </w:r>
            <w:r>
              <w:rPr>
                <w:noProof/>
                <w:webHidden/>
              </w:rPr>
              <w:t>iv</w:t>
            </w:r>
            <w:r>
              <w:rPr>
                <w:noProof/>
                <w:webHidden/>
              </w:rPr>
              <w:fldChar w:fldCharType="end"/>
            </w:r>
          </w:hyperlink>
        </w:p>
        <w:p w14:paraId="6D881104" w14:textId="035C12FF"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53" w:history="1">
            <w:r w:rsidRPr="008F38E3">
              <w:rPr>
                <w:rStyle w:val="Hyperlink"/>
                <w:rFonts w:eastAsia="Arial"/>
                <w:noProof/>
              </w:rPr>
              <w:t>CHAPTER 1 INTRODUCTION AND RESEARCH PROBLEM</w:t>
            </w:r>
            <w:r>
              <w:rPr>
                <w:noProof/>
                <w:webHidden/>
              </w:rPr>
              <w:tab/>
            </w:r>
            <w:r>
              <w:rPr>
                <w:noProof/>
                <w:webHidden/>
              </w:rPr>
              <w:fldChar w:fldCharType="begin"/>
            </w:r>
            <w:r>
              <w:rPr>
                <w:noProof/>
                <w:webHidden/>
              </w:rPr>
              <w:instrText xml:space="preserve"> PAGEREF _Toc189739253 \h </w:instrText>
            </w:r>
            <w:r>
              <w:rPr>
                <w:noProof/>
                <w:webHidden/>
              </w:rPr>
            </w:r>
            <w:r>
              <w:rPr>
                <w:noProof/>
                <w:webHidden/>
              </w:rPr>
              <w:fldChar w:fldCharType="separate"/>
            </w:r>
            <w:r>
              <w:rPr>
                <w:noProof/>
                <w:webHidden/>
              </w:rPr>
              <w:t>1</w:t>
            </w:r>
            <w:r>
              <w:rPr>
                <w:noProof/>
                <w:webHidden/>
              </w:rPr>
              <w:fldChar w:fldCharType="end"/>
            </w:r>
          </w:hyperlink>
        </w:p>
        <w:p w14:paraId="1801AC6F" w14:textId="23D9415C" w:rsidR="00BA6AF4" w:rsidRDefault="00BA6AF4">
          <w:pPr>
            <w:pStyle w:val="TOC1"/>
            <w:tabs>
              <w:tab w:val="left" w:pos="720"/>
              <w:tab w:val="right" w:leader="dot" w:pos="9016"/>
            </w:tabs>
            <w:rPr>
              <w:rFonts w:cstheme="minorBidi"/>
              <w:noProof/>
              <w:kern w:val="2"/>
              <w:sz w:val="24"/>
              <w:szCs w:val="24"/>
              <w:lang w:val="en-ZA" w:eastAsia="en-ZA"/>
              <w14:ligatures w14:val="standardContextual"/>
            </w:rPr>
          </w:pPr>
          <w:hyperlink w:anchor="_Toc189739254" w:history="1">
            <w:r w:rsidRPr="008F38E3">
              <w:rPr>
                <w:rStyle w:val="Hyperlink"/>
                <w:rFonts w:eastAsia="Arial" w:cs="Arial"/>
                <w:bCs/>
                <w:noProof/>
              </w:rPr>
              <w:t>1.1</w:t>
            </w:r>
            <w:r>
              <w:rPr>
                <w:rFonts w:cstheme="minorBidi"/>
                <w:noProof/>
                <w:kern w:val="2"/>
                <w:sz w:val="24"/>
                <w:szCs w:val="24"/>
                <w:lang w:val="en-ZA" w:eastAsia="en-ZA"/>
                <w14:ligatures w14:val="standardContextual"/>
              </w:rPr>
              <w:tab/>
            </w:r>
            <w:r w:rsidRPr="008F38E3">
              <w:rPr>
                <w:rStyle w:val="Hyperlink"/>
                <w:rFonts w:eastAsia="Arial" w:cs="Arial"/>
                <w:bCs/>
                <w:noProof/>
              </w:rPr>
              <w:t>Introduction</w:t>
            </w:r>
            <w:r>
              <w:rPr>
                <w:noProof/>
                <w:webHidden/>
              </w:rPr>
              <w:tab/>
            </w:r>
            <w:r>
              <w:rPr>
                <w:noProof/>
                <w:webHidden/>
              </w:rPr>
              <w:fldChar w:fldCharType="begin"/>
            </w:r>
            <w:r>
              <w:rPr>
                <w:noProof/>
                <w:webHidden/>
              </w:rPr>
              <w:instrText xml:space="preserve"> PAGEREF _Toc189739254 \h </w:instrText>
            </w:r>
            <w:r>
              <w:rPr>
                <w:noProof/>
                <w:webHidden/>
              </w:rPr>
            </w:r>
            <w:r>
              <w:rPr>
                <w:noProof/>
                <w:webHidden/>
              </w:rPr>
              <w:fldChar w:fldCharType="separate"/>
            </w:r>
            <w:r>
              <w:rPr>
                <w:noProof/>
                <w:webHidden/>
              </w:rPr>
              <w:t>1</w:t>
            </w:r>
            <w:r>
              <w:rPr>
                <w:noProof/>
                <w:webHidden/>
              </w:rPr>
              <w:fldChar w:fldCharType="end"/>
            </w:r>
          </w:hyperlink>
        </w:p>
        <w:p w14:paraId="1340DA0C" w14:textId="2A8225E6" w:rsidR="00BA6AF4" w:rsidRDefault="00BA6AF4">
          <w:pPr>
            <w:pStyle w:val="TOC1"/>
            <w:tabs>
              <w:tab w:val="left" w:pos="720"/>
              <w:tab w:val="right" w:leader="dot" w:pos="9016"/>
            </w:tabs>
            <w:rPr>
              <w:rFonts w:cstheme="minorBidi"/>
              <w:noProof/>
              <w:kern w:val="2"/>
              <w:sz w:val="24"/>
              <w:szCs w:val="24"/>
              <w:lang w:val="en-ZA" w:eastAsia="en-ZA"/>
              <w14:ligatures w14:val="standardContextual"/>
            </w:rPr>
          </w:pPr>
          <w:hyperlink w:anchor="_Toc189739255" w:history="1">
            <w:r w:rsidRPr="008F38E3">
              <w:rPr>
                <w:rStyle w:val="Hyperlink"/>
                <w:rFonts w:eastAsia="Arial" w:cs="Arial"/>
                <w:bCs/>
                <w:noProof/>
              </w:rPr>
              <w:t>1.2</w:t>
            </w:r>
            <w:r>
              <w:rPr>
                <w:rFonts w:cstheme="minorBidi"/>
                <w:noProof/>
                <w:kern w:val="2"/>
                <w:sz w:val="24"/>
                <w:szCs w:val="24"/>
                <w:lang w:val="en-ZA" w:eastAsia="en-ZA"/>
                <w14:ligatures w14:val="standardContextual"/>
              </w:rPr>
              <w:tab/>
            </w:r>
            <w:r w:rsidRPr="008F38E3">
              <w:rPr>
                <w:rStyle w:val="Hyperlink"/>
                <w:rFonts w:eastAsia="Arial" w:cs="Arial"/>
                <w:bCs/>
                <w:noProof/>
              </w:rPr>
              <w:t>Contextual background</w:t>
            </w:r>
            <w:r>
              <w:rPr>
                <w:noProof/>
                <w:webHidden/>
              </w:rPr>
              <w:tab/>
            </w:r>
            <w:r>
              <w:rPr>
                <w:noProof/>
                <w:webHidden/>
              </w:rPr>
              <w:fldChar w:fldCharType="begin"/>
            </w:r>
            <w:r>
              <w:rPr>
                <w:noProof/>
                <w:webHidden/>
              </w:rPr>
              <w:instrText xml:space="preserve"> PAGEREF _Toc189739255 \h </w:instrText>
            </w:r>
            <w:r>
              <w:rPr>
                <w:noProof/>
                <w:webHidden/>
              </w:rPr>
            </w:r>
            <w:r>
              <w:rPr>
                <w:noProof/>
                <w:webHidden/>
              </w:rPr>
              <w:fldChar w:fldCharType="separate"/>
            </w:r>
            <w:r>
              <w:rPr>
                <w:noProof/>
                <w:webHidden/>
              </w:rPr>
              <w:t>2</w:t>
            </w:r>
            <w:r>
              <w:rPr>
                <w:noProof/>
                <w:webHidden/>
              </w:rPr>
              <w:fldChar w:fldCharType="end"/>
            </w:r>
          </w:hyperlink>
        </w:p>
        <w:p w14:paraId="39F9A8EB" w14:textId="6928CD39" w:rsidR="00BA6AF4" w:rsidRDefault="00BA6AF4">
          <w:pPr>
            <w:pStyle w:val="TOC1"/>
            <w:tabs>
              <w:tab w:val="left" w:pos="720"/>
              <w:tab w:val="right" w:leader="dot" w:pos="9016"/>
            </w:tabs>
            <w:rPr>
              <w:rFonts w:cstheme="minorBidi"/>
              <w:noProof/>
              <w:kern w:val="2"/>
              <w:sz w:val="24"/>
              <w:szCs w:val="24"/>
              <w:lang w:val="en-ZA" w:eastAsia="en-ZA"/>
              <w14:ligatures w14:val="standardContextual"/>
            </w:rPr>
          </w:pPr>
          <w:hyperlink w:anchor="_Toc189739256" w:history="1">
            <w:r w:rsidRPr="008F38E3">
              <w:rPr>
                <w:rStyle w:val="Hyperlink"/>
                <w:rFonts w:eastAsia="Arial" w:cs="Arial"/>
                <w:bCs/>
                <w:noProof/>
              </w:rPr>
              <w:t>1.3</w:t>
            </w:r>
            <w:r>
              <w:rPr>
                <w:rFonts w:cstheme="minorBidi"/>
                <w:noProof/>
                <w:kern w:val="2"/>
                <w:sz w:val="24"/>
                <w:szCs w:val="24"/>
                <w:lang w:val="en-ZA" w:eastAsia="en-ZA"/>
                <w14:ligatures w14:val="standardContextual"/>
              </w:rPr>
              <w:tab/>
            </w:r>
            <w:r w:rsidRPr="008F38E3">
              <w:rPr>
                <w:rStyle w:val="Hyperlink"/>
                <w:rFonts w:eastAsia="Arial" w:cs="Arial"/>
                <w:bCs/>
                <w:noProof/>
              </w:rPr>
              <w:t>Research problem</w:t>
            </w:r>
            <w:r>
              <w:rPr>
                <w:noProof/>
                <w:webHidden/>
              </w:rPr>
              <w:tab/>
            </w:r>
            <w:r>
              <w:rPr>
                <w:noProof/>
                <w:webHidden/>
              </w:rPr>
              <w:fldChar w:fldCharType="begin"/>
            </w:r>
            <w:r>
              <w:rPr>
                <w:noProof/>
                <w:webHidden/>
              </w:rPr>
              <w:instrText xml:space="preserve"> PAGEREF _Toc189739256 \h </w:instrText>
            </w:r>
            <w:r>
              <w:rPr>
                <w:noProof/>
                <w:webHidden/>
              </w:rPr>
            </w:r>
            <w:r>
              <w:rPr>
                <w:noProof/>
                <w:webHidden/>
              </w:rPr>
              <w:fldChar w:fldCharType="separate"/>
            </w:r>
            <w:r>
              <w:rPr>
                <w:noProof/>
                <w:webHidden/>
              </w:rPr>
              <w:t>4</w:t>
            </w:r>
            <w:r>
              <w:rPr>
                <w:noProof/>
                <w:webHidden/>
              </w:rPr>
              <w:fldChar w:fldCharType="end"/>
            </w:r>
          </w:hyperlink>
        </w:p>
        <w:p w14:paraId="39D21FCE" w14:textId="72592510"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57" w:history="1">
            <w:r w:rsidRPr="008F38E3">
              <w:rPr>
                <w:rStyle w:val="Hyperlink"/>
                <w:rFonts w:eastAsia="Arial"/>
                <w:noProof/>
              </w:rPr>
              <w:t>1.1.2 The requirements of valid affirmative action:</w:t>
            </w:r>
            <w:r>
              <w:rPr>
                <w:noProof/>
                <w:webHidden/>
              </w:rPr>
              <w:tab/>
            </w:r>
            <w:r>
              <w:rPr>
                <w:noProof/>
                <w:webHidden/>
              </w:rPr>
              <w:fldChar w:fldCharType="begin"/>
            </w:r>
            <w:r>
              <w:rPr>
                <w:noProof/>
                <w:webHidden/>
              </w:rPr>
              <w:instrText xml:space="preserve"> PAGEREF _Toc189739257 \h </w:instrText>
            </w:r>
            <w:r>
              <w:rPr>
                <w:noProof/>
                <w:webHidden/>
              </w:rPr>
            </w:r>
            <w:r>
              <w:rPr>
                <w:noProof/>
                <w:webHidden/>
              </w:rPr>
              <w:fldChar w:fldCharType="separate"/>
            </w:r>
            <w:r>
              <w:rPr>
                <w:noProof/>
                <w:webHidden/>
              </w:rPr>
              <w:t>6</w:t>
            </w:r>
            <w:r>
              <w:rPr>
                <w:noProof/>
                <w:webHidden/>
              </w:rPr>
              <w:fldChar w:fldCharType="end"/>
            </w:r>
          </w:hyperlink>
        </w:p>
        <w:p w14:paraId="4D1AF2E8" w14:textId="3AD5BC2C"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58" w:history="1">
            <w:r w:rsidRPr="008F38E3">
              <w:rPr>
                <w:rStyle w:val="Hyperlink"/>
                <w:rFonts w:eastAsia="Arial"/>
                <w:noProof/>
              </w:rPr>
              <w:t>1.1.3 The right to affirmative action and whether this is automatic:</w:t>
            </w:r>
            <w:r>
              <w:rPr>
                <w:noProof/>
                <w:webHidden/>
              </w:rPr>
              <w:tab/>
            </w:r>
            <w:r>
              <w:rPr>
                <w:noProof/>
                <w:webHidden/>
              </w:rPr>
              <w:fldChar w:fldCharType="begin"/>
            </w:r>
            <w:r>
              <w:rPr>
                <w:noProof/>
                <w:webHidden/>
              </w:rPr>
              <w:instrText xml:space="preserve"> PAGEREF _Toc189739258 \h </w:instrText>
            </w:r>
            <w:r>
              <w:rPr>
                <w:noProof/>
                <w:webHidden/>
              </w:rPr>
            </w:r>
            <w:r>
              <w:rPr>
                <w:noProof/>
                <w:webHidden/>
              </w:rPr>
              <w:fldChar w:fldCharType="separate"/>
            </w:r>
            <w:r>
              <w:rPr>
                <w:noProof/>
                <w:webHidden/>
              </w:rPr>
              <w:t>7</w:t>
            </w:r>
            <w:r>
              <w:rPr>
                <w:noProof/>
                <w:webHidden/>
              </w:rPr>
              <w:fldChar w:fldCharType="end"/>
            </w:r>
          </w:hyperlink>
        </w:p>
        <w:p w14:paraId="1DE59CA7" w14:textId="23CB67E9"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59" w:history="1">
            <w:r w:rsidRPr="008F38E3">
              <w:rPr>
                <w:rStyle w:val="Hyperlink"/>
                <w:rFonts w:eastAsia="Calibri"/>
                <w:noProof/>
              </w:rPr>
              <w:t>1.2 Research questions</w:t>
            </w:r>
            <w:r>
              <w:rPr>
                <w:noProof/>
                <w:webHidden/>
              </w:rPr>
              <w:tab/>
            </w:r>
            <w:r>
              <w:rPr>
                <w:noProof/>
                <w:webHidden/>
              </w:rPr>
              <w:fldChar w:fldCharType="begin"/>
            </w:r>
            <w:r>
              <w:rPr>
                <w:noProof/>
                <w:webHidden/>
              </w:rPr>
              <w:instrText xml:space="preserve"> PAGEREF _Toc189739259 \h </w:instrText>
            </w:r>
            <w:r>
              <w:rPr>
                <w:noProof/>
                <w:webHidden/>
              </w:rPr>
            </w:r>
            <w:r>
              <w:rPr>
                <w:noProof/>
                <w:webHidden/>
              </w:rPr>
              <w:fldChar w:fldCharType="separate"/>
            </w:r>
            <w:r>
              <w:rPr>
                <w:noProof/>
                <w:webHidden/>
              </w:rPr>
              <w:t>8</w:t>
            </w:r>
            <w:r>
              <w:rPr>
                <w:noProof/>
                <w:webHidden/>
              </w:rPr>
              <w:fldChar w:fldCharType="end"/>
            </w:r>
          </w:hyperlink>
        </w:p>
        <w:p w14:paraId="0CB77B80" w14:textId="1D50030D"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60" w:history="1">
            <w:r w:rsidRPr="008F38E3">
              <w:rPr>
                <w:rStyle w:val="Hyperlink"/>
                <w:rFonts w:eastAsia="Calibri"/>
                <w:bCs/>
                <w:noProof/>
              </w:rPr>
              <w:t>1.2.1 To properly understand the purpose and context of affirmative action, as an action to address the injustices of the past and to promote equality in the workplace, what are the historical and legal foundations of affirmative action?</w:t>
            </w:r>
            <w:r>
              <w:rPr>
                <w:noProof/>
                <w:webHidden/>
              </w:rPr>
              <w:tab/>
            </w:r>
            <w:r>
              <w:rPr>
                <w:noProof/>
                <w:webHidden/>
              </w:rPr>
              <w:fldChar w:fldCharType="begin"/>
            </w:r>
            <w:r>
              <w:rPr>
                <w:noProof/>
                <w:webHidden/>
              </w:rPr>
              <w:instrText xml:space="preserve"> PAGEREF _Toc189739260 \h </w:instrText>
            </w:r>
            <w:r>
              <w:rPr>
                <w:noProof/>
                <w:webHidden/>
              </w:rPr>
            </w:r>
            <w:r>
              <w:rPr>
                <w:noProof/>
                <w:webHidden/>
              </w:rPr>
              <w:fldChar w:fldCharType="separate"/>
            </w:r>
            <w:r>
              <w:rPr>
                <w:noProof/>
                <w:webHidden/>
              </w:rPr>
              <w:t>8</w:t>
            </w:r>
            <w:r>
              <w:rPr>
                <w:noProof/>
                <w:webHidden/>
              </w:rPr>
              <w:fldChar w:fldCharType="end"/>
            </w:r>
          </w:hyperlink>
        </w:p>
        <w:p w14:paraId="7609A641" w14:textId="1E76ED08"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61" w:history="1">
            <w:r w:rsidRPr="008F38E3">
              <w:rPr>
                <w:rStyle w:val="Hyperlink"/>
                <w:rFonts w:eastAsia="Calibri"/>
                <w:bCs/>
                <w:noProof/>
              </w:rPr>
              <w:t>1.2.2 What are the requirements an employer must comply with to ensure that the (non) implementation of affirmative action is valid and lawful?</w:t>
            </w:r>
            <w:r>
              <w:rPr>
                <w:noProof/>
                <w:webHidden/>
              </w:rPr>
              <w:tab/>
            </w:r>
            <w:r>
              <w:rPr>
                <w:noProof/>
                <w:webHidden/>
              </w:rPr>
              <w:fldChar w:fldCharType="begin"/>
            </w:r>
            <w:r>
              <w:rPr>
                <w:noProof/>
                <w:webHidden/>
              </w:rPr>
              <w:instrText xml:space="preserve"> PAGEREF _Toc189739261 \h </w:instrText>
            </w:r>
            <w:r>
              <w:rPr>
                <w:noProof/>
                <w:webHidden/>
              </w:rPr>
            </w:r>
            <w:r>
              <w:rPr>
                <w:noProof/>
                <w:webHidden/>
              </w:rPr>
              <w:fldChar w:fldCharType="separate"/>
            </w:r>
            <w:r>
              <w:rPr>
                <w:noProof/>
                <w:webHidden/>
              </w:rPr>
              <w:t>8</w:t>
            </w:r>
            <w:r>
              <w:rPr>
                <w:noProof/>
                <w:webHidden/>
              </w:rPr>
              <w:fldChar w:fldCharType="end"/>
            </w:r>
          </w:hyperlink>
        </w:p>
        <w:p w14:paraId="6B3BF3C3" w14:textId="51207421"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62" w:history="1">
            <w:r w:rsidRPr="008F38E3">
              <w:rPr>
                <w:rStyle w:val="Hyperlink"/>
                <w:rFonts w:eastAsia="Calibri"/>
                <w:noProof/>
              </w:rPr>
              <w:t>1.3 Motivation / rationale (background and limitations)</w:t>
            </w:r>
            <w:r>
              <w:rPr>
                <w:noProof/>
                <w:webHidden/>
              </w:rPr>
              <w:tab/>
            </w:r>
            <w:r>
              <w:rPr>
                <w:noProof/>
                <w:webHidden/>
              </w:rPr>
              <w:fldChar w:fldCharType="begin"/>
            </w:r>
            <w:r>
              <w:rPr>
                <w:noProof/>
                <w:webHidden/>
              </w:rPr>
              <w:instrText xml:space="preserve"> PAGEREF _Toc189739262 \h </w:instrText>
            </w:r>
            <w:r>
              <w:rPr>
                <w:noProof/>
                <w:webHidden/>
              </w:rPr>
            </w:r>
            <w:r>
              <w:rPr>
                <w:noProof/>
                <w:webHidden/>
              </w:rPr>
              <w:fldChar w:fldCharType="separate"/>
            </w:r>
            <w:r>
              <w:rPr>
                <w:noProof/>
                <w:webHidden/>
              </w:rPr>
              <w:t>8</w:t>
            </w:r>
            <w:r>
              <w:rPr>
                <w:noProof/>
                <w:webHidden/>
              </w:rPr>
              <w:fldChar w:fldCharType="end"/>
            </w:r>
          </w:hyperlink>
        </w:p>
        <w:p w14:paraId="76036C42" w14:textId="6D6837DA"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63" w:history="1">
            <w:r w:rsidRPr="008F38E3">
              <w:rPr>
                <w:rStyle w:val="Hyperlink"/>
                <w:rFonts w:eastAsia="Calibri"/>
                <w:noProof/>
              </w:rPr>
              <w:t>1.3.1 What are the historical origins and legal foundations of affirmative action in South Africa?</w:t>
            </w:r>
            <w:r>
              <w:rPr>
                <w:noProof/>
                <w:webHidden/>
              </w:rPr>
              <w:tab/>
            </w:r>
            <w:r>
              <w:rPr>
                <w:noProof/>
                <w:webHidden/>
              </w:rPr>
              <w:fldChar w:fldCharType="begin"/>
            </w:r>
            <w:r>
              <w:rPr>
                <w:noProof/>
                <w:webHidden/>
              </w:rPr>
              <w:instrText xml:space="preserve"> PAGEREF _Toc189739263 \h </w:instrText>
            </w:r>
            <w:r>
              <w:rPr>
                <w:noProof/>
                <w:webHidden/>
              </w:rPr>
            </w:r>
            <w:r>
              <w:rPr>
                <w:noProof/>
                <w:webHidden/>
              </w:rPr>
              <w:fldChar w:fldCharType="separate"/>
            </w:r>
            <w:r>
              <w:rPr>
                <w:noProof/>
                <w:webHidden/>
              </w:rPr>
              <w:t>8</w:t>
            </w:r>
            <w:r>
              <w:rPr>
                <w:noProof/>
                <w:webHidden/>
              </w:rPr>
              <w:fldChar w:fldCharType="end"/>
            </w:r>
          </w:hyperlink>
        </w:p>
        <w:p w14:paraId="7C5D19E2" w14:textId="69AF2B5A"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64" w:history="1">
            <w:r w:rsidRPr="008F38E3">
              <w:rPr>
                <w:rStyle w:val="Hyperlink"/>
                <w:rFonts w:eastAsia="Calibri"/>
                <w:noProof/>
              </w:rPr>
              <w:t>1.3.2 How does affirmative action fit within the concept of substantive equality?</w:t>
            </w:r>
            <w:r>
              <w:rPr>
                <w:noProof/>
                <w:webHidden/>
              </w:rPr>
              <w:tab/>
            </w:r>
            <w:r>
              <w:rPr>
                <w:noProof/>
                <w:webHidden/>
              </w:rPr>
              <w:fldChar w:fldCharType="begin"/>
            </w:r>
            <w:r>
              <w:rPr>
                <w:noProof/>
                <w:webHidden/>
              </w:rPr>
              <w:instrText xml:space="preserve"> PAGEREF _Toc189739264 \h </w:instrText>
            </w:r>
            <w:r>
              <w:rPr>
                <w:noProof/>
                <w:webHidden/>
              </w:rPr>
            </w:r>
            <w:r>
              <w:rPr>
                <w:noProof/>
                <w:webHidden/>
              </w:rPr>
              <w:fldChar w:fldCharType="separate"/>
            </w:r>
            <w:r>
              <w:rPr>
                <w:noProof/>
                <w:webHidden/>
              </w:rPr>
              <w:t>9</w:t>
            </w:r>
            <w:r>
              <w:rPr>
                <w:noProof/>
                <w:webHidden/>
              </w:rPr>
              <w:fldChar w:fldCharType="end"/>
            </w:r>
          </w:hyperlink>
        </w:p>
        <w:p w14:paraId="1AB6E153" w14:textId="290AEA14"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65" w:history="1">
            <w:r w:rsidRPr="008F38E3">
              <w:rPr>
                <w:rStyle w:val="Hyperlink"/>
                <w:rFonts w:eastAsia="Calibri"/>
                <w:noProof/>
              </w:rPr>
              <w:t>1.3.3 What are the requirements for a valid and legal affirmative action?</w:t>
            </w:r>
            <w:r>
              <w:rPr>
                <w:noProof/>
                <w:webHidden/>
              </w:rPr>
              <w:tab/>
            </w:r>
            <w:r>
              <w:rPr>
                <w:noProof/>
                <w:webHidden/>
              </w:rPr>
              <w:fldChar w:fldCharType="begin"/>
            </w:r>
            <w:r>
              <w:rPr>
                <w:noProof/>
                <w:webHidden/>
              </w:rPr>
              <w:instrText xml:space="preserve"> PAGEREF _Toc189739265 \h </w:instrText>
            </w:r>
            <w:r>
              <w:rPr>
                <w:noProof/>
                <w:webHidden/>
              </w:rPr>
            </w:r>
            <w:r>
              <w:rPr>
                <w:noProof/>
                <w:webHidden/>
              </w:rPr>
              <w:fldChar w:fldCharType="separate"/>
            </w:r>
            <w:r>
              <w:rPr>
                <w:noProof/>
                <w:webHidden/>
              </w:rPr>
              <w:t>11</w:t>
            </w:r>
            <w:r>
              <w:rPr>
                <w:noProof/>
                <w:webHidden/>
              </w:rPr>
              <w:fldChar w:fldCharType="end"/>
            </w:r>
          </w:hyperlink>
        </w:p>
        <w:p w14:paraId="74EEE81E" w14:textId="4D80A826"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66" w:history="1">
            <w:r w:rsidRPr="008F38E3">
              <w:rPr>
                <w:rStyle w:val="Hyperlink"/>
                <w:rFonts w:eastAsia="Calibri"/>
                <w:noProof/>
              </w:rPr>
              <w:t>1.3.4 Do people have a right (automatic) to affirmative action?</w:t>
            </w:r>
            <w:r>
              <w:rPr>
                <w:noProof/>
                <w:webHidden/>
              </w:rPr>
              <w:tab/>
            </w:r>
            <w:r>
              <w:rPr>
                <w:noProof/>
                <w:webHidden/>
              </w:rPr>
              <w:fldChar w:fldCharType="begin"/>
            </w:r>
            <w:r>
              <w:rPr>
                <w:noProof/>
                <w:webHidden/>
              </w:rPr>
              <w:instrText xml:space="preserve"> PAGEREF _Toc189739266 \h </w:instrText>
            </w:r>
            <w:r>
              <w:rPr>
                <w:noProof/>
                <w:webHidden/>
              </w:rPr>
            </w:r>
            <w:r>
              <w:rPr>
                <w:noProof/>
                <w:webHidden/>
              </w:rPr>
              <w:fldChar w:fldCharType="separate"/>
            </w:r>
            <w:r>
              <w:rPr>
                <w:noProof/>
                <w:webHidden/>
              </w:rPr>
              <w:t>12</w:t>
            </w:r>
            <w:r>
              <w:rPr>
                <w:noProof/>
                <w:webHidden/>
              </w:rPr>
              <w:fldChar w:fldCharType="end"/>
            </w:r>
          </w:hyperlink>
        </w:p>
        <w:p w14:paraId="0C4BC53B" w14:textId="0C6BA9C8"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67" w:history="1">
            <w:r w:rsidRPr="008F38E3">
              <w:rPr>
                <w:rStyle w:val="Hyperlink"/>
                <w:rFonts w:eastAsia="Calibri"/>
                <w:noProof/>
              </w:rPr>
              <w:t>1.5 Method / approach</w:t>
            </w:r>
            <w:r>
              <w:rPr>
                <w:noProof/>
                <w:webHidden/>
              </w:rPr>
              <w:tab/>
            </w:r>
            <w:r>
              <w:rPr>
                <w:noProof/>
                <w:webHidden/>
              </w:rPr>
              <w:fldChar w:fldCharType="begin"/>
            </w:r>
            <w:r>
              <w:rPr>
                <w:noProof/>
                <w:webHidden/>
              </w:rPr>
              <w:instrText xml:space="preserve"> PAGEREF _Toc189739267 \h </w:instrText>
            </w:r>
            <w:r>
              <w:rPr>
                <w:noProof/>
                <w:webHidden/>
              </w:rPr>
            </w:r>
            <w:r>
              <w:rPr>
                <w:noProof/>
                <w:webHidden/>
              </w:rPr>
              <w:fldChar w:fldCharType="separate"/>
            </w:r>
            <w:r>
              <w:rPr>
                <w:noProof/>
                <w:webHidden/>
              </w:rPr>
              <w:t>13</w:t>
            </w:r>
            <w:r>
              <w:rPr>
                <w:noProof/>
                <w:webHidden/>
              </w:rPr>
              <w:fldChar w:fldCharType="end"/>
            </w:r>
          </w:hyperlink>
        </w:p>
        <w:p w14:paraId="51DA2580" w14:textId="55F34A3F"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68" w:history="1">
            <w:r w:rsidRPr="008F38E3">
              <w:rPr>
                <w:rStyle w:val="Hyperlink"/>
                <w:rFonts w:eastAsia="Calibri"/>
                <w:noProof/>
              </w:rPr>
              <w:t>1.6 Chapter outlines</w:t>
            </w:r>
            <w:r>
              <w:rPr>
                <w:noProof/>
                <w:webHidden/>
              </w:rPr>
              <w:tab/>
            </w:r>
            <w:r>
              <w:rPr>
                <w:noProof/>
                <w:webHidden/>
              </w:rPr>
              <w:fldChar w:fldCharType="begin"/>
            </w:r>
            <w:r>
              <w:rPr>
                <w:noProof/>
                <w:webHidden/>
              </w:rPr>
              <w:instrText xml:space="preserve"> PAGEREF _Toc189739268 \h </w:instrText>
            </w:r>
            <w:r>
              <w:rPr>
                <w:noProof/>
                <w:webHidden/>
              </w:rPr>
            </w:r>
            <w:r>
              <w:rPr>
                <w:noProof/>
                <w:webHidden/>
              </w:rPr>
              <w:fldChar w:fldCharType="separate"/>
            </w:r>
            <w:r>
              <w:rPr>
                <w:noProof/>
                <w:webHidden/>
              </w:rPr>
              <w:t>14</w:t>
            </w:r>
            <w:r>
              <w:rPr>
                <w:noProof/>
                <w:webHidden/>
              </w:rPr>
              <w:fldChar w:fldCharType="end"/>
            </w:r>
          </w:hyperlink>
        </w:p>
        <w:p w14:paraId="38DD7AC3" w14:textId="048A0661"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69" w:history="1">
            <w:r w:rsidRPr="008F38E3">
              <w:rPr>
                <w:rStyle w:val="Hyperlink"/>
                <w:noProof/>
              </w:rPr>
              <w:t>CHAPTER 2</w:t>
            </w:r>
            <w:r>
              <w:rPr>
                <w:noProof/>
                <w:webHidden/>
              </w:rPr>
              <w:tab/>
            </w:r>
            <w:r>
              <w:rPr>
                <w:noProof/>
                <w:webHidden/>
              </w:rPr>
              <w:fldChar w:fldCharType="begin"/>
            </w:r>
            <w:r>
              <w:rPr>
                <w:noProof/>
                <w:webHidden/>
              </w:rPr>
              <w:instrText xml:space="preserve"> PAGEREF _Toc189739269 \h </w:instrText>
            </w:r>
            <w:r>
              <w:rPr>
                <w:noProof/>
                <w:webHidden/>
              </w:rPr>
            </w:r>
            <w:r>
              <w:rPr>
                <w:noProof/>
                <w:webHidden/>
              </w:rPr>
              <w:fldChar w:fldCharType="separate"/>
            </w:r>
            <w:r>
              <w:rPr>
                <w:noProof/>
                <w:webHidden/>
              </w:rPr>
              <w:t>16</w:t>
            </w:r>
            <w:r>
              <w:rPr>
                <w:noProof/>
                <w:webHidden/>
              </w:rPr>
              <w:fldChar w:fldCharType="end"/>
            </w:r>
          </w:hyperlink>
        </w:p>
        <w:p w14:paraId="23BB6DD2" w14:textId="78FB72BA"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70" w:history="1">
            <w:r w:rsidRPr="008F38E3">
              <w:rPr>
                <w:rStyle w:val="Hyperlink"/>
                <w:noProof/>
              </w:rPr>
              <w:t>THE HISTORICAL ORIGINS AND LEGAL FOUNDATIONS OF AFFIRMATIVE ACTION IN SOUTH AFRICA</w:t>
            </w:r>
            <w:r>
              <w:rPr>
                <w:noProof/>
                <w:webHidden/>
              </w:rPr>
              <w:tab/>
            </w:r>
            <w:r>
              <w:rPr>
                <w:noProof/>
                <w:webHidden/>
              </w:rPr>
              <w:fldChar w:fldCharType="begin"/>
            </w:r>
            <w:r>
              <w:rPr>
                <w:noProof/>
                <w:webHidden/>
              </w:rPr>
              <w:instrText xml:space="preserve"> PAGEREF _Toc189739270 \h </w:instrText>
            </w:r>
            <w:r>
              <w:rPr>
                <w:noProof/>
                <w:webHidden/>
              </w:rPr>
            </w:r>
            <w:r>
              <w:rPr>
                <w:noProof/>
                <w:webHidden/>
              </w:rPr>
              <w:fldChar w:fldCharType="separate"/>
            </w:r>
            <w:r>
              <w:rPr>
                <w:noProof/>
                <w:webHidden/>
              </w:rPr>
              <w:t>16</w:t>
            </w:r>
            <w:r>
              <w:rPr>
                <w:noProof/>
                <w:webHidden/>
              </w:rPr>
              <w:fldChar w:fldCharType="end"/>
            </w:r>
          </w:hyperlink>
        </w:p>
        <w:p w14:paraId="6870E91A" w14:textId="32537002"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71" w:history="1">
            <w:r w:rsidRPr="008F38E3">
              <w:rPr>
                <w:rStyle w:val="Hyperlink"/>
                <w:noProof/>
              </w:rPr>
              <w:t>2.1 Introduction</w:t>
            </w:r>
            <w:r>
              <w:rPr>
                <w:noProof/>
                <w:webHidden/>
              </w:rPr>
              <w:tab/>
            </w:r>
            <w:r>
              <w:rPr>
                <w:noProof/>
                <w:webHidden/>
              </w:rPr>
              <w:fldChar w:fldCharType="begin"/>
            </w:r>
            <w:r>
              <w:rPr>
                <w:noProof/>
                <w:webHidden/>
              </w:rPr>
              <w:instrText xml:space="preserve"> PAGEREF _Toc189739271 \h </w:instrText>
            </w:r>
            <w:r>
              <w:rPr>
                <w:noProof/>
                <w:webHidden/>
              </w:rPr>
            </w:r>
            <w:r>
              <w:rPr>
                <w:noProof/>
                <w:webHidden/>
              </w:rPr>
              <w:fldChar w:fldCharType="separate"/>
            </w:r>
            <w:r>
              <w:rPr>
                <w:noProof/>
                <w:webHidden/>
              </w:rPr>
              <w:t>16</w:t>
            </w:r>
            <w:r>
              <w:rPr>
                <w:noProof/>
                <w:webHidden/>
              </w:rPr>
              <w:fldChar w:fldCharType="end"/>
            </w:r>
          </w:hyperlink>
        </w:p>
        <w:p w14:paraId="4EAB8627" w14:textId="6B1518BE"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72" w:history="1">
            <w:r w:rsidRPr="008F38E3">
              <w:rPr>
                <w:rStyle w:val="Hyperlink"/>
                <w:noProof/>
              </w:rPr>
              <w:t>2.2 The historical foundations of workplace inequality before the constitutional order</w:t>
            </w:r>
            <w:r>
              <w:rPr>
                <w:noProof/>
                <w:webHidden/>
              </w:rPr>
              <w:tab/>
            </w:r>
            <w:r>
              <w:rPr>
                <w:noProof/>
                <w:webHidden/>
              </w:rPr>
              <w:fldChar w:fldCharType="begin"/>
            </w:r>
            <w:r>
              <w:rPr>
                <w:noProof/>
                <w:webHidden/>
              </w:rPr>
              <w:instrText xml:space="preserve"> PAGEREF _Toc189739272 \h </w:instrText>
            </w:r>
            <w:r>
              <w:rPr>
                <w:noProof/>
                <w:webHidden/>
              </w:rPr>
            </w:r>
            <w:r>
              <w:rPr>
                <w:noProof/>
                <w:webHidden/>
              </w:rPr>
              <w:fldChar w:fldCharType="separate"/>
            </w:r>
            <w:r>
              <w:rPr>
                <w:noProof/>
                <w:webHidden/>
              </w:rPr>
              <w:t>17</w:t>
            </w:r>
            <w:r>
              <w:rPr>
                <w:noProof/>
                <w:webHidden/>
              </w:rPr>
              <w:fldChar w:fldCharType="end"/>
            </w:r>
          </w:hyperlink>
        </w:p>
        <w:p w14:paraId="25465BBD" w14:textId="48135B43"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73" w:history="1">
            <w:r w:rsidRPr="008F38E3">
              <w:rPr>
                <w:rStyle w:val="Hyperlink"/>
                <w:noProof/>
              </w:rPr>
              <w:t>2.2.1 Slavery</w:t>
            </w:r>
            <w:r>
              <w:rPr>
                <w:noProof/>
                <w:webHidden/>
              </w:rPr>
              <w:tab/>
            </w:r>
            <w:r>
              <w:rPr>
                <w:noProof/>
                <w:webHidden/>
              </w:rPr>
              <w:fldChar w:fldCharType="begin"/>
            </w:r>
            <w:r>
              <w:rPr>
                <w:noProof/>
                <w:webHidden/>
              </w:rPr>
              <w:instrText xml:space="preserve"> PAGEREF _Toc189739273 \h </w:instrText>
            </w:r>
            <w:r>
              <w:rPr>
                <w:noProof/>
                <w:webHidden/>
              </w:rPr>
            </w:r>
            <w:r>
              <w:rPr>
                <w:noProof/>
                <w:webHidden/>
              </w:rPr>
              <w:fldChar w:fldCharType="separate"/>
            </w:r>
            <w:r>
              <w:rPr>
                <w:noProof/>
                <w:webHidden/>
              </w:rPr>
              <w:t>17</w:t>
            </w:r>
            <w:r>
              <w:rPr>
                <w:noProof/>
                <w:webHidden/>
              </w:rPr>
              <w:fldChar w:fldCharType="end"/>
            </w:r>
          </w:hyperlink>
        </w:p>
        <w:p w14:paraId="173A25C6" w14:textId="6C9E8B87"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74" w:history="1">
            <w:r w:rsidRPr="008F38E3">
              <w:rPr>
                <w:rStyle w:val="Hyperlink"/>
                <w:noProof/>
              </w:rPr>
              <w:t>2.2.2 South Africa’s Master and Servant law (in reaction to post-slavery abolition)</w:t>
            </w:r>
            <w:r>
              <w:rPr>
                <w:noProof/>
                <w:webHidden/>
              </w:rPr>
              <w:tab/>
            </w:r>
            <w:r>
              <w:rPr>
                <w:noProof/>
                <w:webHidden/>
              </w:rPr>
              <w:fldChar w:fldCharType="begin"/>
            </w:r>
            <w:r>
              <w:rPr>
                <w:noProof/>
                <w:webHidden/>
              </w:rPr>
              <w:instrText xml:space="preserve"> PAGEREF _Toc189739274 \h </w:instrText>
            </w:r>
            <w:r>
              <w:rPr>
                <w:noProof/>
                <w:webHidden/>
              </w:rPr>
            </w:r>
            <w:r>
              <w:rPr>
                <w:noProof/>
                <w:webHidden/>
              </w:rPr>
              <w:fldChar w:fldCharType="separate"/>
            </w:r>
            <w:r>
              <w:rPr>
                <w:noProof/>
                <w:webHidden/>
              </w:rPr>
              <w:t>18</w:t>
            </w:r>
            <w:r>
              <w:rPr>
                <w:noProof/>
                <w:webHidden/>
              </w:rPr>
              <w:fldChar w:fldCharType="end"/>
            </w:r>
          </w:hyperlink>
        </w:p>
        <w:p w14:paraId="2CC7D4AE" w14:textId="01E7DDB2"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75" w:history="1">
            <w:r w:rsidRPr="008F38E3">
              <w:rPr>
                <w:rStyle w:val="Hyperlink"/>
                <w:noProof/>
              </w:rPr>
              <w:t>2.2.3 Racially oppressive laws in the South African workplace</w:t>
            </w:r>
            <w:r>
              <w:rPr>
                <w:noProof/>
                <w:webHidden/>
              </w:rPr>
              <w:tab/>
            </w:r>
            <w:r>
              <w:rPr>
                <w:noProof/>
                <w:webHidden/>
              </w:rPr>
              <w:fldChar w:fldCharType="begin"/>
            </w:r>
            <w:r>
              <w:rPr>
                <w:noProof/>
                <w:webHidden/>
              </w:rPr>
              <w:instrText xml:space="preserve"> PAGEREF _Toc189739275 \h </w:instrText>
            </w:r>
            <w:r>
              <w:rPr>
                <w:noProof/>
                <w:webHidden/>
              </w:rPr>
            </w:r>
            <w:r>
              <w:rPr>
                <w:noProof/>
                <w:webHidden/>
              </w:rPr>
              <w:fldChar w:fldCharType="separate"/>
            </w:r>
            <w:r>
              <w:rPr>
                <w:noProof/>
                <w:webHidden/>
              </w:rPr>
              <w:t>20</w:t>
            </w:r>
            <w:r>
              <w:rPr>
                <w:noProof/>
                <w:webHidden/>
              </w:rPr>
              <w:fldChar w:fldCharType="end"/>
            </w:r>
          </w:hyperlink>
        </w:p>
        <w:p w14:paraId="0936D016" w14:textId="781058F3"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76" w:history="1">
            <w:r w:rsidRPr="008F38E3">
              <w:rPr>
                <w:rStyle w:val="Hyperlink"/>
                <w:noProof/>
              </w:rPr>
              <w:t>2.2.3.1 Natives Land Act 27 of 1913</w:t>
            </w:r>
            <w:r>
              <w:rPr>
                <w:noProof/>
                <w:webHidden/>
              </w:rPr>
              <w:tab/>
            </w:r>
            <w:r>
              <w:rPr>
                <w:noProof/>
                <w:webHidden/>
              </w:rPr>
              <w:fldChar w:fldCharType="begin"/>
            </w:r>
            <w:r>
              <w:rPr>
                <w:noProof/>
                <w:webHidden/>
              </w:rPr>
              <w:instrText xml:space="preserve"> PAGEREF _Toc189739276 \h </w:instrText>
            </w:r>
            <w:r>
              <w:rPr>
                <w:noProof/>
                <w:webHidden/>
              </w:rPr>
            </w:r>
            <w:r>
              <w:rPr>
                <w:noProof/>
                <w:webHidden/>
              </w:rPr>
              <w:fldChar w:fldCharType="separate"/>
            </w:r>
            <w:r>
              <w:rPr>
                <w:noProof/>
                <w:webHidden/>
              </w:rPr>
              <w:t>20</w:t>
            </w:r>
            <w:r>
              <w:rPr>
                <w:noProof/>
                <w:webHidden/>
              </w:rPr>
              <w:fldChar w:fldCharType="end"/>
            </w:r>
          </w:hyperlink>
        </w:p>
        <w:p w14:paraId="16D98A4D" w14:textId="3579CF8F"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77" w:history="1">
            <w:r w:rsidRPr="008F38E3">
              <w:rPr>
                <w:rStyle w:val="Hyperlink"/>
                <w:noProof/>
              </w:rPr>
              <w:t>2.2.3.2 Natives (Urban Areas) Act of 1923</w:t>
            </w:r>
            <w:r>
              <w:rPr>
                <w:noProof/>
                <w:webHidden/>
              </w:rPr>
              <w:tab/>
            </w:r>
            <w:r>
              <w:rPr>
                <w:noProof/>
                <w:webHidden/>
              </w:rPr>
              <w:fldChar w:fldCharType="begin"/>
            </w:r>
            <w:r>
              <w:rPr>
                <w:noProof/>
                <w:webHidden/>
              </w:rPr>
              <w:instrText xml:space="preserve"> PAGEREF _Toc189739277 \h </w:instrText>
            </w:r>
            <w:r>
              <w:rPr>
                <w:noProof/>
                <w:webHidden/>
              </w:rPr>
            </w:r>
            <w:r>
              <w:rPr>
                <w:noProof/>
                <w:webHidden/>
              </w:rPr>
              <w:fldChar w:fldCharType="separate"/>
            </w:r>
            <w:r>
              <w:rPr>
                <w:noProof/>
                <w:webHidden/>
              </w:rPr>
              <w:t>20</w:t>
            </w:r>
            <w:r>
              <w:rPr>
                <w:noProof/>
                <w:webHidden/>
              </w:rPr>
              <w:fldChar w:fldCharType="end"/>
            </w:r>
          </w:hyperlink>
        </w:p>
        <w:p w14:paraId="329B6931" w14:textId="3531D8B0"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78" w:history="1">
            <w:r w:rsidRPr="008F38E3">
              <w:rPr>
                <w:rStyle w:val="Hyperlink"/>
                <w:noProof/>
              </w:rPr>
              <w:t>2.2.3.3 The "Civilised Labour" Policy of 1924</w:t>
            </w:r>
            <w:r>
              <w:rPr>
                <w:noProof/>
                <w:webHidden/>
              </w:rPr>
              <w:tab/>
            </w:r>
            <w:r>
              <w:rPr>
                <w:noProof/>
                <w:webHidden/>
              </w:rPr>
              <w:fldChar w:fldCharType="begin"/>
            </w:r>
            <w:r>
              <w:rPr>
                <w:noProof/>
                <w:webHidden/>
              </w:rPr>
              <w:instrText xml:space="preserve"> PAGEREF _Toc189739278 \h </w:instrText>
            </w:r>
            <w:r>
              <w:rPr>
                <w:noProof/>
                <w:webHidden/>
              </w:rPr>
            </w:r>
            <w:r>
              <w:rPr>
                <w:noProof/>
                <w:webHidden/>
              </w:rPr>
              <w:fldChar w:fldCharType="separate"/>
            </w:r>
            <w:r>
              <w:rPr>
                <w:noProof/>
                <w:webHidden/>
              </w:rPr>
              <w:t>21</w:t>
            </w:r>
            <w:r>
              <w:rPr>
                <w:noProof/>
                <w:webHidden/>
              </w:rPr>
              <w:fldChar w:fldCharType="end"/>
            </w:r>
          </w:hyperlink>
        </w:p>
        <w:p w14:paraId="0F1F3FA4" w14:textId="1CB3462A"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79" w:history="1">
            <w:r w:rsidRPr="008F38E3">
              <w:rPr>
                <w:rStyle w:val="Hyperlink"/>
                <w:noProof/>
              </w:rPr>
              <w:t>2.2.3.4 Mines and Works Amendment Act of 1926 and the Industrial Conciliation Act 28 of 1956</w:t>
            </w:r>
            <w:r>
              <w:rPr>
                <w:noProof/>
                <w:webHidden/>
              </w:rPr>
              <w:tab/>
            </w:r>
            <w:r>
              <w:rPr>
                <w:noProof/>
                <w:webHidden/>
              </w:rPr>
              <w:fldChar w:fldCharType="begin"/>
            </w:r>
            <w:r>
              <w:rPr>
                <w:noProof/>
                <w:webHidden/>
              </w:rPr>
              <w:instrText xml:space="preserve"> PAGEREF _Toc189739279 \h </w:instrText>
            </w:r>
            <w:r>
              <w:rPr>
                <w:noProof/>
                <w:webHidden/>
              </w:rPr>
            </w:r>
            <w:r>
              <w:rPr>
                <w:noProof/>
                <w:webHidden/>
              </w:rPr>
              <w:fldChar w:fldCharType="separate"/>
            </w:r>
            <w:r>
              <w:rPr>
                <w:noProof/>
                <w:webHidden/>
              </w:rPr>
              <w:t>22</w:t>
            </w:r>
            <w:r>
              <w:rPr>
                <w:noProof/>
                <w:webHidden/>
              </w:rPr>
              <w:fldChar w:fldCharType="end"/>
            </w:r>
          </w:hyperlink>
        </w:p>
        <w:p w14:paraId="3CD92AF4" w14:textId="77D4C0FA"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80" w:history="1">
            <w:r w:rsidRPr="008F38E3">
              <w:rPr>
                <w:rStyle w:val="Hyperlink"/>
                <w:noProof/>
              </w:rPr>
              <w:t>2.2.3.5 Native Building Workers Act 27 of 1951</w:t>
            </w:r>
            <w:r>
              <w:rPr>
                <w:noProof/>
                <w:webHidden/>
              </w:rPr>
              <w:tab/>
            </w:r>
            <w:r>
              <w:rPr>
                <w:noProof/>
                <w:webHidden/>
              </w:rPr>
              <w:fldChar w:fldCharType="begin"/>
            </w:r>
            <w:r>
              <w:rPr>
                <w:noProof/>
                <w:webHidden/>
              </w:rPr>
              <w:instrText xml:space="preserve"> PAGEREF _Toc189739280 \h </w:instrText>
            </w:r>
            <w:r>
              <w:rPr>
                <w:noProof/>
                <w:webHidden/>
              </w:rPr>
            </w:r>
            <w:r>
              <w:rPr>
                <w:noProof/>
                <w:webHidden/>
              </w:rPr>
              <w:fldChar w:fldCharType="separate"/>
            </w:r>
            <w:r>
              <w:rPr>
                <w:noProof/>
                <w:webHidden/>
              </w:rPr>
              <w:t>22</w:t>
            </w:r>
            <w:r>
              <w:rPr>
                <w:noProof/>
                <w:webHidden/>
              </w:rPr>
              <w:fldChar w:fldCharType="end"/>
            </w:r>
          </w:hyperlink>
        </w:p>
        <w:p w14:paraId="7251AB34" w14:textId="7979F725"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81" w:history="1">
            <w:r w:rsidRPr="008F38E3">
              <w:rPr>
                <w:rStyle w:val="Hyperlink"/>
                <w:noProof/>
              </w:rPr>
              <w:t>2.2.3.6 Native Laws Amendment Act 54 of 1952</w:t>
            </w:r>
            <w:r>
              <w:rPr>
                <w:noProof/>
                <w:webHidden/>
              </w:rPr>
              <w:tab/>
            </w:r>
            <w:r>
              <w:rPr>
                <w:noProof/>
                <w:webHidden/>
              </w:rPr>
              <w:fldChar w:fldCharType="begin"/>
            </w:r>
            <w:r>
              <w:rPr>
                <w:noProof/>
                <w:webHidden/>
              </w:rPr>
              <w:instrText xml:space="preserve"> PAGEREF _Toc189739281 \h </w:instrText>
            </w:r>
            <w:r>
              <w:rPr>
                <w:noProof/>
                <w:webHidden/>
              </w:rPr>
            </w:r>
            <w:r>
              <w:rPr>
                <w:noProof/>
                <w:webHidden/>
              </w:rPr>
              <w:fldChar w:fldCharType="separate"/>
            </w:r>
            <w:r>
              <w:rPr>
                <w:noProof/>
                <w:webHidden/>
              </w:rPr>
              <w:t>23</w:t>
            </w:r>
            <w:r>
              <w:rPr>
                <w:noProof/>
                <w:webHidden/>
              </w:rPr>
              <w:fldChar w:fldCharType="end"/>
            </w:r>
          </w:hyperlink>
        </w:p>
        <w:p w14:paraId="4221DE8E" w14:textId="74E79BB3"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82" w:history="1">
            <w:r w:rsidRPr="008F38E3">
              <w:rPr>
                <w:rStyle w:val="Hyperlink"/>
                <w:noProof/>
              </w:rPr>
              <w:t>2.2.3.7 Apartheid</w:t>
            </w:r>
            <w:r>
              <w:rPr>
                <w:noProof/>
                <w:webHidden/>
              </w:rPr>
              <w:tab/>
            </w:r>
            <w:r>
              <w:rPr>
                <w:noProof/>
                <w:webHidden/>
              </w:rPr>
              <w:fldChar w:fldCharType="begin"/>
            </w:r>
            <w:r>
              <w:rPr>
                <w:noProof/>
                <w:webHidden/>
              </w:rPr>
              <w:instrText xml:space="preserve"> PAGEREF _Toc189739282 \h </w:instrText>
            </w:r>
            <w:r>
              <w:rPr>
                <w:noProof/>
                <w:webHidden/>
              </w:rPr>
            </w:r>
            <w:r>
              <w:rPr>
                <w:noProof/>
                <w:webHidden/>
              </w:rPr>
              <w:fldChar w:fldCharType="separate"/>
            </w:r>
            <w:r>
              <w:rPr>
                <w:noProof/>
                <w:webHidden/>
              </w:rPr>
              <w:t>23</w:t>
            </w:r>
            <w:r>
              <w:rPr>
                <w:noProof/>
                <w:webHidden/>
              </w:rPr>
              <w:fldChar w:fldCharType="end"/>
            </w:r>
          </w:hyperlink>
        </w:p>
        <w:p w14:paraId="2863C062" w14:textId="71AD7F21"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83" w:history="1">
            <w:r w:rsidRPr="008F38E3">
              <w:rPr>
                <w:rStyle w:val="Hyperlink"/>
                <w:noProof/>
              </w:rPr>
              <w:t>2.3 The post-constitutional evolution of labour legislations in South Africa</w:t>
            </w:r>
            <w:r>
              <w:rPr>
                <w:noProof/>
                <w:webHidden/>
              </w:rPr>
              <w:tab/>
            </w:r>
            <w:r>
              <w:rPr>
                <w:noProof/>
                <w:webHidden/>
              </w:rPr>
              <w:fldChar w:fldCharType="begin"/>
            </w:r>
            <w:r>
              <w:rPr>
                <w:noProof/>
                <w:webHidden/>
              </w:rPr>
              <w:instrText xml:space="preserve"> PAGEREF _Toc189739283 \h </w:instrText>
            </w:r>
            <w:r>
              <w:rPr>
                <w:noProof/>
                <w:webHidden/>
              </w:rPr>
            </w:r>
            <w:r>
              <w:rPr>
                <w:noProof/>
                <w:webHidden/>
              </w:rPr>
              <w:fldChar w:fldCharType="separate"/>
            </w:r>
            <w:r>
              <w:rPr>
                <w:noProof/>
                <w:webHidden/>
              </w:rPr>
              <w:t>26</w:t>
            </w:r>
            <w:r>
              <w:rPr>
                <w:noProof/>
                <w:webHidden/>
              </w:rPr>
              <w:fldChar w:fldCharType="end"/>
            </w:r>
          </w:hyperlink>
        </w:p>
        <w:p w14:paraId="15D83E6E" w14:textId="77213EE0"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84" w:history="1">
            <w:r w:rsidRPr="008F38E3">
              <w:rPr>
                <w:rStyle w:val="Hyperlink"/>
                <w:noProof/>
              </w:rPr>
              <w:t>2.3.1 Wiehahn Commission recommendations</w:t>
            </w:r>
            <w:r>
              <w:rPr>
                <w:noProof/>
                <w:webHidden/>
              </w:rPr>
              <w:tab/>
            </w:r>
            <w:r>
              <w:rPr>
                <w:noProof/>
                <w:webHidden/>
              </w:rPr>
              <w:fldChar w:fldCharType="begin"/>
            </w:r>
            <w:r>
              <w:rPr>
                <w:noProof/>
                <w:webHidden/>
              </w:rPr>
              <w:instrText xml:space="preserve"> PAGEREF _Toc189739284 \h </w:instrText>
            </w:r>
            <w:r>
              <w:rPr>
                <w:noProof/>
                <w:webHidden/>
              </w:rPr>
            </w:r>
            <w:r>
              <w:rPr>
                <w:noProof/>
                <w:webHidden/>
              </w:rPr>
              <w:fldChar w:fldCharType="separate"/>
            </w:r>
            <w:r>
              <w:rPr>
                <w:noProof/>
                <w:webHidden/>
              </w:rPr>
              <w:t>26</w:t>
            </w:r>
            <w:r>
              <w:rPr>
                <w:noProof/>
                <w:webHidden/>
              </w:rPr>
              <w:fldChar w:fldCharType="end"/>
            </w:r>
          </w:hyperlink>
        </w:p>
        <w:p w14:paraId="23DFB8BC" w14:textId="123BCFEA"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85" w:history="1">
            <w:r w:rsidRPr="008F38E3">
              <w:rPr>
                <w:rStyle w:val="Hyperlink"/>
                <w:noProof/>
              </w:rPr>
              <w:t>2.3.2 South African Law Commission Reports</w:t>
            </w:r>
            <w:r>
              <w:rPr>
                <w:noProof/>
                <w:webHidden/>
              </w:rPr>
              <w:tab/>
            </w:r>
            <w:r>
              <w:rPr>
                <w:noProof/>
                <w:webHidden/>
              </w:rPr>
              <w:fldChar w:fldCharType="begin"/>
            </w:r>
            <w:r>
              <w:rPr>
                <w:noProof/>
                <w:webHidden/>
              </w:rPr>
              <w:instrText xml:space="preserve"> PAGEREF _Toc189739285 \h </w:instrText>
            </w:r>
            <w:r>
              <w:rPr>
                <w:noProof/>
                <w:webHidden/>
              </w:rPr>
            </w:r>
            <w:r>
              <w:rPr>
                <w:noProof/>
                <w:webHidden/>
              </w:rPr>
              <w:fldChar w:fldCharType="separate"/>
            </w:r>
            <w:r>
              <w:rPr>
                <w:noProof/>
                <w:webHidden/>
              </w:rPr>
              <w:t>30</w:t>
            </w:r>
            <w:r>
              <w:rPr>
                <w:noProof/>
                <w:webHidden/>
              </w:rPr>
              <w:fldChar w:fldCharType="end"/>
            </w:r>
          </w:hyperlink>
        </w:p>
        <w:p w14:paraId="58BED5AB" w14:textId="57E7280C"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86" w:history="1">
            <w:r w:rsidRPr="008F38E3">
              <w:rPr>
                <w:rStyle w:val="Hyperlink"/>
                <w:noProof/>
              </w:rPr>
              <w:t>2.3.2.1 SALC's Working Paper 25 Project 58 of 1989</w:t>
            </w:r>
            <w:r>
              <w:rPr>
                <w:noProof/>
                <w:webHidden/>
              </w:rPr>
              <w:tab/>
            </w:r>
            <w:r>
              <w:rPr>
                <w:noProof/>
                <w:webHidden/>
              </w:rPr>
              <w:fldChar w:fldCharType="begin"/>
            </w:r>
            <w:r>
              <w:rPr>
                <w:noProof/>
                <w:webHidden/>
              </w:rPr>
              <w:instrText xml:space="preserve"> PAGEREF _Toc189739286 \h </w:instrText>
            </w:r>
            <w:r>
              <w:rPr>
                <w:noProof/>
                <w:webHidden/>
              </w:rPr>
            </w:r>
            <w:r>
              <w:rPr>
                <w:noProof/>
                <w:webHidden/>
              </w:rPr>
              <w:fldChar w:fldCharType="separate"/>
            </w:r>
            <w:r>
              <w:rPr>
                <w:noProof/>
                <w:webHidden/>
              </w:rPr>
              <w:t>30</w:t>
            </w:r>
            <w:r>
              <w:rPr>
                <w:noProof/>
                <w:webHidden/>
              </w:rPr>
              <w:fldChar w:fldCharType="end"/>
            </w:r>
          </w:hyperlink>
        </w:p>
        <w:p w14:paraId="2C17E501" w14:textId="400380D5"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87" w:history="1">
            <w:r w:rsidRPr="008F38E3">
              <w:rPr>
                <w:rStyle w:val="Hyperlink"/>
                <w:noProof/>
              </w:rPr>
              <w:t>2.3.2.2 The Interim Report 2 of 1991 on Group and Human Rights</w:t>
            </w:r>
            <w:r>
              <w:rPr>
                <w:noProof/>
                <w:webHidden/>
              </w:rPr>
              <w:tab/>
            </w:r>
            <w:r>
              <w:rPr>
                <w:noProof/>
                <w:webHidden/>
              </w:rPr>
              <w:fldChar w:fldCharType="begin"/>
            </w:r>
            <w:r>
              <w:rPr>
                <w:noProof/>
                <w:webHidden/>
              </w:rPr>
              <w:instrText xml:space="preserve"> PAGEREF _Toc189739287 \h </w:instrText>
            </w:r>
            <w:r>
              <w:rPr>
                <w:noProof/>
                <w:webHidden/>
              </w:rPr>
            </w:r>
            <w:r>
              <w:rPr>
                <w:noProof/>
                <w:webHidden/>
              </w:rPr>
              <w:fldChar w:fldCharType="separate"/>
            </w:r>
            <w:r>
              <w:rPr>
                <w:noProof/>
                <w:webHidden/>
              </w:rPr>
              <w:t>31</w:t>
            </w:r>
            <w:r>
              <w:rPr>
                <w:noProof/>
                <w:webHidden/>
              </w:rPr>
              <w:fldChar w:fldCharType="end"/>
            </w:r>
          </w:hyperlink>
        </w:p>
        <w:p w14:paraId="2BB90FB6" w14:textId="7DF7B354"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288" w:history="1">
            <w:r w:rsidRPr="008F38E3">
              <w:rPr>
                <w:rStyle w:val="Hyperlink"/>
                <w:noProof/>
              </w:rPr>
              <w:t>2.3.2.3 The Final Report of 1994 on Group and Human Rights</w:t>
            </w:r>
            <w:r>
              <w:rPr>
                <w:noProof/>
                <w:webHidden/>
              </w:rPr>
              <w:tab/>
            </w:r>
            <w:r>
              <w:rPr>
                <w:noProof/>
                <w:webHidden/>
              </w:rPr>
              <w:fldChar w:fldCharType="begin"/>
            </w:r>
            <w:r>
              <w:rPr>
                <w:noProof/>
                <w:webHidden/>
              </w:rPr>
              <w:instrText xml:space="preserve"> PAGEREF _Toc189739288 \h </w:instrText>
            </w:r>
            <w:r>
              <w:rPr>
                <w:noProof/>
                <w:webHidden/>
              </w:rPr>
            </w:r>
            <w:r>
              <w:rPr>
                <w:noProof/>
                <w:webHidden/>
              </w:rPr>
              <w:fldChar w:fldCharType="separate"/>
            </w:r>
            <w:r>
              <w:rPr>
                <w:noProof/>
                <w:webHidden/>
              </w:rPr>
              <w:t>32</w:t>
            </w:r>
            <w:r>
              <w:rPr>
                <w:noProof/>
                <w:webHidden/>
              </w:rPr>
              <w:fldChar w:fldCharType="end"/>
            </w:r>
          </w:hyperlink>
        </w:p>
        <w:p w14:paraId="759C835E" w14:textId="775F8097"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89" w:history="1">
            <w:r w:rsidRPr="008F38E3">
              <w:rPr>
                <w:rStyle w:val="Hyperlink"/>
                <w:noProof/>
              </w:rPr>
              <w:t>2.3.3 Constitution of the Republic of South Africa, 1996</w:t>
            </w:r>
            <w:r>
              <w:rPr>
                <w:noProof/>
                <w:webHidden/>
              </w:rPr>
              <w:tab/>
            </w:r>
            <w:r>
              <w:rPr>
                <w:noProof/>
                <w:webHidden/>
              </w:rPr>
              <w:fldChar w:fldCharType="begin"/>
            </w:r>
            <w:r>
              <w:rPr>
                <w:noProof/>
                <w:webHidden/>
              </w:rPr>
              <w:instrText xml:space="preserve"> PAGEREF _Toc189739289 \h </w:instrText>
            </w:r>
            <w:r>
              <w:rPr>
                <w:noProof/>
                <w:webHidden/>
              </w:rPr>
            </w:r>
            <w:r>
              <w:rPr>
                <w:noProof/>
                <w:webHidden/>
              </w:rPr>
              <w:fldChar w:fldCharType="separate"/>
            </w:r>
            <w:r>
              <w:rPr>
                <w:noProof/>
                <w:webHidden/>
              </w:rPr>
              <w:t>33</w:t>
            </w:r>
            <w:r>
              <w:rPr>
                <w:noProof/>
                <w:webHidden/>
              </w:rPr>
              <w:fldChar w:fldCharType="end"/>
            </w:r>
          </w:hyperlink>
        </w:p>
        <w:p w14:paraId="1068AD94" w14:textId="5F36CF5A"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0" w:history="1">
            <w:r w:rsidRPr="008F38E3">
              <w:rPr>
                <w:rStyle w:val="Hyperlink"/>
                <w:noProof/>
              </w:rPr>
              <w:t>2.3.4 Employment Equity Act 55 of 1998</w:t>
            </w:r>
            <w:r>
              <w:rPr>
                <w:noProof/>
                <w:webHidden/>
              </w:rPr>
              <w:tab/>
            </w:r>
            <w:r>
              <w:rPr>
                <w:noProof/>
                <w:webHidden/>
              </w:rPr>
              <w:fldChar w:fldCharType="begin"/>
            </w:r>
            <w:r>
              <w:rPr>
                <w:noProof/>
                <w:webHidden/>
              </w:rPr>
              <w:instrText xml:space="preserve"> PAGEREF _Toc189739290 \h </w:instrText>
            </w:r>
            <w:r>
              <w:rPr>
                <w:noProof/>
                <w:webHidden/>
              </w:rPr>
            </w:r>
            <w:r>
              <w:rPr>
                <w:noProof/>
                <w:webHidden/>
              </w:rPr>
              <w:fldChar w:fldCharType="separate"/>
            </w:r>
            <w:r>
              <w:rPr>
                <w:noProof/>
                <w:webHidden/>
              </w:rPr>
              <w:t>36</w:t>
            </w:r>
            <w:r>
              <w:rPr>
                <w:noProof/>
                <w:webHidden/>
              </w:rPr>
              <w:fldChar w:fldCharType="end"/>
            </w:r>
          </w:hyperlink>
        </w:p>
        <w:p w14:paraId="1AD7C722" w14:textId="751FB7A4"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1" w:history="1">
            <w:r w:rsidRPr="008F38E3">
              <w:rPr>
                <w:rStyle w:val="Hyperlink"/>
                <w:noProof/>
              </w:rPr>
              <w:t>2.3.5 Labour Relations Act 66 of 1995</w:t>
            </w:r>
            <w:r>
              <w:rPr>
                <w:noProof/>
                <w:webHidden/>
              </w:rPr>
              <w:tab/>
            </w:r>
            <w:r>
              <w:rPr>
                <w:noProof/>
                <w:webHidden/>
              </w:rPr>
              <w:fldChar w:fldCharType="begin"/>
            </w:r>
            <w:r>
              <w:rPr>
                <w:noProof/>
                <w:webHidden/>
              </w:rPr>
              <w:instrText xml:space="preserve"> PAGEREF _Toc189739291 \h </w:instrText>
            </w:r>
            <w:r>
              <w:rPr>
                <w:noProof/>
                <w:webHidden/>
              </w:rPr>
            </w:r>
            <w:r>
              <w:rPr>
                <w:noProof/>
                <w:webHidden/>
              </w:rPr>
              <w:fldChar w:fldCharType="separate"/>
            </w:r>
            <w:r>
              <w:rPr>
                <w:noProof/>
                <w:webHidden/>
              </w:rPr>
              <w:t>39</w:t>
            </w:r>
            <w:r>
              <w:rPr>
                <w:noProof/>
                <w:webHidden/>
              </w:rPr>
              <w:fldChar w:fldCharType="end"/>
            </w:r>
          </w:hyperlink>
        </w:p>
        <w:p w14:paraId="62FF17F3" w14:textId="50EAC0CB"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2" w:history="1">
            <w:r w:rsidRPr="008F38E3">
              <w:rPr>
                <w:rStyle w:val="Hyperlink"/>
                <w:noProof/>
              </w:rPr>
              <w:t>2.3.6 The Labour Market Commission</w:t>
            </w:r>
            <w:r>
              <w:rPr>
                <w:noProof/>
                <w:webHidden/>
              </w:rPr>
              <w:tab/>
            </w:r>
            <w:r>
              <w:rPr>
                <w:noProof/>
                <w:webHidden/>
              </w:rPr>
              <w:fldChar w:fldCharType="begin"/>
            </w:r>
            <w:r>
              <w:rPr>
                <w:noProof/>
                <w:webHidden/>
              </w:rPr>
              <w:instrText xml:space="preserve"> PAGEREF _Toc189739292 \h </w:instrText>
            </w:r>
            <w:r>
              <w:rPr>
                <w:noProof/>
                <w:webHidden/>
              </w:rPr>
            </w:r>
            <w:r>
              <w:rPr>
                <w:noProof/>
                <w:webHidden/>
              </w:rPr>
              <w:fldChar w:fldCharType="separate"/>
            </w:r>
            <w:r>
              <w:rPr>
                <w:noProof/>
                <w:webHidden/>
              </w:rPr>
              <w:t>42</w:t>
            </w:r>
            <w:r>
              <w:rPr>
                <w:noProof/>
                <w:webHidden/>
              </w:rPr>
              <w:fldChar w:fldCharType="end"/>
            </w:r>
          </w:hyperlink>
        </w:p>
        <w:p w14:paraId="6F46B2BF" w14:textId="24C7E0D7"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3" w:history="1">
            <w:r w:rsidRPr="008F38E3">
              <w:rPr>
                <w:rStyle w:val="Hyperlink"/>
                <w:noProof/>
              </w:rPr>
              <w:t>2.3.7 The Broad-Based Black Economic Empowerment Act</w:t>
            </w:r>
            <w:r>
              <w:rPr>
                <w:noProof/>
                <w:webHidden/>
              </w:rPr>
              <w:tab/>
            </w:r>
            <w:r>
              <w:rPr>
                <w:noProof/>
                <w:webHidden/>
              </w:rPr>
              <w:fldChar w:fldCharType="begin"/>
            </w:r>
            <w:r>
              <w:rPr>
                <w:noProof/>
                <w:webHidden/>
              </w:rPr>
              <w:instrText xml:space="preserve"> PAGEREF _Toc189739293 \h </w:instrText>
            </w:r>
            <w:r>
              <w:rPr>
                <w:noProof/>
                <w:webHidden/>
              </w:rPr>
            </w:r>
            <w:r>
              <w:rPr>
                <w:noProof/>
                <w:webHidden/>
              </w:rPr>
              <w:fldChar w:fldCharType="separate"/>
            </w:r>
            <w:r>
              <w:rPr>
                <w:noProof/>
                <w:webHidden/>
              </w:rPr>
              <w:t>44</w:t>
            </w:r>
            <w:r>
              <w:rPr>
                <w:noProof/>
                <w:webHidden/>
              </w:rPr>
              <w:fldChar w:fldCharType="end"/>
            </w:r>
          </w:hyperlink>
        </w:p>
        <w:p w14:paraId="064431B1" w14:textId="704032A5"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94" w:history="1">
            <w:r w:rsidRPr="008F38E3">
              <w:rPr>
                <w:rStyle w:val="Hyperlink"/>
                <w:noProof/>
              </w:rPr>
              <w:t>2.4 Substantive equality as conceptual foundation of affirmative action</w:t>
            </w:r>
            <w:r>
              <w:rPr>
                <w:noProof/>
                <w:webHidden/>
              </w:rPr>
              <w:tab/>
            </w:r>
            <w:r>
              <w:rPr>
                <w:noProof/>
                <w:webHidden/>
              </w:rPr>
              <w:fldChar w:fldCharType="begin"/>
            </w:r>
            <w:r>
              <w:rPr>
                <w:noProof/>
                <w:webHidden/>
              </w:rPr>
              <w:instrText xml:space="preserve"> PAGEREF _Toc189739294 \h </w:instrText>
            </w:r>
            <w:r>
              <w:rPr>
                <w:noProof/>
                <w:webHidden/>
              </w:rPr>
            </w:r>
            <w:r>
              <w:rPr>
                <w:noProof/>
                <w:webHidden/>
              </w:rPr>
              <w:fldChar w:fldCharType="separate"/>
            </w:r>
            <w:r>
              <w:rPr>
                <w:noProof/>
                <w:webHidden/>
              </w:rPr>
              <w:t>46</w:t>
            </w:r>
            <w:r>
              <w:rPr>
                <w:noProof/>
                <w:webHidden/>
              </w:rPr>
              <w:fldChar w:fldCharType="end"/>
            </w:r>
          </w:hyperlink>
        </w:p>
        <w:p w14:paraId="013300C9" w14:textId="7F215982"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295" w:history="1">
            <w:r w:rsidRPr="008F38E3">
              <w:rPr>
                <w:rStyle w:val="Hyperlink"/>
                <w:bCs/>
                <w:noProof/>
              </w:rPr>
              <w:t>2.4.1 The constitutional guarantee of equality</w:t>
            </w:r>
            <w:r>
              <w:rPr>
                <w:noProof/>
                <w:webHidden/>
              </w:rPr>
              <w:tab/>
            </w:r>
            <w:r>
              <w:rPr>
                <w:noProof/>
                <w:webHidden/>
              </w:rPr>
              <w:fldChar w:fldCharType="begin"/>
            </w:r>
            <w:r>
              <w:rPr>
                <w:noProof/>
                <w:webHidden/>
              </w:rPr>
              <w:instrText xml:space="preserve"> PAGEREF _Toc189739295 \h </w:instrText>
            </w:r>
            <w:r>
              <w:rPr>
                <w:noProof/>
                <w:webHidden/>
              </w:rPr>
            </w:r>
            <w:r>
              <w:rPr>
                <w:noProof/>
                <w:webHidden/>
              </w:rPr>
              <w:fldChar w:fldCharType="separate"/>
            </w:r>
            <w:r>
              <w:rPr>
                <w:noProof/>
                <w:webHidden/>
              </w:rPr>
              <w:t>48</w:t>
            </w:r>
            <w:r>
              <w:rPr>
                <w:noProof/>
                <w:webHidden/>
              </w:rPr>
              <w:fldChar w:fldCharType="end"/>
            </w:r>
          </w:hyperlink>
        </w:p>
        <w:p w14:paraId="1CB1DC50" w14:textId="75ADD265"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6" w:history="1">
            <w:r w:rsidRPr="008F38E3">
              <w:rPr>
                <w:rStyle w:val="Hyperlink"/>
                <w:noProof/>
              </w:rPr>
              <w:t>2.4.1.1 Equality of treatment</w:t>
            </w:r>
            <w:r>
              <w:rPr>
                <w:noProof/>
                <w:webHidden/>
              </w:rPr>
              <w:tab/>
            </w:r>
            <w:r>
              <w:rPr>
                <w:noProof/>
                <w:webHidden/>
              </w:rPr>
              <w:fldChar w:fldCharType="begin"/>
            </w:r>
            <w:r>
              <w:rPr>
                <w:noProof/>
                <w:webHidden/>
              </w:rPr>
              <w:instrText xml:space="preserve"> PAGEREF _Toc189739296 \h </w:instrText>
            </w:r>
            <w:r>
              <w:rPr>
                <w:noProof/>
                <w:webHidden/>
              </w:rPr>
            </w:r>
            <w:r>
              <w:rPr>
                <w:noProof/>
                <w:webHidden/>
              </w:rPr>
              <w:fldChar w:fldCharType="separate"/>
            </w:r>
            <w:r>
              <w:rPr>
                <w:noProof/>
                <w:webHidden/>
              </w:rPr>
              <w:t>49</w:t>
            </w:r>
            <w:r>
              <w:rPr>
                <w:noProof/>
                <w:webHidden/>
              </w:rPr>
              <w:fldChar w:fldCharType="end"/>
            </w:r>
          </w:hyperlink>
        </w:p>
        <w:p w14:paraId="6E5DB2DE" w14:textId="253206EA"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7" w:history="1">
            <w:r w:rsidRPr="008F38E3">
              <w:rPr>
                <w:rStyle w:val="Hyperlink"/>
                <w:noProof/>
              </w:rPr>
              <w:t>2.4.1.2 Equality of opportunity</w:t>
            </w:r>
            <w:r>
              <w:rPr>
                <w:noProof/>
                <w:webHidden/>
              </w:rPr>
              <w:tab/>
            </w:r>
            <w:r>
              <w:rPr>
                <w:noProof/>
                <w:webHidden/>
              </w:rPr>
              <w:fldChar w:fldCharType="begin"/>
            </w:r>
            <w:r>
              <w:rPr>
                <w:noProof/>
                <w:webHidden/>
              </w:rPr>
              <w:instrText xml:space="preserve"> PAGEREF _Toc189739297 \h </w:instrText>
            </w:r>
            <w:r>
              <w:rPr>
                <w:noProof/>
                <w:webHidden/>
              </w:rPr>
            </w:r>
            <w:r>
              <w:rPr>
                <w:noProof/>
                <w:webHidden/>
              </w:rPr>
              <w:fldChar w:fldCharType="separate"/>
            </w:r>
            <w:r>
              <w:rPr>
                <w:noProof/>
                <w:webHidden/>
              </w:rPr>
              <w:t>50</w:t>
            </w:r>
            <w:r>
              <w:rPr>
                <w:noProof/>
                <w:webHidden/>
              </w:rPr>
              <w:fldChar w:fldCharType="end"/>
            </w:r>
          </w:hyperlink>
        </w:p>
        <w:p w14:paraId="1BA3D0C5" w14:textId="393C2616"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8" w:history="1">
            <w:r w:rsidRPr="008F38E3">
              <w:rPr>
                <w:rStyle w:val="Hyperlink"/>
                <w:noProof/>
              </w:rPr>
              <w:t>2.4.1.3 Equality in dignity</w:t>
            </w:r>
            <w:r>
              <w:rPr>
                <w:noProof/>
                <w:webHidden/>
              </w:rPr>
              <w:tab/>
            </w:r>
            <w:r>
              <w:rPr>
                <w:noProof/>
                <w:webHidden/>
              </w:rPr>
              <w:fldChar w:fldCharType="begin"/>
            </w:r>
            <w:r>
              <w:rPr>
                <w:noProof/>
                <w:webHidden/>
              </w:rPr>
              <w:instrText xml:space="preserve"> PAGEREF _Toc189739298 \h </w:instrText>
            </w:r>
            <w:r>
              <w:rPr>
                <w:noProof/>
                <w:webHidden/>
              </w:rPr>
            </w:r>
            <w:r>
              <w:rPr>
                <w:noProof/>
                <w:webHidden/>
              </w:rPr>
              <w:fldChar w:fldCharType="separate"/>
            </w:r>
            <w:r>
              <w:rPr>
                <w:noProof/>
                <w:webHidden/>
              </w:rPr>
              <w:t>50</w:t>
            </w:r>
            <w:r>
              <w:rPr>
                <w:noProof/>
                <w:webHidden/>
              </w:rPr>
              <w:fldChar w:fldCharType="end"/>
            </w:r>
          </w:hyperlink>
        </w:p>
        <w:p w14:paraId="768CD6D3" w14:textId="7C39E444"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299" w:history="1">
            <w:r w:rsidRPr="008F38E3">
              <w:rPr>
                <w:rStyle w:val="Hyperlink"/>
                <w:noProof/>
              </w:rPr>
              <w:t>2.4.1.4 Equality of outcome</w:t>
            </w:r>
            <w:r>
              <w:rPr>
                <w:noProof/>
                <w:webHidden/>
              </w:rPr>
              <w:tab/>
            </w:r>
            <w:r>
              <w:rPr>
                <w:noProof/>
                <w:webHidden/>
              </w:rPr>
              <w:fldChar w:fldCharType="begin"/>
            </w:r>
            <w:r>
              <w:rPr>
                <w:noProof/>
                <w:webHidden/>
              </w:rPr>
              <w:instrText xml:space="preserve"> PAGEREF _Toc189739299 \h </w:instrText>
            </w:r>
            <w:r>
              <w:rPr>
                <w:noProof/>
                <w:webHidden/>
              </w:rPr>
            </w:r>
            <w:r>
              <w:rPr>
                <w:noProof/>
                <w:webHidden/>
              </w:rPr>
              <w:fldChar w:fldCharType="separate"/>
            </w:r>
            <w:r>
              <w:rPr>
                <w:noProof/>
                <w:webHidden/>
              </w:rPr>
              <w:t>51</w:t>
            </w:r>
            <w:r>
              <w:rPr>
                <w:noProof/>
                <w:webHidden/>
              </w:rPr>
              <w:fldChar w:fldCharType="end"/>
            </w:r>
          </w:hyperlink>
        </w:p>
        <w:p w14:paraId="141A64E0" w14:textId="1336C6B9"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00" w:history="1">
            <w:r w:rsidRPr="008F38E3">
              <w:rPr>
                <w:rStyle w:val="Hyperlink"/>
                <w:noProof/>
              </w:rPr>
              <w:t>2.5 Defining formal equality</w:t>
            </w:r>
            <w:r>
              <w:rPr>
                <w:noProof/>
                <w:webHidden/>
              </w:rPr>
              <w:tab/>
            </w:r>
            <w:r>
              <w:rPr>
                <w:noProof/>
                <w:webHidden/>
              </w:rPr>
              <w:fldChar w:fldCharType="begin"/>
            </w:r>
            <w:r>
              <w:rPr>
                <w:noProof/>
                <w:webHidden/>
              </w:rPr>
              <w:instrText xml:space="preserve"> PAGEREF _Toc189739300 \h </w:instrText>
            </w:r>
            <w:r>
              <w:rPr>
                <w:noProof/>
                <w:webHidden/>
              </w:rPr>
            </w:r>
            <w:r>
              <w:rPr>
                <w:noProof/>
                <w:webHidden/>
              </w:rPr>
              <w:fldChar w:fldCharType="separate"/>
            </w:r>
            <w:r>
              <w:rPr>
                <w:noProof/>
                <w:webHidden/>
              </w:rPr>
              <w:t>52</w:t>
            </w:r>
            <w:r>
              <w:rPr>
                <w:noProof/>
                <w:webHidden/>
              </w:rPr>
              <w:fldChar w:fldCharType="end"/>
            </w:r>
          </w:hyperlink>
        </w:p>
        <w:p w14:paraId="539CA18B" w14:textId="2015654F"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01" w:history="1">
            <w:r w:rsidRPr="008F38E3">
              <w:rPr>
                <w:rStyle w:val="Hyperlink"/>
                <w:noProof/>
              </w:rPr>
              <w:t>2.6 Defining substantive equality</w:t>
            </w:r>
            <w:r>
              <w:rPr>
                <w:noProof/>
                <w:webHidden/>
              </w:rPr>
              <w:tab/>
            </w:r>
            <w:r>
              <w:rPr>
                <w:noProof/>
                <w:webHidden/>
              </w:rPr>
              <w:fldChar w:fldCharType="begin"/>
            </w:r>
            <w:r>
              <w:rPr>
                <w:noProof/>
                <w:webHidden/>
              </w:rPr>
              <w:instrText xml:space="preserve"> PAGEREF _Toc189739301 \h </w:instrText>
            </w:r>
            <w:r>
              <w:rPr>
                <w:noProof/>
                <w:webHidden/>
              </w:rPr>
            </w:r>
            <w:r>
              <w:rPr>
                <w:noProof/>
                <w:webHidden/>
              </w:rPr>
              <w:fldChar w:fldCharType="separate"/>
            </w:r>
            <w:r>
              <w:rPr>
                <w:noProof/>
                <w:webHidden/>
              </w:rPr>
              <w:t>54</w:t>
            </w:r>
            <w:r>
              <w:rPr>
                <w:noProof/>
                <w:webHidden/>
              </w:rPr>
              <w:fldChar w:fldCharType="end"/>
            </w:r>
          </w:hyperlink>
        </w:p>
        <w:p w14:paraId="3AEE25DE" w14:textId="55F52168"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02" w:history="1">
            <w:r w:rsidRPr="008F38E3">
              <w:rPr>
                <w:rStyle w:val="Hyperlink"/>
                <w:noProof/>
              </w:rPr>
              <w:t>2.6.1 General and jurisprudential definitions</w:t>
            </w:r>
            <w:r>
              <w:rPr>
                <w:noProof/>
                <w:webHidden/>
              </w:rPr>
              <w:tab/>
            </w:r>
            <w:r>
              <w:rPr>
                <w:noProof/>
                <w:webHidden/>
              </w:rPr>
              <w:fldChar w:fldCharType="begin"/>
            </w:r>
            <w:r>
              <w:rPr>
                <w:noProof/>
                <w:webHidden/>
              </w:rPr>
              <w:instrText xml:space="preserve"> PAGEREF _Toc189739302 \h </w:instrText>
            </w:r>
            <w:r>
              <w:rPr>
                <w:noProof/>
                <w:webHidden/>
              </w:rPr>
            </w:r>
            <w:r>
              <w:rPr>
                <w:noProof/>
                <w:webHidden/>
              </w:rPr>
              <w:fldChar w:fldCharType="separate"/>
            </w:r>
            <w:r>
              <w:rPr>
                <w:noProof/>
                <w:webHidden/>
              </w:rPr>
              <w:t>54</w:t>
            </w:r>
            <w:r>
              <w:rPr>
                <w:noProof/>
                <w:webHidden/>
              </w:rPr>
              <w:fldChar w:fldCharType="end"/>
            </w:r>
          </w:hyperlink>
        </w:p>
        <w:p w14:paraId="5D2F7D5A" w14:textId="296B56F0"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03" w:history="1">
            <w:r w:rsidRPr="008F38E3">
              <w:rPr>
                <w:rStyle w:val="Hyperlink"/>
                <w:noProof/>
              </w:rPr>
              <w:t>2.6.1.1 President of the Republic of South Africa and Another v Hugo (CCT11/96) [1997] ZACC 4</w:t>
            </w:r>
            <w:r>
              <w:rPr>
                <w:noProof/>
                <w:webHidden/>
              </w:rPr>
              <w:tab/>
            </w:r>
            <w:r>
              <w:rPr>
                <w:noProof/>
                <w:webHidden/>
              </w:rPr>
              <w:fldChar w:fldCharType="begin"/>
            </w:r>
            <w:r>
              <w:rPr>
                <w:noProof/>
                <w:webHidden/>
              </w:rPr>
              <w:instrText xml:space="preserve"> PAGEREF _Toc189739303 \h </w:instrText>
            </w:r>
            <w:r>
              <w:rPr>
                <w:noProof/>
                <w:webHidden/>
              </w:rPr>
            </w:r>
            <w:r>
              <w:rPr>
                <w:noProof/>
                <w:webHidden/>
              </w:rPr>
              <w:fldChar w:fldCharType="separate"/>
            </w:r>
            <w:r>
              <w:rPr>
                <w:noProof/>
                <w:webHidden/>
              </w:rPr>
              <w:t>55</w:t>
            </w:r>
            <w:r>
              <w:rPr>
                <w:noProof/>
                <w:webHidden/>
              </w:rPr>
              <w:fldChar w:fldCharType="end"/>
            </w:r>
          </w:hyperlink>
        </w:p>
        <w:p w14:paraId="01E8DF62" w14:textId="6CCF366A"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04" w:history="1">
            <w:r w:rsidRPr="008F38E3">
              <w:rPr>
                <w:rStyle w:val="Hyperlink"/>
                <w:noProof/>
              </w:rPr>
              <w:t>2.6.1.2 National Coalition for Gay and Lesbian Equality and Another v Minister of Justice and Others (CCT11/98) [1998] ZACC 15</w:t>
            </w:r>
            <w:r>
              <w:rPr>
                <w:noProof/>
                <w:webHidden/>
              </w:rPr>
              <w:tab/>
            </w:r>
            <w:r>
              <w:rPr>
                <w:noProof/>
                <w:webHidden/>
              </w:rPr>
              <w:fldChar w:fldCharType="begin"/>
            </w:r>
            <w:r>
              <w:rPr>
                <w:noProof/>
                <w:webHidden/>
              </w:rPr>
              <w:instrText xml:space="preserve"> PAGEREF _Toc189739304 \h </w:instrText>
            </w:r>
            <w:r>
              <w:rPr>
                <w:noProof/>
                <w:webHidden/>
              </w:rPr>
            </w:r>
            <w:r>
              <w:rPr>
                <w:noProof/>
                <w:webHidden/>
              </w:rPr>
              <w:fldChar w:fldCharType="separate"/>
            </w:r>
            <w:r>
              <w:rPr>
                <w:noProof/>
                <w:webHidden/>
              </w:rPr>
              <w:t>57</w:t>
            </w:r>
            <w:r>
              <w:rPr>
                <w:noProof/>
                <w:webHidden/>
              </w:rPr>
              <w:fldChar w:fldCharType="end"/>
            </w:r>
          </w:hyperlink>
        </w:p>
        <w:p w14:paraId="5DCE657A" w14:textId="356736D2"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05" w:history="1">
            <w:r w:rsidRPr="008F38E3">
              <w:rPr>
                <w:rStyle w:val="Hyperlink"/>
                <w:noProof/>
              </w:rPr>
              <w:t>2.6.1.3 Minister of Finance and Other v Van Heerden (CCT 63/03) [2004] ZACC 3</w:t>
            </w:r>
            <w:r>
              <w:rPr>
                <w:noProof/>
                <w:webHidden/>
              </w:rPr>
              <w:tab/>
            </w:r>
            <w:r>
              <w:rPr>
                <w:noProof/>
                <w:webHidden/>
              </w:rPr>
              <w:fldChar w:fldCharType="begin"/>
            </w:r>
            <w:r>
              <w:rPr>
                <w:noProof/>
                <w:webHidden/>
              </w:rPr>
              <w:instrText xml:space="preserve"> PAGEREF _Toc189739305 \h </w:instrText>
            </w:r>
            <w:r>
              <w:rPr>
                <w:noProof/>
                <w:webHidden/>
              </w:rPr>
            </w:r>
            <w:r>
              <w:rPr>
                <w:noProof/>
                <w:webHidden/>
              </w:rPr>
              <w:fldChar w:fldCharType="separate"/>
            </w:r>
            <w:r>
              <w:rPr>
                <w:noProof/>
                <w:webHidden/>
              </w:rPr>
              <w:t>58</w:t>
            </w:r>
            <w:r>
              <w:rPr>
                <w:noProof/>
                <w:webHidden/>
              </w:rPr>
              <w:fldChar w:fldCharType="end"/>
            </w:r>
          </w:hyperlink>
        </w:p>
        <w:p w14:paraId="5217DFF9" w14:textId="40C49475"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06" w:history="1">
            <w:r w:rsidRPr="008F38E3">
              <w:rPr>
                <w:rStyle w:val="Hyperlink"/>
                <w:noProof/>
              </w:rPr>
              <w:t>2.6.2 The goals of substantive equality</w:t>
            </w:r>
            <w:r>
              <w:rPr>
                <w:noProof/>
                <w:webHidden/>
              </w:rPr>
              <w:tab/>
            </w:r>
            <w:r>
              <w:rPr>
                <w:noProof/>
                <w:webHidden/>
              </w:rPr>
              <w:fldChar w:fldCharType="begin"/>
            </w:r>
            <w:r>
              <w:rPr>
                <w:noProof/>
                <w:webHidden/>
              </w:rPr>
              <w:instrText xml:space="preserve"> PAGEREF _Toc189739306 \h </w:instrText>
            </w:r>
            <w:r>
              <w:rPr>
                <w:noProof/>
                <w:webHidden/>
              </w:rPr>
            </w:r>
            <w:r>
              <w:rPr>
                <w:noProof/>
                <w:webHidden/>
              </w:rPr>
              <w:fldChar w:fldCharType="separate"/>
            </w:r>
            <w:r>
              <w:rPr>
                <w:noProof/>
                <w:webHidden/>
              </w:rPr>
              <w:t>60</w:t>
            </w:r>
            <w:r>
              <w:rPr>
                <w:noProof/>
                <w:webHidden/>
              </w:rPr>
              <w:fldChar w:fldCharType="end"/>
            </w:r>
          </w:hyperlink>
        </w:p>
        <w:p w14:paraId="78F83E74" w14:textId="1FC3B041"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07" w:history="1">
            <w:r w:rsidRPr="008F38E3">
              <w:rPr>
                <w:rStyle w:val="Hyperlink"/>
                <w:noProof/>
              </w:rPr>
              <w:t>2.6.2.1 Addressing the effects of past discrimination</w:t>
            </w:r>
            <w:r>
              <w:rPr>
                <w:noProof/>
                <w:webHidden/>
              </w:rPr>
              <w:tab/>
            </w:r>
            <w:r>
              <w:rPr>
                <w:noProof/>
                <w:webHidden/>
              </w:rPr>
              <w:fldChar w:fldCharType="begin"/>
            </w:r>
            <w:r>
              <w:rPr>
                <w:noProof/>
                <w:webHidden/>
              </w:rPr>
              <w:instrText xml:space="preserve"> PAGEREF _Toc189739307 \h </w:instrText>
            </w:r>
            <w:r>
              <w:rPr>
                <w:noProof/>
                <w:webHidden/>
              </w:rPr>
            </w:r>
            <w:r>
              <w:rPr>
                <w:noProof/>
                <w:webHidden/>
              </w:rPr>
              <w:fldChar w:fldCharType="separate"/>
            </w:r>
            <w:r>
              <w:rPr>
                <w:noProof/>
                <w:webHidden/>
              </w:rPr>
              <w:t>61</w:t>
            </w:r>
            <w:r>
              <w:rPr>
                <w:noProof/>
                <w:webHidden/>
              </w:rPr>
              <w:fldChar w:fldCharType="end"/>
            </w:r>
          </w:hyperlink>
        </w:p>
        <w:p w14:paraId="6680D0AA" w14:textId="058CF74C"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08" w:history="1">
            <w:r w:rsidRPr="008F38E3">
              <w:rPr>
                <w:rStyle w:val="Hyperlink"/>
                <w:noProof/>
              </w:rPr>
              <w:t>2.6.2.2 Ensuring an equal outcome</w:t>
            </w:r>
            <w:r>
              <w:rPr>
                <w:noProof/>
                <w:webHidden/>
              </w:rPr>
              <w:tab/>
            </w:r>
            <w:r>
              <w:rPr>
                <w:noProof/>
                <w:webHidden/>
              </w:rPr>
              <w:fldChar w:fldCharType="begin"/>
            </w:r>
            <w:r>
              <w:rPr>
                <w:noProof/>
                <w:webHidden/>
              </w:rPr>
              <w:instrText xml:space="preserve"> PAGEREF _Toc189739308 \h </w:instrText>
            </w:r>
            <w:r>
              <w:rPr>
                <w:noProof/>
                <w:webHidden/>
              </w:rPr>
            </w:r>
            <w:r>
              <w:rPr>
                <w:noProof/>
                <w:webHidden/>
              </w:rPr>
              <w:fldChar w:fldCharType="separate"/>
            </w:r>
            <w:r>
              <w:rPr>
                <w:noProof/>
                <w:webHidden/>
              </w:rPr>
              <w:t>63</w:t>
            </w:r>
            <w:r>
              <w:rPr>
                <w:noProof/>
                <w:webHidden/>
              </w:rPr>
              <w:fldChar w:fldCharType="end"/>
            </w:r>
          </w:hyperlink>
        </w:p>
        <w:p w14:paraId="76D1F294" w14:textId="69A4B50E"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09" w:history="1">
            <w:r w:rsidRPr="008F38E3">
              <w:rPr>
                <w:rStyle w:val="Hyperlink"/>
                <w:noProof/>
              </w:rPr>
              <w:t>2.6.2.3 Protecting inherent dignity</w:t>
            </w:r>
            <w:r>
              <w:rPr>
                <w:noProof/>
                <w:webHidden/>
              </w:rPr>
              <w:tab/>
            </w:r>
            <w:r>
              <w:rPr>
                <w:noProof/>
                <w:webHidden/>
              </w:rPr>
              <w:fldChar w:fldCharType="begin"/>
            </w:r>
            <w:r>
              <w:rPr>
                <w:noProof/>
                <w:webHidden/>
              </w:rPr>
              <w:instrText xml:space="preserve"> PAGEREF _Toc189739309 \h </w:instrText>
            </w:r>
            <w:r>
              <w:rPr>
                <w:noProof/>
                <w:webHidden/>
              </w:rPr>
            </w:r>
            <w:r>
              <w:rPr>
                <w:noProof/>
                <w:webHidden/>
              </w:rPr>
              <w:fldChar w:fldCharType="separate"/>
            </w:r>
            <w:r>
              <w:rPr>
                <w:noProof/>
                <w:webHidden/>
              </w:rPr>
              <w:t>65</w:t>
            </w:r>
            <w:r>
              <w:rPr>
                <w:noProof/>
                <w:webHidden/>
              </w:rPr>
              <w:fldChar w:fldCharType="end"/>
            </w:r>
          </w:hyperlink>
        </w:p>
        <w:p w14:paraId="6F541C63" w14:textId="7DDE282B"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10" w:history="1">
            <w:r w:rsidRPr="008F38E3">
              <w:rPr>
                <w:rStyle w:val="Hyperlink"/>
                <w:noProof/>
              </w:rPr>
              <w:t>2.6.2.4 Transforming the society</w:t>
            </w:r>
            <w:r>
              <w:rPr>
                <w:noProof/>
                <w:webHidden/>
              </w:rPr>
              <w:tab/>
            </w:r>
            <w:r>
              <w:rPr>
                <w:noProof/>
                <w:webHidden/>
              </w:rPr>
              <w:fldChar w:fldCharType="begin"/>
            </w:r>
            <w:r>
              <w:rPr>
                <w:noProof/>
                <w:webHidden/>
              </w:rPr>
              <w:instrText xml:space="preserve"> PAGEREF _Toc189739310 \h </w:instrText>
            </w:r>
            <w:r>
              <w:rPr>
                <w:noProof/>
                <w:webHidden/>
              </w:rPr>
            </w:r>
            <w:r>
              <w:rPr>
                <w:noProof/>
                <w:webHidden/>
              </w:rPr>
              <w:fldChar w:fldCharType="separate"/>
            </w:r>
            <w:r>
              <w:rPr>
                <w:noProof/>
                <w:webHidden/>
              </w:rPr>
              <w:t>68</w:t>
            </w:r>
            <w:r>
              <w:rPr>
                <w:noProof/>
                <w:webHidden/>
              </w:rPr>
              <w:fldChar w:fldCharType="end"/>
            </w:r>
          </w:hyperlink>
        </w:p>
        <w:p w14:paraId="08D1EF4A" w14:textId="2A651635"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11" w:history="1">
            <w:r w:rsidRPr="008F38E3">
              <w:rPr>
                <w:rStyle w:val="Hyperlink"/>
                <w:noProof/>
              </w:rPr>
              <w:t>2.7 The role of affirmative action (in attaining substantive equality)</w:t>
            </w:r>
            <w:r>
              <w:rPr>
                <w:noProof/>
                <w:webHidden/>
              </w:rPr>
              <w:tab/>
            </w:r>
            <w:r>
              <w:rPr>
                <w:noProof/>
                <w:webHidden/>
              </w:rPr>
              <w:fldChar w:fldCharType="begin"/>
            </w:r>
            <w:r>
              <w:rPr>
                <w:noProof/>
                <w:webHidden/>
              </w:rPr>
              <w:instrText xml:space="preserve"> PAGEREF _Toc189739311 \h </w:instrText>
            </w:r>
            <w:r>
              <w:rPr>
                <w:noProof/>
                <w:webHidden/>
              </w:rPr>
            </w:r>
            <w:r>
              <w:rPr>
                <w:noProof/>
                <w:webHidden/>
              </w:rPr>
              <w:fldChar w:fldCharType="separate"/>
            </w:r>
            <w:r>
              <w:rPr>
                <w:noProof/>
                <w:webHidden/>
              </w:rPr>
              <w:t>70</w:t>
            </w:r>
            <w:r>
              <w:rPr>
                <w:noProof/>
                <w:webHidden/>
              </w:rPr>
              <w:fldChar w:fldCharType="end"/>
            </w:r>
          </w:hyperlink>
        </w:p>
        <w:p w14:paraId="78D59DF4" w14:textId="29DA4F9B"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12" w:history="1">
            <w:r w:rsidRPr="008F38E3">
              <w:rPr>
                <w:rStyle w:val="Hyperlink"/>
                <w:noProof/>
              </w:rPr>
              <w:t>2.7.1 The general nature and role of Affirmative Action</w:t>
            </w:r>
            <w:r>
              <w:rPr>
                <w:noProof/>
                <w:webHidden/>
              </w:rPr>
              <w:tab/>
            </w:r>
            <w:r>
              <w:rPr>
                <w:noProof/>
                <w:webHidden/>
              </w:rPr>
              <w:fldChar w:fldCharType="begin"/>
            </w:r>
            <w:r>
              <w:rPr>
                <w:noProof/>
                <w:webHidden/>
              </w:rPr>
              <w:instrText xml:space="preserve"> PAGEREF _Toc189739312 \h </w:instrText>
            </w:r>
            <w:r>
              <w:rPr>
                <w:noProof/>
                <w:webHidden/>
              </w:rPr>
            </w:r>
            <w:r>
              <w:rPr>
                <w:noProof/>
                <w:webHidden/>
              </w:rPr>
              <w:fldChar w:fldCharType="separate"/>
            </w:r>
            <w:r>
              <w:rPr>
                <w:noProof/>
                <w:webHidden/>
              </w:rPr>
              <w:t>70</w:t>
            </w:r>
            <w:r>
              <w:rPr>
                <w:noProof/>
                <w:webHidden/>
              </w:rPr>
              <w:fldChar w:fldCharType="end"/>
            </w:r>
          </w:hyperlink>
        </w:p>
        <w:p w14:paraId="3619A30F" w14:textId="283B94D8"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13" w:history="1">
            <w:r w:rsidRPr="008F38E3">
              <w:rPr>
                <w:rStyle w:val="Hyperlink"/>
                <w:noProof/>
              </w:rPr>
              <w:t>2.7.1.1 Remedial, redistributive or positive measures</w:t>
            </w:r>
            <w:r>
              <w:rPr>
                <w:noProof/>
                <w:webHidden/>
              </w:rPr>
              <w:tab/>
            </w:r>
            <w:r>
              <w:rPr>
                <w:noProof/>
                <w:webHidden/>
              </w:rPr>
              <w:fldChar w:fldCharType="begin"/>
            </w:r>
            <w:r>
              <w:rPr>
                <w:noProof/>
                <w:webHidden/>
              </w:rPr>
              <w:instrText xml:space="preserve"> PAGEREF _Toc189739313 \h </w:instrText>
            </w:r>
            <w:r>
              <w:rPr>
                <w:noProof/>
                <w:webHidden/>
              </w:rPr>
            </w:r>
            <w:r>
              <w:rPr>
                <w:noProof/>
                <w:webHidden/>
              </w:rPr>
              <w:fldChar w:fldCharType="separate"/>
            </w:r>
            <w:r>
              <w:rPr>
                <w:noProof/>
                <w:webHidden/>
              </w:rPr>
              <w:t>71</w:t>
            </w:r>
            <w:r>
              <w:rPr>
                <w:noProof/>
                <w:webHidden/>
              </w:rPr>
              <w:fldChar w:fldCharType="end"/>
            </w:r>
          </w:hyperlink>
        </w:p>
        <w:p w14:paraId="10915563" w14:textId="57FC7E8E"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14" w:history="1">
            <w:r w:rsidRPr="008F38E3">
              <w:rPr>
                <w:rStyle w:val="Hyperlink"/>
                <w:noProof/>
              </w:rPr>
              <w:t>2.7.1.2 Addressing structural inequality</w:t>
            </w:r>
            <w:r>
              <w:rPr>
                <w:noProof/>
                <w:webHidden/>
              </w:rPr>
              <w:tab/>
            </w:r>
            <w:r>
              <w:rPr>
                <w:noProof/>
                <w:webHidden/>
              </w:rPr>
              <w:fldChar w:fldCharType="begin"/>
            </w:r>
            <w:r>
              <w:rPr>
                <w:noProof/>
                <w:webHidden/>
              </w:rPr>
              <w:instrText xml:space="preserve"> PAGEREF _Toc189739314 \h </w:instrText>
            </w:r>
            <w:r>
              <w:rPr>
                <w:noProof/>
                <w:webHidden/>
              </w:rPr>
            </w:r>
            <w:r>
              <w:rPr>
                <w:noProof/>
                <w:webHidden/>
              </w:rPr>
              <w:fldChar w:fldCharType="separate"/>
            </w:r>
            <w:r>
              <w:rPr>
                <w:noProof/>
                <w:webHidden/>
              </w:rPr>
              <w:t>72</w:t>
            </w:r>
            <w:r>
              <w:rPr>
                <w:noProof/>
                <w:webHidden/>
              </w:rPr>
              <w:fldChar w:fldCharType="end"/>
            </w:r>
          </w:hyperlink>
        </w:p>
        <w:p w14:paraId="32856FC3" w14:textId="17F0FCB5"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15" w:history="1">
            <w:r w:rsidRPr="008F38E3">
              <w:rPr>
                <w:rStyle w:val="Hyperlink"/>
                <w:noProof/>
              </w:rPr>
              <w:t>2.7.1.3 Ensuring an equal outcome</w:t>
            </w:r>
            <w:r>
              <w:rPr>
                <w:noProof/>
                <w:webHidden/>
              </w:rPr>
              <w:tab/>
            </w:r>
            <w:r>
              <w:rPr>
                <w:noProof/>
                <w:webHidden/>
              </w:rPr>
              <w:fldChar w:fldCharType="begin"/>
            </w:r>
            <w:r>
              <w:rPr>
                <w:noProof/>
                <w:webHidden/>
              </w:rPr>
              <w:instrText xml:space="preserve"> PAGEREF _Toc189739315 \h </w:instrText>
            </w:r>
            <w:r>
              <w:rPr>
                <w:noProof/>
                <w:webHidden/>
              </w:rPr>
            </w:r>
            <w:r>
              <w:rPr>
                <w:noProof/>
                <w:webHidden/>
              </w:rPr>
              <w:fldChar w:fldCharType="separate"/>
            </w:r>
            <w:r>
              <w:rPr>
                <w:noProof/>
                <w:webHidden/>
              </w:rPr>
              <w:t>74</w:t>
            </w:r>
            <w:r>
              <w:rPr>
                <w:noProof/>
                <w:webHidden/>
              </w:rPr>
              <w:fldChar w:fldCharType="end"/>
            </w:r>
          </w:hyperlink>
        </w:p>
        <w:p w14:paraId="441D598A" w14:textId="203EB753"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16" w:history="1">
            <w:r w:rsidRPr="008F38E3">
              <w:rPr>
                <w:rStyle w:val="Hyperlink"/>
                <w:noProof/>
              </w:rPr>
              <w:t>2.7.1.4 Transformation to an equal society</w:t>
            </w:r>
            <w:r>
              <w:rPr>
                <w:noProof/>
                <w:webHidden/>
              </w:rPr>
              <w:tab/>
            </w:r>
            <w:r>
              <w:rPr>
                <w:noProof/>
                <w:webHidden/>
              </w:rPr>
              <w:fldChar w:fldCharType="begin"/>
            </w:r>
            <w:r>
              <w:rPr>
                <w:noProof/>
                <w:webHidden/>
              </w:rPr>
              <w:instrText xml:space="preserve"> PAGEREF _Toc189739316 \h </w:instrText>
            </w:r>
            <w:r>
              <w:rPr>
                <w:noProof/>
                <w:webHidden/>
              </w:rPr>
            </w:r>
            <w:r>
              <w:rPr>
                <w:noProof/>
                <w:webHidden/>
              </w:rPr>
              <w:fldChar w:fldCharType="separate"/>
            </w:r>
            <w:r>
              <w:rPr>
                <w:noProof/>
                <w:webHidden/>
              </w:rPr>
              <w:t>76</w:t>
            </w:r>
            <w:r>
              <w:rPr>
                <w:noProof/>
                <w:webHidden/>
              </w:rPr>
              <w:fldChar w:fldCharType="end"/>
            </w:r>
          </w:hyperlink>
        </w:p>
        <w:p w14:paraId="3500EAD6" w14:textId="065DCFDE"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17" w:history="1">
            <w:r w:rsidRPr="008F38E3">
              <w:rPr>
                <w:rStyle w:val="Hyperlink"/>
                <w:noProof/>
              </w:rPr>
              <w:t>2.8 Compliance with validity requirements</w:t>
            </w:r>
            <w:r>
              <w:rPr>
                <w:noProof/>
                <w:webHidden/>
              </w:rPr>
              <w:tab/>
            </w:r>
            <w:r>
              <w:rPr>
                <w:noProof/>
                <w:webHidden/>
              </w:rPr>
              <w:fldChar w:fldCharType="begin"/>
            </w:r>
            <w:r>
              <w:rPr>
                <w:noProof/>
                <w:webHidden/>
              </w:rPr>
              <w:instrText xml:space="preserve"> PAGEREF _Toc189739317 \h </w:instrText>
            </w:r>
            <w:r>
              <w:rPr>
                <w:noProof/>
                <w:webHidden/>
              </w:rPr>
            </w:r>
            <w:r>
              <w:rPr>
                <w:noProof/>
                <w:webHidden/>
              </w:rPr>
              <w:fldChar w:fldCharType="separate"/>
            </w:r>
            <w:r>
              <w:rPr>
                <w:noProof/>
                <w:webHidden/>
              </w:rPr>
              <w:t>77</w:t>
            </w:r>
            <w:r>
              <w:rPr>
                <w:noProof/>
                <w:webHidden/>
              </w:rPr>
              <w:fldChar w:fldCharType="end"/>
            </w:r>
          </w:hyperlink>
        </w:p>
        <w:p w14:paraId="7F3DD633" w14:textId="76CC2BD9"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18" w:history="1">
            <w:r w:rsidRPr="008F38E3">
              <w:rPr>
                <w:rStyle w:val="Hyperlink"/>
                <w:noProof/>
              </w:rPr>
              <w:t>2.9 Conclusion</w:t>
            </w:r>
            <w:r>
              <w:rPr>
                <w:noProof/>
                <w:webHidden/>
              </w:rPr>
              <w:tab/>
            </w:r>
            <w:r>
              <w:rPr>
                <w:noProof/>
                <w:webHidden/>
              </w:rPr>
              <w:fldChar w:fldCharType="begin"/>
            </w:r>
            <w:r>
              <w:rPr>
                <w:noProof/>
                <w:webHidden/>
              </w:rPr>
              <w:instrText xml:space="preserve"> PAGEREF _Toc189739318 \h </w:instrText>
            </w:r>
            <w:r>
              <w:rPr>
                <w:noProof/>
                <w:webHidden/>
              </w:rPr>
            </w:r>
            <w:r>
              <w:rPr>
                <w:noProof/>
                <w:webHidden/>
              </w:rPr>
              <w:fldChar w:fldCharType="separate"/>
            </w:r>
            <w:r>
              <w:rPr>
                <w:noProof/>
                <w:webHidden/>
              </w:rPr>
              <w:t>78</w:t>
            </w:r>
            <w:r>
              <w:rPr>
                <w:noProof/>
                <w:webHidden/>
              </w:rPr>
              <w:fldChar w:fldCharType="end"/>
            </w:r>
          </w:hyperlink>
        </w:p>
        <w:p w14:paraId="024F6728" w14:textId="0090D648"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19" w:history="1">
            <w:r w:rsidRPr="008F38E3">
              <w:rPr>
                <w:rStyle w:val="Hyperlink"/>
                <w:noProof/>
              </w:rPr>
              <w:t>CHAPTER 3 LEGAL REQUIREMENTS FOR THE IMPLEMENTATION AND NON-IMPLEMENTATION OF AFFIRMATIVE ACTION: ENSURING LAWFUL COMPLIANCE BY EMPLOYERS</w:t>
            </w:r>
            <w:r>
              <w:rPr>
                <w:noProof/>
                <w:webHidden/>
              </w:rPr>
              <w:tab/>
            </w:r>
            <w:r>
              <w:rPr>
                <w:noProof/>
                <w:webHidden/>
              </w:rPr>
              <w:fldChar w:fldCharType="begin"/>
            </w:r>
            <w:r>
              <w:rPr>
                <w:noProof/>
                <w:webHidden/>
              </w:rPr>
              <w:instrText xml:space="preserve"> PAGEREF _Toc189739319 \h </w:instrText>
            </w:r>
            <w:r>
              <w:rPr>
                <w:noProof/>
                <w:webHidden/>
              </w:rPr>
            </w:r>
            <w:r>
              <w:rPr>
                <w:noProof/>
                <w:webHidden/>
              </w:rPr>
              <w:fldChar w:fldCharType="separate"/>
            </w:r>
            <w:r>
              <w:rPr>
                <w:noProof/>
                <w:webHidden/>
              </w:rPr>
              <w:t>80</w:t>
            </w:r>
            <w:r>
              <w:rPr>
                <w:noProof/>
                <w:webHidden/>
              </w:rPr>
              <w:fldChar w:fldCharType="end"/>
            </w:r>
          </w:hyperlink>
        </w:p>
        <w:p w14:paraId="3B350A20" w14:textId="431E822A"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20" w:history="1">
            <w:r w:rsidRPr="008F38E3">
              <w:rPr>
                <w:rStyle w:val="Hyperlink"/>
                <w:noProof/>
              </w:rPr>
              <w:t>3.1 Introduction</w:t>
            </w:r>
            <w:r>
              <w:rPr>
                <w:noProof/>
                <w:webHidden/>
              </w:rPr>
              <w:tab/>
            </w:r>
            <w:r>
              <w:rPr>
                <w:noProof/>
                <w:webHidden/>
              </w:rPr>
              <w:fldChar w:fldCharType="begin"/>
            </w:r>
            <w:r>
              <w:rPr>
                <w:noProof/>
                <w:webHidden/>
              </w:rPr>
              <w:instrText xml:space="preserve"> PAGEREF _Toc189739320 \h </w:instrText>
            </w:r>
            <w:r>
              <w:rPr>
                <w:noProof/>
                <w:webHidden/>
              </w:rPr>
            </w:r>
            <w:r>
              <w:rPr>
                <w:noProof/>
                <w:webHidden/>
              </w:rPr>
              <w:fldChar w:fldCharType="separate"/>
            </w:r>
            <w:r>
              <w:rPr>
                <w:noProof/>
                <w:webHidden/>
              </w:rPr>
              <w:t>80</w:t>
            </w:r>
            <w:r>
              <w:rPr>
                <w:noProof/>
                <w:webHidden/>
              </w:rPr>
              <w:fldChar w:fldCharType="end"/>
            </w:r>
          </w:hyperlink>
        </w:p>
        <w:p w14:paraId="7CD247FD" w14:textId="7AC3CD11"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21" w:history="1">
            <w:r w:rsidRPr="008F38E3">
              <w:rPr>
                <w:rStyle w:val="Hyperlink"/>
                <w:noProof/>
              </w:rPr>
              <w:t>3.2 The general objectives of Affirmative Action</w:t>
            </w:r>
            <w:r>
              <w:rPr>
                <w:noProof/>
                <w:webHidden/>
              </w:rPr>
              <w:tab/>
            </w:r>
            <w:r>
              <w:rPr>
                <w:noProof/>
                <w:webHidden/>
              </w:rPr>
              <w:fldChar w:fldCharType="begin"/>
            </w:r>
            <w:r>
              <w:rPr>
                <w:noProof/>
                <w:webHidden/>
              </w:rPr>
              <w:instrText xml:space="preserve"> PAGEREF _Toc189739321 \h </w:instrText>
            </w:r>
            <w:r>
              <w:rPr>
                <w:noProof/>
                <w:webHidden/>
              </w:rPr>
            </w:r>
            <w:r>
              <w:rPr>
                <w:noProof/>
                <w:webHidden/>
              </w:rPr>
              <w:fldChar w:fldCharType="separate"/>
            </w:r>
            <w:r>
              <w:rPr>
                <w:noProof/>
                <w:webHidden/>
              </w:rPr>
              <w:t>81</w:t>
            </w:r>
            <w:r>
              <w:rPr>
                <w:noProof/>
                <w:webHidden/>
              </w:rPr>
              <w:fldChar w:fldCharType="end"/>
            </w:r>
          </w:hyperlink>
        </w:p>
        <w:p w14:paraId="2A20A800" w14:textId="2C3E07F5"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22" w:history="1">
            <w:r w:rsidRPr="008F38E3">
              <w:rPr>
                <w:rStyle w:val="Hyperlink"/>
                <w:noProof/>
              </w:rPr>
              <w:t>3.3 Assessing inequality: The role of designated employers</w:t>
            </w:r>
            <w:r>
              <w:rPr>
                <w:noProof/>
                <w:webHidden/>
              </w:rPr>
              <w:tab/>
            </w:r>
            <w:r>
              <w:rPr>
                <w:noProof/>
                <w:webHidden/>
              </w:rPr>
              <w:fldChar w:fldCharType="begin"/>
            </w:r>
            <w:r>
              <w:rPr>
                <w:noProof/>
                <w:webHidden/>
              </w:rPr>
              <w:instrText xml:space="preserve"> PAGEREF _Toc189739322 \h </w:instrText>
            </w:r>
            <w:r>
              <w:rPr>
                <w:noProof/>
                <w:webHidden/>
              </w:rPr>
            </w:r>
            <w:r>
              <w:rPr>
                <w:noProof/>
                <w:webHidden/>
              </w:rPr>
              <w:fldChar w:fldCharType="separate"/>
            </w:r>
            <w:r>
              <w:rPr>
                <w:noProof/>
                <w:webHidden/>
              </w:rPr>
              <w:t>82</w:t>
            </w:r>
            <w:r>
              <w:rPr>
                <w:noProof/>
                <w:webHidden/>
              </w:rPr>
              <w:fldChar w:fldCharType="end"/>
            </w:r>
          </w:hyperlink>
        </w:p>
        <w:p w14:paraId="41D9E1D7" w14:textId="73773C3E"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23" w:history="1">
            <w:r w:rsidRPr="008F38E3">
              <w:rPr>
                <w:rStyle w:val="Hyperlink"/>
                <w:noProof/>
              </w:rPr>
              <w:t>3.3.1 Consultation with employees</w:t>
            </w:r>
            <w:r>
              <w:rPr>
                <w:noProof/>
                <w:webHidden/>
              </w:rPr>
              <w:tab/>
            </w:r>
            <w:r>
              <w:rPr>
                <w:noProof/>
                <w:webHidden/>
              </w:rPr>
              <w:fldChar w:fldCharType="begin"/>
            </w:r>
            <w:r>
              <w:rPr>
                <w:noProof/>
                <w:webHidden/>
              </w:rPr>
              <w:instrText xml:space="preserve"> PAGEREF _Toc189739323 \h </w:instrText>
            </w:r>
            <w:r>
              <w:rPr>
                <w:noProof/>
                <w:webHidden/>
              </w:rPr>
            </w:r>
            <w:r>
              <w:rPr>
                <w:noProof/>
                <w:webHidden/>
              </w:rPr>
              <w:fldChar w:fldCharType="separate"/>
            </w:r>
            <w:r>
              <w:rPr>
                <w:noProof/>
                <w:webHidden/>
              </w:rPr>
              <w:t>82</w:t>
            </w:r>
            <w:r>
              <w:rPr>
                <w:noProof/>
                <w:webHidden/>
              </w:rPr>
              <w:fldChar w:fldCharType="end"/>
            </w:r>
          </w:hyperlink>
        </w:p>
        <w:p w14:paraId="5EB9C6C7" w14:textId="0D6DE785"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24" w:history="1">
            <w:r w:rsidRPr="008F38E3">
              <w:rPr>
                <w:rStyle w:val="Hyperlink"/>
                <w:noProof/>
              </w:rPr>
              <w:t>3.3.2 Conducting an analysis</w:t>
            </w:r>
            <w:r>
              <w:rPr>
                <w:noProof/>
                <w:webHidden/>
              </w:rPr>
              <w:tab/>
            </w:r>
            <w:r>
              <w:rPr>
                <w:noProof/>
                <w:webHidden/>
              </w:rPr>
              <w:fldChar w:fldCharType="begin"/>
            </w:r>
            <w:r>
              <w:rPr>
                <w:noProof/>
                <w:webHidden/>
              </w:rPr>
              <w:instrText xml:space="preserve"> PAGEREF _Toc189739324 \h </w:instrText>
            </w:r>
            <w:r>
              <w:rPr>
                <w:noProof/>
                <w:webHidden/>
              </w:rPr>
            </w:r>
            <w:r>
              <w:rPr>
                <w:noProof/>
                <w:webHidden/>
              </w:rPr>
              <w:fldChar w:fldCharType="separate"/>
            </w:r>
            <w:r>
              <w:rPr>
                <w:noProof/>
                <w:webHidden/>
              </w:rPr>
              <w:t>84</w:t>
            </w:r>
            <w:r>
              <w:rPr>
                <w:noProof/>
                <w:webHidden/>
              </w:rPr>
              <w:fldChar w:fldCharType="end"/>
            </w:r>
          </w:hyperlink>
        </w:p>
        <w:p w14:paraId="180B99AF" w14:textId="7FB88E89"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25" w:history="1">
            <w:r w:rsidRPr="008F38E3">
              <w:rPr>
                <w:rStyle w:val="Hyperlink"/>
                <w:noProof/>
              </w:rPr>
              <w:t>3.3.3 Preparing an employment equity plan</w:t>
            </w:r>
            <w:r>
              <w:rPr>
                <w:noProof/>
                <w:webHidden/>
              </w:rPr>
              <w:tab/>
            </w:r>
            <w:r>
              <w:rPr>
                <w:noProof/>
                <w:webHidden/>
              </w:rPr>
              <w:fldChar w:fldCharType="begin"/>
            </w:r>
            <w:r>
              <w:rPr>
                <w:noProof/>
                <w:webHidden/>
              </w:rPr>
              <w:instrText xml:space="preserve"> PAGEREF _Toc189739325 \h </w:instrText>
            </w:r>
            <w:r>
              <w:rPr>
                <w:noProof/>
                <w:webHidden/>
              </w:rPr>
            </w:r>
            <w:r>
              <w:rPr>
                <w:noProof/>
                <w:webHidden/>
              </w:rPr>
              <w:fldChar w:fldCharType="separate"/>
            </w:r>
            <w:r>
              <w:rPr>
                <w:noProof/>
                <w:webHidden/>
              </w:rPr>
              <w:t>85</w:t>
            </w:r>
            <w:r>
              <w:rPr>
                <w:noProof/>
                <w:webHidden/>
              </w:rPr>
              <w:fldChar w:fldCharType="end"/>
            </w:r>
          </w:hyperlink>
        </w:p>
        <w:p w14:paraId="10139CCD" w14:textId="16D2497D"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26" w:history="1">
            <w:r w:rsidRPr="008F38E3">
              <w:rPr>
                <w:rStyle w:val="Hyperlink"/>
                <w:noProof/>
              </w:rPr>
              <w:t>3.3.3.1 Attaining employment equity</w:t>
            </w:r>
            <w:r>
              <w:rPr>
                <w:noProof/>
                <w:webHidden/>
              </w:rPr>
              <w:tab/>
            </w:r>
            <w:r>
              <w:rPr>
                <w:noProof/>
                <w:webHidden/>
              </w:rPr>
              <w:fldChar w:fldCharType="begin"/>
            </w:r>
            <w:r>
              <w:rPr>
                <w:noProof/>
                <w:webHidden/>
              </w:rPr>
              <w:instrText xml:space="preserve"> PAGEREF _Toc189739326 \h </w:instrText>
            </w:r>
            <w:r>
              <w:rPr>
                <w:noProof/>
                <w:webHidden/>
              </w:rPr>
            </w:r>
            <w:r>
              <w:rPr>
                <w:noProof/>
                <w:webHidden/>
              </w:rPr>
              <w:fldChar w:fldCharType="separate"/>
            </w:r>
            <w:r>
              <w:rPr>
                <w:noProof/>
                <w:webHidden/>
              </w:rPr>
              <w:t>86</w:t>
            </w:r>
            <w:r>
              <w:rPr>
                <w:noProof/>
                <w:webHidden/>
              </w:rPr>
              <w:fldChar w:fldCharType="end"/>
            </w:r>
          </w:hyperlink>
        </w:p>
        <w:p w14:paraId="5B733039" w14:textId="66642CAD"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27" w:history="1">
            <w:r w:rsidRPr="008F38E3">
              <w:rPr>
                <w:rStyle w:val="Hyperlink"/>
                <w:noProof/>
              </w:rPr>
              <w:t>3.3.3.2 Identifying and eliminating employment barriers</w:t>
            </w:r>
            <w:r>
              <w:rPr>
                <w:noProof/>
                <w:webHidden/>
              </w:rPr>
              <w:tab/>
            </w:r>
            <w:r>
              <w:rPr>
                <w:noProof/>
                <w:webHidden/>
              </w:rPr>
              <w:fldChar w:fldCharType="begin"/>
            </w:r>
            <w:r>
              <w:rPr>
                <w:noProof/>
                <w:webHidden/>
              </w:rPr>
              <w:instrText xml:space="preserve"> PAGEREF _Toc189739327 \h </w:instrText>
            </w:r>
            <w:r>
              <w:rPr>
                <w:noProof/>
                <w:webHidden/>
              </w:rPr>
            </w:r>
            <w:r>
              <w:rPr>
                <w:noProof/>
                <w:webHidden/>
              </w:rPr>
              <w:fldChar w:fldCharType="separate"/>
            </w:r>
            <w:r>
              <w:rPr>
                <w:noProof/>
                <w:webHidden/>
              </w:rPr>
              <w:t>87</w:t>
            </w:r>
            <w:r>
              <w:rPr>
                <w:noProof/>
                <w:webHidden/>
              </w:rPr>
              <w:fldChar w:fldCharType="end"/>
            </w:r>
          </w:hyperlink>
        </w:p>
        <w:p w14:paraId="6D0DED0C" w14:textId="1AE365D6"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28" w:history="1">
            <w:r w:rsidRPr="008F38E3">
              <w:rPr>
                <w:rStyle w:val="Hyperlink"/>
                <w:noProof/>
              </w:rPr>
              <w:t>3.3.3.3 Promoting diversity in the workplace</w:t>
            </w:r>
            <w:r>
              <w:rPr>
                <w:noProof/>
                <w:webHidden/>
              </w:rPr>
              <w:tab/>
            </w:r>
            <w:r>
              <w:rPr>
                <w:noProof/>
                <w:webHidden/>
              </w:rPr>
              <w:fldChar w:fldCharType="begin"/>
            </w:r>
            <w:r>
              <w:rPr>
                <w:noProof/>
                <w:webHidden/>
              </w:rPr>
              <w:instrText xml:space="preserve"> PAGEREF _Toc189739328 \h </w:instrText>
            </w:r>
            <w:r>
              <w:rPr>
                <w:noProof/>
                <w:webHidden/>
              </w:rPr>
            </w:r>
            <w:r>
              <w:rPr>
                <w:noProof/>
                <w:webHidden/>
              </w:rPr>
              <w:fldChar w:fldCharType="separate"/>
            </w:r>
            <w:r>
              <w:rPr>
                <w:noProof/>
                <w:webHidden/>
              </w:rPr>
              <w:t>87</w:t>
            </w:r>
            <w:r>
              <w:rPr>
                <w:noProof/>
                <w:webHidden/>
              </w:rPr>
              <w:fldChar w:fldCharType="end"/>
            </w:r>
          </w:hyperlink>
        </w:p>
        <w:p w14:paraId="4A4BC63E" w14:textId="2DA9119F"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29" w:history="1">
            <w:r w:rsidRPr="008F38E3">
              <w:rPr>
                <w:rStyle w:val="Hyperlink"/>
                <w:noProof/>
              </w:rPr>
              <w:t>3.3.3.4 Reasonable accommodation of designated groups</w:t>
            </w:r>
            <w:r>
              <w:rPr>
                <w:noProof/>
                <w:webHidden/>
              </w:rPr>
              <w:tab/>
            </w:r>
            <w:r>
              <w:rPr>
                <w:noProof/>
                <w:webHidden/>
              </w:rPr>
              <w:fldChar w:fldCharType="begin"/>
            </w:r>
            <w:r>
              <w:rPr>
                <w:noProof/>
                <w:webHidden/>
              </w:rPr>
              <w:instrText xml:space="preserve"> PAGEREF _Toc189739329 \h </w:instrText>
            </w:r>
            <w:r>
              <w:rPr>
                <w:noProof/>
                <w:webHidden/>
              </w:rPr>
            </w:r>
            <w:r>
              <w:rPr>
                <w:noProof/>
                <w:webHidden/>
              </w:rPr>
              <w:fldChar w:fldCharType="separate"/>
            </w:r>
            <w:r>
              <w:rPr>
                <w:noProof/>
                <w:webHidden/>
              </w:rPr>
              <w:t>88</w:t>
            </w:r>
            <w:r>
              <w:rPr>
                <w:noProof/>
                <w:webHidden/>
              </w:rPr>
              <w:fldChar w:fldCharType="end"/>
            </w:r>
          </w:hyperlink>
        </w:p>
        <w:p w14:paraId="58010D1E" w14:textId="6B7ABC8A"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30" w:history="1">
            <w:r w:rsidRPr="008F38E3">
              <w:rPr>
                <w:rStyle w:val="Hyperlink"/>
                <w:noProof/>
              </w:rPr>
              <w:t>3.3.3.5 Ensuring equitable representation and development</w:t>
            </w:r>
            <w:r>
              <w:rPr>
                <w:noProof/>
                <w:webHidden/>
              </w:rPr>
              <w:tab/>
            </w:r>
            <w:r>
              <w:rPr>
                <w:noProof/>
                <w:webHidden/>
              </w:rPr>
              <w:fldChar w:fldCharType="begin"/>
            </w:r>
            <w:r>
              <w:rPr>
                <w:noProof/>
                <w:webHidden/>
              </w:rPr>
              <w:instrText xml:space="preserve"> PAGEREF _Toc189739330 \h </w:instrText>
            </w:r>
            <w:r>
              <w:rPr>
                <w:noProof/>
                <w:webHidden/>
              </w:rPr>
            </w:r>
            <w:r>
              <w:rPr>
                <w:noProof/>
                <w:webHidden/>
              </w:rPr>
              <w:fldChar w:fldCharType="separate"/>
            </w:r>
            <w:r>
              <w:rPr>
                <w:noProof/>
                <w:webHidden/>
              </w:rPr>
              <w:t>88</w:t>
            </w:r>
            <w:r>
              <w:rPr>
                <w:noProof/>
                <w:webHidden/>
              </w:rPr>
              <w:fldChar w:fldCharType="end"/>
            </w:r>
          </w:hyperlink>
        </w:p>
        <w:p w14:paraId="3B611483" w14:textId="41F8F916"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31" w:history="1">
            <w:r w:rsidRPr="008F38E3">
              <w:rPr>
                <w:rStyle w:val="Hyperlink"/>
                <w:noProof/>
              </w:rPr>
              <w:t>3.3.4 Submitting a report</w:t>
            </w:r>
            <w:r>
              <w:rPr>
                <w:noProof/>
                <w:webHidden/>
              </w:rPr>
              <w:tab/>
            </w:r>
            <w:r>
              <w:rPr>
                <w:noProof/>
                <w:webHidden/>
              </w:rPr>
              <w:fldChar w:fldCharType="begin"/>
            </w:r>
            <w:r>
              <w:rPr>
                <w:noProof/>
                <w:webHidden/>
              </w:rPr>
              <w:instrText xml:space="preserve"> PAGEREF _Toc189739331 \h </w:instrText>
            </w:r>
            <w:r>
              <w:rPr>
                <w:noProof/>
                <w:webHidden/>
              </w:rPr>
            </w:r>
            <w:r>
              <w:rPr>
                <w:noProof/>
                <w:webHidden/>
              </w:rPr>
              <w:fldChar w:fldCharType="separate"/>
            </w:r>
            <w:r>
              <w:rPr>
                <w:noProof/>
                <w:webHidden/>
              </w:rPr>
              <w:t>89</w:t>
            </w:r>
            <w:r>
              <w:rPr>
                <w:noProof/>
                <w:webHidden/>
              </w:rPr>
              <w:fldChar w:fldCharType="end"/>
            </w:r>
          </w:hyperlink>
        </w:p>
        <w:p w14:paraId="165CAC8D" w14:textId="2D304593"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32" w:history="1">
            <w:r w:rsidRPr="008F38E3">
              <w:rPr>
                <w:rStyle w:val="Hyperlink"/>
                <w:noProof/>
              </w:rPr>
              <w:t>3.3.5 Duty to assign a manager</w:t>
            </w:r>
            <w:r>
              <w:rPr>
                <w:noProof/>
                <w:webHidden/>
              </w:rPr>
              <w:tab/>
            </w:r>
            <w:r>
              <w:rPr>
                <w:noProof/>
                <w:webHidden/>
              </w:rPr>
              <w:fldChar w:fldCharType="begin"/>
            </w:r>
            <w:r>
              <w:rPr>
                <w:noProof/>
                <w:webHidden/>
              </w:rPr>
              <w:instrText xml:space="preserve"> PAGEREF _Toc189739332 \h </w:instrText>
            </w:r>
            <w:r>
              <w:rPr>
                <w:noProof/>
                <w:webHidden/>
              </w:rPr>
            </w:r>
            <w:r>
              <w:rPr>
                <w:noProof/>
                <w:webHidden/>
              </w:rPr>
              <w:fldChar w:fldCharType="separate"/>
            </w:r>
            <w:r>
              <w:rPr>
                <w:noProof/>
                <w:webHidden/>
              </w:rPr>
              <w:t>90</w:t>
            </w:r>
            <w:r>
              <w:rPr>
                <w:noProof/>
                <w:webHidden/>
              </w:rPr>
              <w:fldChar w:fldCharType="end"/>
            </w:r>
          </w:hyperlink>
        </w:p>
        <w:p w14:paraId="7C545138" w14:textId="3AD278D7"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33" w:history="1">
            <w:r w:rsidRPr="008F38E3">
              <w:rPr>
                <w:rStyle w:val="Hyperlink"/>
                <w:noProof/>
              </w:rPr>
              <w:t>3.3.6 Duty to inform</w:t>
            </w:r>
            <w:r>
              <w:rPr>
                <w:noProof/>
                <w:webHidden/>
              </w:rPr>
              <w:tab/>
            </w:r>
            <w:r>
              <w:rPr>
                <w:noProof/>
                <w:webHidden/>
              </w:rPr>
              <w:fldChar w:fldCharType="begin"/>
            </w:r>
            <w:r>
              <w:rPr>
                <w:noProof/>
                <w:webHidden/>
              </w:rPr>
              <w:instrText xml:space="preserve"> PAGEREF _Toc189739333 \h </w:instrText>
            </w:r>
            <w:r>
              <w:rPr>
                <w:noProof/>
                <w:webHidden/>
              </w:rPr>
            </w:r>
            <w:r>
              <w:rPr>
                <w:noProof/>
                <w:webHidden/>
              </w:rPr>
              <w:fldChar w:fldCharType="separate"/>
            </w:r>
            <w:r>
              <w:rPr>
                <w:noProof/>
                <w:webHidden/>
              </w:rPr>
              <w:t>90</w:t>
            </w:r>
            <w:r>
              <w:rPr>
                <w:noProof/>
                <w:webHidden/>
              </w:rPr>
              <w:fldChar w:fldCharType="end"/>
            </w:r>
          </w:hyperlink>
        </w:p>
        <w:p w14:paraId="49BCD3CB" w14:textId="7AC3A14E"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34" w:history="1">
            <w:r w:rsidRPr="008F38E3">
              <w:rPr>
                <w:rStyle w:val="Hyperlink"/>
                <w:noProof/>
              </w:rPr>
              <w:t>3.3.7 Duty to keep records</w:t>
            </w:r>
            <w:r>
              <w:rPr>
                <w:noProof/>
                <w:webHidden/>
              </w:rPr>
              <w:tab/>
            </w:r>
            <w:r>
              <w:rPr>
                <w:noProof/>
                <w:webHidden/>
              </w:rPr>
              <w:fldChar w:fldCharType="begin"/>
            </w:r>
            <w:r>
              <w:rPr>
                <w:noProof/>
                <w:webHidden/>
              </w:rPr>
              <w:instrText xml:space="preserve"> PAGEREF _Toc189739334 \h </w:instrText>
            </w:r>
            <w:r>
              <w:rPr>
                <w:noProof/>
                <w:webHidden/>
              </w:rPr>
            </w:r>
            <w:r>
              <w:rPr>
                <w:noProof/>
                <w:webHidden/>
              </w:rPr>
              <w:fldChar w:fldCharType="separate"/>
            </w:r>
            <w:r>
              <w:rPr>
                <w:noProof/>
                <w:webHidden/>
              </w:rPr>
              <w:t>91</w:t>
            </w:r>
            <w:r>
              <w:rPr>
                <w:noProof/>
                <w:webHidden/>
              </w:rPr>
              <w:fldChar w:fldCharType="end"/>
            </w:r>
          </w:hyperlink>
        </w:p>
        <w:p w14:paraId="6C15F5B9" w14:textId="3A60545C"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35" w:history="1">
            <w:r w:rsidRPr="008F38E3">
              <w:rPr>
                <w:rStyle w:val="Hyperlink"/>
                <w:noProof/>
              </w:rPr>
              <w:t>3.3.8 Submit a statement on income differentials</w:t>
            </w:r>
            <w:r>
              <w:rPr>
                <w:noProof/>
                <w:webHidden/>
              </w:rPr>
              <w:tab/>
            </w:r>
            <w:r>
              <w:rPr>
                <w:noProof/>
                <w:webHidden/>
              </w:rPr>
              <w:fldChar w:fldCharType="begin"/>
            </w:r>
            <w:r>
              <w:rPr>
                <w:noProof/>
                <w:webHidden/>
              </w:rPr>
              <w:instrText xml:space="preserve"> PAGEREF _Toc189739335 \h </w:instrText>
            </w:r>
            <w:r>
              <w:rPr>
                <w:noProof/>
                <w:webHidden/>
              </w:rPr>
            </w:r>
            <w:r>
              <w:rPr>
                <w:noProof/>
                <w:webHidden/>
              </w:rPr>
              <w:fldChar w:fldCharType="separate"/>
            </w:r>
            <w:r>
              <w:rPr>
                <w:noProof/>
                <w:webHidden/>
              </w:rPr>
              <w:t>91</w:t>
            </w:r>
            <w:r>
              <w:rPr>
                <w:noProof/>
                <w:webHidden/>
              </w:rPr>
              <w:fldChar w:fldCharType="end"/>
            </w:r>
          </w:hyperlink>
        </w:p>
        <w:p w14:paraId="2180B863" w14:textId="1A1AFF20"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36" w:history="1">
            <w:r w:rsidRPr="008F38E3">
              <w:rPr>
                <w:rStyle w:val="Hyperlink"/>
                <w:noProof/>
              </w:rPr>
              <w:t>3.4 Problematic aspects in the implementation of the EE Plan (and affirmative action measures)</w:t>
            </w:r>
            <w:r>
              <w:rPr>
                <w:noProof/>
                <w:webHidden/>
              </w:rPr>
              <w:tab/>
            </w:r>
            <w:r>
              <w:rPr>
                <w:noProof/>
                <w:webHidden/>
              </w:rPr>
              <w:fldChar w:fldCharType="begin"/>
            </w:r>
            <w:r>
              <w:rPr>
                <w:noProof/>
                <w:webHidden/>
              </w:rPr>
              <w:instrText xml:space="preserve"> PAGEREF _Toc189739336 \h </w:instrText>
            </w:r>
            <w:r>
              <w:rPr>
                <w:noProof/>
                <w:webHidden/>
              </w:rPr>
            </w:r>
            <w:r>
              <w:rPr>
                <w:noProof/>
                <w:webHidden/>
              </w:rPr>
              <w:fldChar w:fldCharType="separate"/>
            </w:r>
            <w:r>
              <w:rPr>
                <w:noProof/>
                <w:webHidden/>
              </w:rPr>
              <w:t>92</w:t>
            </w:r>
            <w:r>
              <w:rPr>
                <w:noProof/>
                <w:webHidden/>
              </w:rPr>
              <w:fldChar w:fldCharType="end"/>
            </w:r>
          </w:hyperlink>
        </w:p>
        <w:p w14:paraId="622E834E" w14:textId="68E34E88"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37" w:history="1">
            <w:r w:rsidRPr="008F38E3">
              <w:rPr>
                <w:rStyle w:val="Hyperlink"/>
                <w:noProof/>
              </w:rPr>
              <w:t>3.4.1 The advancement of “designated groups”</w:t>
            </w:r>
            <w:r>
              <w:rPr>
                <w:noProof/>
                <w:webHidden/>
              </w:rPr>
              <w:tab/>
            </w:r>
            <w:r>
              <w:rPr>
                <w:noProof/>
                <w:webHidden/>
              </w:rPr>
              <w:fldChar w:fldCharType="begin"/>
            </w:r>
            <w:r>
              <w:rPr>
                <w:noProof/>
                <w:webHidden/>
              </w:rPr>
              <w:instrText xml:space="preserve"> PAGEREF _Toc189739337 \h </w:instrText>
            </w:r>
            <w:r>
              <w:rPr>
                <w:noProof/>
                <w:webHidden/>
              </w:rPr>
            </w:r>
            <w:r>
              <w:rPr>
                <w:noProof/>
                <w:webHidden/>
              </w:rPr>
              <w:fldChar w:fldCharType="separate"/>
            </w:r>
            <w:r>
              <w:rPr>
                <w:noProof/>
                <w:webHidden/>
              </w:rPr>
              <w:t>93</w:t>
            </w:r>
            <w:r>
              <w:rPr>
                <w:noProof/>
                <w:webHidden/>
              </w:rPr>
              <w:fldChar w:fldCharType="end"/>
            </w:r>
          </w:hyperlink>
        </w:p>
        <w:p w14:paraId="2D704345" w14:textId="1B735B9F"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38" w:history="1">
            <w:r w:rsidRPr="008F38E3">
              <w:rPr>
                <w:rStyle w:val="Hyperlink"/>
                <w:noProof/>
              </w:rPr>
              <w:t>3.4.1.1. Identifying designated groups</w:t>
            </w:r>
            <w:r>
              <w:rPr>
                <w:noProof/>
                <w:webHidden/>
              </w:rPr>
              <w:tab/>
            </w:r>
            <w:r>
              <w:rPr>
                <w:noProof/>
                <w:webHidden/>
              </w:rPr>
              <w:fldChar w:fldCharType="begin"/>
            </w:r>
            <w:r>
              <w:rPr>
                <w:noProof/>
                <w:webHidden/>
              </w:rPr>
              <w:instrText xml:space="preserve"> PAGEREF _Toc189739338 \h </w:instrText>
            </w:r>
            <w:r>
              <w:rPr>
                <w:noProof/>
                <w:webHidden/>
              </w:rPr>
            </w:r>
            <w:r>
              <w:rPr>
                <w:noProof/>
                <w:webHidden/>
              </w:rPr>
              <w:fldChar w:fldCharType="separate"/>
            </w:r>
            <w:r>
              <w:rPr>
                <w:noProof/>
                <w:webHidden/>
              </w:rPr>
              <w:t>93</w:t>
            </w:r>
            <w:r>
              <w:rPr>
                <w:noProof/>
                <w:webHidden/>
              </w:rPr>
              <w:fldChar w:fldCharType="end"/>
            </w:r>
          </w:hyperlink>
        </w:p>
        <w:p w14:paraId="46D1722D" w14:textId="16F2DC03"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39" w:history="1">
            <w:r w:rsidRPr="008F38E3">
              <w:rPr>
                <w:rStyle w:val="Hyperlink"/>
                <w:noProof/>
              </w:rPr>
              <w:t>3.4.1.2 Prioritizing South African citizens in affirmative action measures</w:t>
            </w:r>
            <w:r>
              <w:rPr>
                <w:noProof/>
                <w:webHidden/>
              </w:rPr>
              <w:tab/>
            </w:r>
            <w:r>
              <w:rPr>
                <w:noProof/>
                <w:webHidden/>
              </w:rPr>
              <w:fldChar w:fldCharType="begin"/>
            </w:r>
            <w:r>
              <w:rPr>
                <w:noProof/>
                <w:webHidden/>
              </w:rPr>
              <w:instrText xml:space="preserve"> PAGEREF _Toc189739339 \h </w:instrText>
            </w:r>
            <w:r>
              <w:rPr>
                <w:noProof/>
                <w:webHidden/>
              </w:rPr>
            </w:r>
            <w:r>
              <w:rPr>
                <w:noProof/>
                <w:webHidden/>
              </w:rPr>
              <w:fldChar w:fldCharType="separate"/>
            </w:r>
            <w:r>
              <w:rPr>
                <w:noProof/>
                <w:webHidden/>
              </w:rPr>
              <w:t>94</w:t>
            </w:r>
            <w:r>
              <w:rPr>
                <w:noProof/>
                <w:webHidden/>
              </w:rPr>
              <w:fldChar w:fldCharType="end"/>
            </w:r>
          </w:hyperlink>
        </w:p>
        <w:p w14:paraId="6C160675" w14:textId="3418523B"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0" w:history="1">
            <w:r w:rsidRPr="008F38E3">
              <w:rPr>
                <w:rStyle w:val="Hyperlink"/>
                <w:noProof/>
              </w:rPr>
              <w:t>3.4.1.3 The importance of group membership over individual disadvantage in Affirmative Action</w:t>
            </w:r>
            <w:r>
              <w:rPr>
                <w:noProof/>
                <w:webHidden/>
              </w:rPr>
              <w:tab/>
            </w:r>
            <w:r>
              <w:rPr>
                <w:noProof/>
                <w:webHidden/>
              </w:rPr>
              <w:fldChar w:fldCharType="begin"/>
            </w:r>
            <w:r>
              <w:rPr>
                <w:noProof/>
                <w:webHidden/>
              </w:rPr>
              <w:instrText xml:space="preserve"> PAGEREF _Toc189739340 \h </w:instrText>
            </w:r>
            <w:r>
              <w:rPr>
                <w:noProof/>
                <w:webHidden/>
              </w:rPr>
            </w:r>
            <w:r>
              <w:rPr>
                <w:noProof/>
                <w:webHidden/>
              </w:rPr>
              <w:fldChar w:fldCharType="separate"/>
            </w:r>
            <w:r>
              <w:rPr>
                <w:noProof/>
                <w:webHidden/>
              </w:rPr>
              <w:t>96</w:t>
            </w:r>
            <w:r>
              <w:rPr>
                <w:noProof/>
                <w:webHidden/>
              </w:rPr>
              <w:fldChar w:fldCharType="end"/>
            </w:r>
          </w:hyperlink>
        </w:p>
        <w:p w14:paraId="240295BD" w14:textId="2E14F10B"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1" w:history="1">
            <w:r w:rsidRPr="008F38E3">
              <w:rPr>
                <w:rStyle w:val="Hyperlink"/>
                <w:noProof/>
              </w:rPr>
              <w:t>3.4.1.4 Group preference based on greater inequality</w:t>
            </w:r>
            <w:r>
              <w:rPr>
                <w:noProof/>
                <w:webHidden/>
              </w:rPr>
              <w:tab/>
            </w:r>
            <w:r>
              <w:rPr>
                <w:noProof/>
                <w:webHidden/>
              </w:rPr>
              <w:fldChar w:fldCharType="begin"/>
            </w:r>
            <w:r>
              <w:rPr>
                <w:noProof/>
                <w:webHidden/>
              </w:rPr>
              <w:instrText xml:space="preserve"> PAGEREF _Toc189739341 \h </w:instrText>
            </w:r>
            <w:r>
              <w:rPr>
                <w:noProof/>
                <w:webHidden/>
              </w:rPr>
            </w:r>
            <w:r>
              <w:rPr>
                <w:noProof/>
                <w:webHidden/>
              </w:rPr>
              <w:fldChar w:fldCharType="separate"/>
            </w:r>
            <w:r>
              <w:rPr>
                <w:noProof/>
                <w:webHidden/>
              </w:rPr>
              <w:t>97</w:t>
            </w:r>
            <w:r>
              <w:rPr>
                <w:noProof/>
                <w:webHidden/>
              </w:rPr>
              <w:fldChar w:fldCharType="end"/>
            </w:r>
          </w:hyperlink>
        </w:p>
        <w:p w14:paraId="12374868" w14:textId="126056DB"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2" w:history="1">
            <w:r w:rsidRPr="008F38E3">
              <w:rPr>
                <w:rStyle w:val="Hyperlink"/>
                <w:noProof/>
              </w:rPr>
              <w:t>3.4.1.4 Determining whether only full-time permanent employees should be favoured</w:t>
            </w:r>
            <w:r>
              <w:rPr>
                <w:noProof/>
                <w:webHidden/>
              </w:rPr>
              <w:tab/>
            </w:r>
            <w:r>
              <w:rPr>
                <w:noProof/>
                <w:webHidden/>
              </w:rPr>
              <w:fldChar w:fldCharType="begin"/>
            </w:r>
            <w:r>
              <w:rPr>
                <w:noProof/>
                <w:webHidden/>
              </w:rPr>
              <w:instrText xml:space="preserve"> PAGEREF _Toc189739342 \h </w:instrText>
            </w:r>
            <w:r>
              <w:rPr>
                <w:noProof/>
                <w:webHidden/>
              </w:rPr>
            </w:r>
            <w:r>
              <w:rPr>
                <w:noProof/>
                <w:webHidden/>
              </w:rPr>
              <w:fldChar w:fldCharType="separate"/>
            </w:r>
            <w:r>
              <w:rPr>
                <w:noProof/>
                <w:webHidden/>
              </w:rPr>
              <w:t>98</w:t>
            </w:r>
            <w:r>
              <w:rPr>
                <w:noProof/>
                <w:webHidden/>
              </w:rPr>
              <w:fldChar w:fldCharType="end"/>
            </w:r>
          </w:hyperlink>
        </w:p>
        <w:p w14:paraId="6DE181F7" w14:textId="5163EEBB"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43" w:history="1">
            <w:r w:rsidRPr="008F38E3">
              <w:rPr>
                <w:rStyle w:val="Hyperlink"/>
                <w:noProof/>
              </w:rPr>
              <w:t>3.4.2 The requirement of “suitably qualified”</w:t>
            </w:r>
            <w:r>
              <w:rPr>
                <w:noProof/>
                <w:webHidden/>
              </w:rPr>
              <w:tab/>
            </w:r>
            <w:r>
              <w:rPr>
                <w:noProof/>
                <w:webHidden/>
              </w:rPr>
              <w:fldChar w:fldCharType="begin"/>
            </w:r>
            <w:r>
              <w:rPr>
                <w:noProof/>
                <w:webHidden/>
              </w:rPr>
              <w:instrText xml:space="preserve"> PAGEREF _Toc189739343 \h </w:instrText>
            </w:r>
            <w:r>
              <w:rPr>
                <w:noProof/>
                <w:webHidden/>
              </w:rPr>
            </w:r>
            <w:r>
              <w:rPr>
                <w:noProof/>
                <w:webHidden/>
              </w:rPr>
              <w:fldChar w:fldCharType="separate"/>
            </w:r>
            <w:r>
              <w:rPr>
                <w:noProof/>
                <w:webHidden/>
              </w:rPr>
              <w:t>99</w:t>
            </w:r>
            <w:r>
              <w:rPr>
                <w:noProof/>
                <w:webHidden/>
              </w:rPr>
              <w:fldChar w:fldCharType="end"/>
            </w:r>
          </w:hyperlink>
        </w:p>
        <w:p w14:paraId="7F43C5CE" w14:textId="51DC8C49"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44" w:history="1">
            <w:r w:rsidRPr="008F38E3">
              <w:rPr>
                <w:rStyle w:val="Hyperlink"/>
                <w:noProof/>
              </w:rPr>
              <w:t>3.4.2 Ensuring equitable representation</w:t>
            </w:r>
            <w:r>
              <w:rPr>
                <w:noProof/>
                <w:webHidden/>
              </w:rPr>
              <w:tab/>
            </w:r>
            <w:r>
              <w:rPr>
                <w:noProof/>
                <w:webHidden/>
              </w:rPr>
              <w:fldChar w:fldCharType="begin"/>
            </w:r>
            <w:r>
              <w:rPr>
                <w:noProof/>
                <w:webHidden/>
              </w:rPr>
              <w:instrText xml:space="preserve"> PAGEREF _Toc189739344 \h </w:instrText>
            </w:r>
            <w:r>
              <w:rPr>
                <w:noProof/>
                <w:webHidden/>
              </w:rPr>
            </w:r>
            <w:r>
              <w:rPr>
                <w:noProof/>
                <w:webHidden/>
              </w:rPr>
              <w:fldChar w:fldCharType="separate"/>
            </w:r>
            <w:r>
              <w:rPr>
                <w:noProof/>
                <w:webHidden/>
              </w:rPr>
              <w:t>100</w:t>
            </w:r>
            <w:r>
              <w:rPr>
                <w:noProof/>
                <w:webHidden/>
              </w:rPr>
              <w:fldChar w:fldCharType="end"/>
            </w:r>
          </w:hyperlink>
        </w:p>
        <w:p w14:paraId="66087163" w14:textId="3F21FB2C"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5" w:history="1">
            <w:r w:rsidRPr="008F38E3">
              <w:rPr>
                <w:rStyle w:val="Hyperlink"/>
                <w:noProof/>
              </w:rPr>
              <w:t>3.4.2.1 Determining equitable representation</w:t>
            </w:r>
            <w:r>
              <w:rPr>
                <w:noProof/>
                <w:webHidden/>
              </w:rPr>
              <w:tab/>
            </w:r>
            <w:r>
              <w:rPr>
                <w:noProof/>
                <w:webHidden/>
              </w:rPr>
              <w:fldChar w:fldCharType="begin"/>
            </w:r>
            <w:r>
              <w:rPr>
                <w:noProof/>
                <w:webHidden/>
              </w:rPr>
              <w:instrText xml:space="preserve"> PAGEREF _Toc189739345 \h </w:instrText>
            </w:r>
            <w:r>
              <w:rPr>
                <w:noProof/>
                <w:webHidden/>
              </w:rPr>
            </w:r>
            <w:r>
              <w:rPr>
                <w:noProof/>
                <w:webHidden/>
              </w:rPr>
              <w:fldChar w:fldCharType="separate"/>
            </w:r>
            <w:r>
              <w:rPr>
                <w:noProof/>
                <w:webHidden/>
              </w:rPr>
              <w:t>100</w:t>
            </w:r>
            <w:r>
              <w:rPr>
                <w:noProof/>
                <w:webHidden/>
              </w:rPr>
              <w:fldChar w:fldCharType="end"/>
            </w:r>
          </w:hyperlink>
        </w:p>
        <w:p w14:paraId="6CF2BF0D" w14:textId="6C30F0CE"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6" w:history="1">
            <w:r w:rsidRPr="008F38E3">
              <w:rPr>
                <w:rStyle w:val="Hyperlink"/>
                <w:noProof/>
              </w:rPr>
              <w:t>3.4.2.2 Determining whether temporary barriers are permissible</w:t>
            </w:r>
            <w:r>
              <w:rPr>
                <w:noProof/>
                <w:webHidden/>
              </w:rPr>
              <w:tab/>
            </w:r>
            <w:r>
              <w:rPr>
                <w:noProof/>
                <w:webHidden/>
              </w:rPr>
              <w:fldChar w:fldCharType="begin"/>
            </w:r>
            <w:r>
              <w:rPr>
                <w:noProof/>
                <w:webHidden/>
              </w:rPr>
              <w:instrText xml:space="preserve"> PAGEREF _Toc189739346 \h </w:instrText>
            </w:r>
            <w:r>
              <w:rPr>
                <w:noProof/>
                <w:webHidden/>
              </w:rPr>
            </w:r>
            <w:r>
              <w:rPr>
                <w:noProof/>
                <w:webHidden/>
              </w:rPr>
              <w:fldChar w:fldCharType="separate"/>
            </w:r>
            <w:r>
              <w:rPr>
                <w:noProof/>
                <w:webHidden/>
              </w:rPr>
              <w:t>101</w:t>
            </w:r>
            <w:r>
              <w:rPr>
                <w:noProof/>
                <w:webHidden/>
              </w:rPr>
              <w:fldChar w:fldCharType="end"/>
            </w:r>
          </w:hyperlink>
        </w:p>
        <w:p w14:paraId="379838A1" w14:textId="659E34E0"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7" w:history="1">
            <w:r w:rsidRPr="008F38E3">
              <w:rPr>
                <w:rStyle w:val="Hyperlink"/>
                <w:noProof/>
              </w:rPr>
              <w:t>3.4.2.3 Numerical goals versus quotas</w:t>
            </w:r>
            <w:r>
              <w:rPr>
                <w:noProof/>
                <w:webHidden/>
              </w:rPr>
              <w:tab/>
            </w:r>
            <w:r>
              <w:rPr>
                <w:noProof/>
                <w:webHidden/>
              </w:rPr>
              <w:fldChar w:fldCharType="begin"/>
            </w:r>
            <w:r>
              <w:rPr>
                <w:noProof/>
                <w:webHidden/>
              </w:rPr>
              <w:instrText xml:space="preserve"> PAGEREF _Toc189739347 \h </w:instrText>
            </w:r>
            <w:r>
              <w:rPr>
                <w:noProof/>
                <w:webHidden/>
              </w:rPr>
            </w:r>
            <w:r>
              <w:rPr>
                <w:noProof/>
                <w:webHidden/>
              </w:rPr>
              <w:fldChar w:fldCharType="separate"/>
            </w:r>
            <w:r>
              <w:rPr>
                <w:noProof/>
                <w:webHidden/>
              </w:rPr>
              <w:t>102</w:t>
            </w:r>
            <w:r>
              <w:rPr>
                <w:noProof/>
                <w:webHidden/>
              </w:rPr>
              <w:fldChar w:fldCharType="end"/>
            </w:r>
          </w:hyperlink>
        </w:p>
        <w:p w14:paraId="65C14955" w14:textId="6DFD3970"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8" w:history="1">
            <w:r w:rsidRPr="008F38E3">
              <w:rPr>
                <w:rStyle w:val="Hyperlink"/>
                <w:noProof/>
              </w:rPr>
              <w:t>3.4.2.4 Representation versus efficiency</w:t>
            </w:r>
            <w:r>
              <w:rPr>
                <w:noProof/>
                <w:webHidden/>
              </w:rPr>
              <w:tab/>
            </w:r>
            <w:r>
              <w:rPr>
                <w:noProof/>
                <w:webHidden/>
              </w:rPr>
              <w:fldChar w:fldCharType="begin"/>
            </w:r>
            <w:r>
              <w:rPr>
                <w:noProof/>
                <w:webHidden/>
              </w:rPr>
              <w:instrText xml:space="preserve"> PAGEREF _Toc189739348 \h </w:instrText>
            </w:r>
            <w:r>
              <w:rPr>
                <w:noProof/>
                <w:webHidden/>
              </w:rPr>
            </w:r>
            <w:r>
              <w:rPr>
                <w:noProof/>
                <w:webHidden/>
              </w:rPr>
              <w:fldChar w:fldCharType="separate"/>
            </w:r>
            <w:r>
              <w:rPr>
                <w:noProof/>
                <w:webHidden/>
              </w:rPr>
              <w:t>104</w:t>
            </w:r>
            <w:r>
              <w:rPr>
                <w:noProof/>
                <w:webHidden/>
              </w:rPr>
              <w:fldChar w:fldCharType="end"/>
            </w:r>
          </w:hyperlink>
        </w:p>
        <w:p w14:paraId="432741B5" w14:textId="53F691D8"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49" w:history="1">
            <w:r w:rsidRPr="008F38E3">
              <w:rPr>
                <w:rStyle w:val="Hyperlink"/>
                <w:noProof/>
              </w:rPr>
              <w:t>3.4.2.5 The requirement of temporality</w:t>
            </w:r>
            <w:r>
              <w:rPr>
                <w:noProof/>
                <w:webHidden/>
              </w:rPr>
              <w:tab/>
            </w:r>
            <w:r>
              <w:rPr>
                <w:noProof/>
                <w:webHidden/>
              </w:rPr>
              <w:fldChar w:fldCharType="begin"/>
            </w:r>
            <w:r>
              <w:rPr>
                <w:noProof/>
                <w:webHidden/>
              </w:rPr>
              <w:instrText xml:space="preserve"> PAGEREF _Toc189739349 \h </w:instrText>
            </w:r>
            <w:r>
              <w:rPr>
                <w:noProof/>
                <w:webHidden/>
              </w:rPr>
            </w:r>
            <w:r>
              <w:rPr>
                <w:noProof/>
                <w:webHidden/>
              </w:rPr>
              <w:fldChar w:fldCharType="separate"/>
            </w:r>
            <w:r>
              <w:rPr>
                <w:noProof/>
                <w:webHidden/>
              </w:rPr>
              <w:t>105</w:t>
            </w:r>
            <w:r>
              <w:rPr>
                <w:noProof/>
                <w:webHidden/>
              </w:rPr>
              <w:fldChar w:fldCharType="end"/>
            </w:r>
          </w:hyperlink>
        </w:p>
        <w:p w14:paraId="541091F2" w14:textId="2BD84357"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50" w:history="1">
            <w:r w:rsidRPr="008F38E3">
              <w:rPr>
                <w:rStyle w:val="Hyperlink"/>
                <w:noProof/>
              </w:rPr>
              <w:t>3.4.3 Absence of a valid Employment Equity Plan</w:t>
            </w:r>
            <w:r>
              <w:rPr>
                <w:noProof/>
                <w:webHidden/>
              </w:rPr>
              <w:tab/>
            </w:r>
            <w:r>
              <w:rPr>
                <w:noProof/>
                <w:webHidden/>
              </w:rPr>
              <w:fldChar w:fldCharType="begin"/>
            </w:r>
            <w:r>
              <w:rPr>
                <w:noProof/>
                <w:webHidden/>
              </w:rPr>
              <w:instrText xml:space="preserve"> PAGEREF _Toc189739350 \h </w:instrText>
            </w:r>
            <w:r>
              <w:rPr>
                <w:noProof/>
                <w:webHidden/>
              </w:rPr>
            </w:r>
            <w:r>
              <w:rPr>
                <w:noProof/>
                <w:webHidden/>
              </w:rPr>
              <w:fldChar w:fldCharType="separate"/>
            </w:r>
            <w:r>
              <w:rPr>
                <w:noProof/>
                <w:webHidden/>
              </w:rPr>
              <w:t>107</w:t>
            </w:r>
            <w:r>
              <w:rPr>
                <w:noProof/>
                <w:webHidden/>
              </w:rPr>
              <w:fldChar w:fldCharType="end"/>
            </w:r>
          </w:hyperlink>
        </w:p>
        <w:p w14:paraId="1ABBDEE9" w14:textId="4C903784"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51" w:history="1">
            <w:r w:rsidRPr="008F38E3">
              <w:rPr>
                <w:rStyle w:val="Hyperlink"/>
                <w:noProof/>
              </w:rPr>
              <w:t>3.5 Requirements that AA must comply with in order not to constitute unfair discrimination</w:t>
            </w:r>
            <w:r>
              <w:rPr>
                <w:noProof/>
                <w:webHidden/>
              </w:rPr>
              <w:tab/>
            </w:r>
            <w:r>
              <w:rPr>
                <w:noProof/>
                <w:webHidden/>
              </w:rPr>
              <w:fldChar w:fldCharType="begin"/>
            </w:r>
            <w:r>
              <w:rPr>
                <w:noProof/>
                <w:webHidden/>
              </w:rPr>
              <w:instrText xml:space="preserve"> PAGEREF _Toc189739351 \h </w:instrText>
            </w:r>
            <w:r>
              <w:rPr>
                <w:noProof/>
                <w:webHidden/>
              </w:rPr>
            </w:r>
            <w:r>
              <w:rPr>
                <w:noProof/>
                <w:webHidden/>
              </w:rPr>
              <w:fldChar w:fldCharType="separate"/>
            </w:r>
            <w:r>
              <w:rPr>
                <w:noProof/>
                <w:webHidden/>
              </w:rPr>
              <w:t>110</w:t>
            </w:r>
            <w:r>
              <w:rPr>
                <w:noProof/>
                <w:webHidden/>
              </w:rPr>
              <w:fldChar w:fldCharType="end"/>
            </w:r>
          </w:hyperlink>
        </w:p>
        <w:p w14:paraId="34635CFF" w14:textId="507E0BEA"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52" w:history="1">
            <w:r w:rsidRPr="008F38E3">
              <w:rPr>
                <w:rStyle w:val="Hyperlink"/>
                <w:noProof/>
              </w:rPr>
              <w:t>3.5.1 Legislative requirements for a valid affirmative action in terms of the EEA</w:t>
            </w:r>
            <w:r>
              <w:rPr>
                <w:noProof/>
                <w:webHidden/>
              </w:rPr>
              <w:tab/>
            </w:r>
            <w:r>
              <w:rPr>
                <w:noProof/>
                <w:webHidden/>
              </w:rPr>
              <w:fldChar w:fldCharType="begin"/>
            </w:r>
            <w:r>
              <w:rPr>
                <w:noProof/>
                <w:webHidden/>
              </w:rPr>
              <w:instrText xml:space="preserve"> PAGEREF _Toc189739352 \h </w:instrText>
            </w:r>
            <w:r>
              <w:rPr>
                <w:noProof/>
                <w:webHidden/>
              </w:rPr>
            </w:r>
            <w:r>
              <w:rPr>
                <w:noProof/>
                <w:webHidden/>
              </w:rPr>
              <w:fldChar w:fldCharType="separate"/>
            </w:r>
            <w:r>
              <w:rPr>
                <w:noProof/>
                <w:webHidden/>
              </w:rPr>
              <w:t>111</w:t>
            </w:r>
            <w:r>
              <w:rPr>
                <w:noProof/>
                <w:webHidden/>
              </w:rPr>
              <w:fldChar w:fldCharType="end"/>
            </w:r>
          </w:hyperlink>
        </w:p>
        <w:p w14:paraId="62F37FFF" w14:textId="6A030963"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53" w:history="1">
            <w:r w:rsidRPr="008F38E3">
              <w:rPr>
                <w:rStyle w:val="Hyperlink"/>
                <w:noProof/>
              </w:rPr>
              <w:t>3.5.2 The judicial standards for implementing affirmative action (the three-test requirement)</w:t>
            </w:r>
            <w:r>
              <w:rPr>
                <w:noProof/>
                <w:webHidden/>
              </w:rPr>
              <w:tab/>
            </w:r>
            <w:r>
              <w:rPr>
                <w:noProof/>
                <w:webHidden/>
              </w:rPr>
              <w:fldChar w:fldCharType="begin"/>
            </w:r>
            <w:r>
              <w:rPr>
                <w:noProof/>
                <w:webHidden/>
              </w:rPr>
              <w:instrText xml:space="preserve"> PAGEREF _Toc189739353 \h </w:instrText>
            </w:r>
            <w:r>
              <w:rPr>
                <w:noProof/>
                <w:webHidden/>
              </w:rPr>
            </w:r>
            <w:r>
              <w:rPr>
                <w:noProof/>
                <w:webHidden/>
              </w:rPr>
              <w:fldChar w:fldCharType="separate"/>
            </w:r>
            <w:r>
              <w:rPr>
                <w:noProof/>
                <w:webHidden/>
              </w:rPr>
              <w:t>112</w:t>
            </w:r>
            <w:r>
              <w:rPr>
                <w:noProof/>
                <w:webHidden/>
              </w:rPr>
              <w:fldChar w:fldCharType="end"/>
            </w:r>
          </w:hyperlink>
        </w:p>
        <w:p w14:paraId="32823FEA" w14:textId="30F28837"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54" w:history="1">
            <w:r w:rsidRPr="008F38E3">
              <w:rPr>
                <w:rStyle w:val="Hyperlink"/>
                <w:noProof/>
              </w:rPr>
              <w:t>3.5.2.1 The measure must target persons disadvantaged by past discrimination</w:t>
            </w:r>
            <w:r>
              <w:rPr>
                <w:noProof/>
                <w:webHidden/>
              </w:rPr>
              <w:tab/>
            </w:r>
            <w:r>
              <w:rPr>
                <w:noProof/>
                <w:webHidden/>
              </w:rPr>
              <w:fldChar w:fldCharType="begin"/>
            </w:r>
            <w:r>
              <w:rPr>
                <w:noProof/>
                <w:webHidden/>
              </w:rPr>
              <w:instrText xml:space="preserve"> PAGEREF _Toc189739354 \h </w:instrText>
            </w:r>
            <w:r>
              <w:rPr>
                <w:noProof/>
                <w:webHidden/>
              </w:rPr>
            </w:r>
            <w:r>
              <w:rPr>
                <w:noProof/>
                <w:webHidden/>
              </w:rPr>
              <w:fldChar w:fldCharType="separate"/>
            </w:r>
            <w:r>
              <w:rPr>
                <w:noProof/>
                <w:webHidden/>
              </w:rPr>
              <w:t>113</w:t>
            </w:r>
            <w:r>
              <w:rPr>
                <w:noProof/>
                <w:webHidden/>
              </w:rPr>
              <w:fldChar w:fldCharType="end"/>
            </w:r>
          </w:hyperlink>
        </w:p>
        <w:p w14:paraId="49DACB86" w14:textId="75DF5B95"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55" w:history="1">
            <w:r w:rsidRPr="008F38E3">
              <w:rPr>
                <w:rStyle w:val="Hyperlink"/>
                <w:noProof/>
              </w:rPr>
              <w:t>3.5.2.2 The measure must protect or advance persons disadvantaged by past discrimination</w:t>
            </w:r>
            <w:r>
              <w:rPr>
                <w:noProof/>
                <w:webHidden/>
              </w:rPr>
              <w:tab/>
            </w:r>
            <w:r>
              <w:rPr>
                <w:noProof/>
                <w:webHidden/>
              </w:rPr>
              <w:fldChar w:fldCharType="begin"/>
            </w:r>
            <w:r>
              <w:rPr>
                <w:noProof/>
                <w:webHidden/>
              </w:rPr>
              <w:instrText xml:space="preserve"> PAGEREF _Toc189739355 \h </w:instrText>
            </w:r>
            <w:r>
              <w:rPr>
                <w:noProof/>
                <w:webHidden/>
              </w:rPr>
            </w:r>
            <w:r>
              <w:rPr>
                <w:noProof/>
                <w:webHidden/>
              </w:rPr>
              <w:fldChar w:fldCharType="separate"/>
            </w:r>
            <w:r>
              <w:rPr>
                <w:noProof/>
                <w:webHidden/>
              </w:rPr>
              <w:t>115</w:t>
            </w:r>
            <w:r>
              <w:rPr>
                <w:noProof/>
                <w:webHidden/>
              </w:rPr>
              <w:fldChar w:fldCharType="end"/>
            </w:r>
          </w:hyperlink>
        </w:p>
        <w:p w14:paraId="69BEB383" w14:textId="7A8B1A84"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56" w:history="1">
            <w:r w:rsidRPr="008F38E3">
              <w:rPr>
                <w:rStyle w:val="Hyperlink"/>
                <w:noProof/>
              </w:rPr>
              <w:t>3.5.2.3 The measure must promote the achievement of equality</w:t>
            </w:r>
            <w:r>
              <w:rPr>
                <w:noProof/>
                <w:webHidden/>
              </w:rPr>
              <w:tab/>
            </w:r>
            <w:r>
              <w:rPr>
                <w:noProof/>
                <w:webHidden/>
              </w:rPr>
              <w:fldChar w:fldCharType="begin"/>
            </w:r>
            <w:r>
              <w:rPr>
                <w:noProof/>
                <w:webHidden/>
              </w:rPr>
              <w:instrText xml:space="preserve"> PAGEREF _Toc189739356 \h </w:instrText>
            </w:r>
            <w:r>
              <w:rPr>
                <w:noProof/>
                <w:webHidden/>
              </w:rPr>
            </w:r>
            <w:r>
              <w:rPr>
                <w:noProof/>
                <w:webHidden/>
              </w:rPr>
              <w:fldChar w:fldCharType="separate"/>
            </w:r>
            <w:r>
              <w:rPr>
                <w:noProof/>
                <w:webHidden/>
              </w:rPr>
              <w:t>118</w:t>
            </w:r>
            <w:r>
              <w:rPr>
                <w:noProof/>
                <w:webHidden/>
              </w:rPr>
              <w:fldChar w:fldCharType="end"/>
            </w:r>
          </w:hyperlink>
        </w:p>
        <w:p w14:paraId="53F98EA4" w14:textId="4012DCFE"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57" w:history="1">
            <w:r w:rsidRPr="008F38E3">
              <w:rPr>
                <w:rStyle w:val="Hyperlink"/>
                <w:noProof/>
              </w:rPr>
              <w:t>3.6 Striking the Balance: Rationality, Proportionality, and Fairness in Affirmative Action Measures</w:t>
            </w:r>
            <w:r>
              <w:rPr>
                <w:noProof/>
                <w:webHidden/>
              </w:rPr>
              <w:tab/>
            </w:r>
            <w:r>
              <w:rPr>
                <w:noProof/>
                <w:webHidden/>
              </w:rPr>
              <w:fldChar w:fldCharType="begin"/>
            </w:r>
            <w:r>
              <w:rPr>
                <w:noProof/>
                <w:webHidden/>
              </w:rPr>
              <w:instrText xml:space="preserve"> PAGEREF _Toc189739357 \h </w:instrText>
            </w:r>
            <w:r>
              <w:rPr>
                <w:noProof/>
                <w:webHidden/>
              </w:rPr>
            </w:r>
            <w:r>
              <w:rPr>
                <w:noProof/>
                <w:webHidden/>
              </w:rPr>
              <w:fldChar w:fldCharType="separate"/>
            </w:r>
            <w:r>
              <w:rPr>
                <w:noProof/>
                <w:webHidden/>
              </w:rPr>
              <w:t>121</w:t>
            </w:r>
            <w:r>
              <w:rPr>
                <w:noProof/>
                <w:webHidden/>
              </w:rPr>
              <w:fldChar w:fldCharType="end"/>
            </w:r>
          </w:hyperlink>
        </w:p>
        <w:p w14:paraId="27E2128E" w14:textId="6BD637D6"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58" w:history="1">
            <w:r w:rsidRPr="008F38E3">
              <w:rPr>
                <w:rStyle w:val="Hyperlink"/>
                <w:noProof/>
              </w:rPr>
              <w:t>3.6.1 The “rationality” standard in Affirmative action</w:t>
            </w:r>
            <w:r>
              <w:rPr>
                <w:noProof/>
                <w:webHidden/>
              </w:rPr>
              <w:tab/>
            </w:r>
            <w:r>
              <w:rPr>
                <w:noProof/>
                <w:webHidden/>
              </w:rPr>
              <w:fldChar w:fldCharType="begin"/>
            </w:r>
            <w:r>
              <w:rPr>
                <w:noProof/>
                <w:webHidden/>
              </w:rPr>
              <w:instrText xml:space="preserve"> PAGEREF _Toc189739358 \h </w:instrText>
            </w:r>
            <w:r>
              <w:rPr>
                <w:noProof/>
                <w:webHidden/>
              </w:rPr>
            </w:r>
            <w:r>
              <w:rPr>
                <w:noProof/>
                <w:webHidden/>
              </w:rPr>
              <w:fldChar w:fldCharType="separate"/>
            </w:r>
            <w:r>
              <w:rPr>
                <w:noProof/>
                <w:webHidden/>
              </w:rPr>
              <w:t>122</w:t>
            </w:r>
            <w:r>
              <w:rPr>
                <w:noProof/>
                <w:webHidden/>
              </w:rPr>
              <w:fldChar w:fldCharType="end"/>
            </w:r>
          </w:hyperlink>
        </w:p>
        <w:p w14:paraId="26EE976C" w14:textId="5FB7B785"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59" w:history="1">
            <w:r w:rsidRPr="008F38E3">
              <w:rPr>
                <w:rStyle w:val="Hyperlink"/>
                <w:noProof/>
              </w:rPr>
              <w:t>3.6.1.1 Constitutional definition of rationality</w:t>
            </w:r>
            <w:r>
              <w:rPr>
                <w:noProof/>
                <w:webHidden/>
              </w:rPr>
              <w:tab/>
            </w:r>
            <w:r>
              <w:rPr>
                <w:noProof/>
                <w:webHidden/>
              </w:rPr>
              <w:fldChar w:fldCharType="begin"/>
            </w:r>
            <w:r>
              <w:rPr>
                <w:noProof/>
                <w:webHidden/>
              </w:rPr>
              <w:instrText xml:space="preserve"> PAGEREF _Toc189739359 \h </w:instrText>
            </w:r>
            <w:r>
              <w:rPr>
                <w:noProof/>
                <w:webHidden/>
              </w:rPr>
            </w:r>
            <w:r>
              <w:rPr>
                <w:noProof/>
                <w:webHidden/>
              </w:rPr>
              <w:fldChar w:fldCharType="separate"/>
            </w:r>
            <w:r>
              <w:rPr>
                <w:noProof/>
                <w:webHidden/>
              </w:rPr>
              <w:t>122</w:t>
            </w:r>
            <w:r>
              <w:rPr>
                <w:noProof/>
                <w:webHidden/>
              </w:rPr>
              <w:fldChar w:fldCharType="end"/>
            </w:r>
          </w:hyperlink>
        </w:p>
        <w:p w14:paraId="2A33C8CD" w14:textId="0666DC77"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60" w:history="1">
            <w:r w:rsidRPr="008F38E3">
              <w:rPr>
                <w:rStyle w:val="Hyperlink"/>
                <w:noProof/>
              </w:rPr>
              <w:t>3.6.1.2 Judicial application of rationality</w:t>
            </w:r>
            <w:r>
              <w:rPr>
                <w:noProof/>
                <w:webHidden/>
              </w:rPr>
              <w:tab/>
            </w:r>
            <w:r>
              <w:rPr>
                <w:noProof/>
                <w:webHidden/>
              </w:rPr>
              <w:fldChar w:fldCharType="begin"/>
            </w:r>
            <w:r>
              <w:rPr>
                <w:noProof/>
                <w:webHidden/>
              </w:rPr>
              <w:instrText xml:space="preserve"> PAGEREF _Toc189739360 \h </w:instrText>
            </w:r>
            <w:r>
              <w:rPr>
                <w:noProof/>
                <w:webHidden/>
              </w:rPr>
            </w:r>
            <w:r>
              <w:rPr>
                <w:noProof/>
                <w:webHidden/>
              </w:rPr>
              <w:fldChar w:fldCharType="separate"/>
            </w:r>
            <w:r>
              <w:rPr>
                <w:noProof/>
                <w:webHidden/>
              </w:rPr>
              <w:t>122</w:t>
            </w:r>
            <w:r>
              <w:rPr>
                <w:noProof/>
                <w:webHidden/>
              </w:rPr>
              <w:fldChar w:fldCharType="end"/>
            </w:r>
          </w:hyperlink>
        </w:p>
        <w:p w14:paraId="1FAB2DA7" w14:textId="0776981E"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61" w:history="1">
            <w:r w:rsidRPr="008F38E3">
              <w:rPr>
                <w:rStyle w:val="Hyperlink"/>
                <w:noProof/>
              </w:rPr>
              <w:t>3.6.1.3 Criticism against the rationality standard</w:t>
            </w:r>
            <w:r>
              <w:rPr>
                <w:noProof/>
                <w:webHidden/>
              </w:rPr>
              <w:tab/>
            </w:r>
            <w:r>
              <w:rPr>
                <w:noProof/>
                <w:webHidden/>
              </w:rPr>
              <w:fldChar w:fldCharType="begin"/>
            </w:r>
            <w:r>
              <w:rPr>
                <w:noProof/>
                <w:webHidden/>
              </w:rPr>
              <w:instrText xml:space="preserve"> PAGEREF _Toc189739361 \h </w:instrText>
            </w:r>
            <w:r>
              <w:rPr>
                <w:noProof/>
                <w:webHidden/>
              </w:rPr>
            </w:r>
            <w:r>
              <w:rPr>
                <w:noProof/>
                <w:webHidden/>
              </w:rPr>
              <w:fldChar w:fldCharType="separate"/>
            </w:r>
            <w:r>
              <w:rPr>
                <w:noProof/>
                <w:webHidden/>
              </w:rPr>
              <w:t>124</w:t>
            </w:r>
            <w:r>
              <w:rPr>
                <w:noProof/>
                <w:webHidden/>
              </w:rPr>
              <w:fldChar w:fldCharType="end"/>
            </w:r>
          </w:hyperlink>
        </w:p>
        <w:p w14:paraId="05031698" w14:textId="2099BDE9" w:rsidR="00BA6AF4" w:rsidRDefault="00BA6AF4">
          <w:pPr>
            <w:pStyle w:val="TOC2"/>
            <w:tabs>
              <w:tab w:val="left" w:pos="960"/>
              <w:tab w:val="right" w:leader="dot" w:pos="9016"/>
            </w:tabs>
            <w:rPr>
              <w:rFonts w:cstheme="minorBidi"/>
              <w:noProof/>
              <w:kern w:val="2"/>
              <w:sz w:val="24"/>
              <w:szCs w:val="24"/>
              <w:lang w:val="en-ZA" w:eastAsia="en-ZA"/>
              <w14:ligatures w14:val="standardContextual"/>
            </w:rPr>
          </w:pPr>
          <w:hyperlink w:anchor="_Toc189739362" w:history="1">
            <w:r w:rsidRPr="008F38E3">
              <w:rPr>
                <w:rStyle w:val="Hyperlink"/>
                <w:noProof/>
              </w:rPr>
              <w:t>3.6.2</w:t>
            </w:r>
            <w:r>
              <w:rPr>
                <w:rFonts w:cstheme="minorBidi"/>
                <w:noProof/>
                <w:kern w:val="2"/>
                <w:sz w:val="24"/>
                <w:szCs w:val="24"/>
                <w:lang w:val="en-ZA" w:eastAsia="en-ZA"/>
                <w14:ligatures w14:val="standardContextual"/>
              </w:rPr>
              <w:tab/>
            </w:r>
            <w:r w:rsidRPr="008F38E3">
              <w:rPr>
                <w:rStyle w:val="Hyperlink"/>
                <w:noProof/>
              </w:rPr>
              <w:t>The “fairness” standard in Affirmative Action</w:t>
            </w:r>
            <w:r>
              <w:rPr>
                <w:noProof/>
                <w:webHidden/>
              </w:rPr>
              <w:tab/>
            </w:r>
            <w:r>
              <w:rPr>
                <w:noProof/>
                <w:webHidden/>
              </w:rPr>
              <w:fldChar w:fldCharType="begin"/>
            </w:r>
            <w:r>
              <w:rPr>
                <w:noProof/>
                <w:webHidden/>
              </w:rPr>
              <w:instrText xml:space="preserve"> PAGEREF _Toc189739362 \h </w:instrText>
            </w:r>
            <w:r>
              <w:rPr>
                <w:noProof/>
                <w:webHidden/>
              </w:rPr>
            </w:r>
            <w:r>
              <w:rPr>
                <w:noProof/>
                <w:webHidden/>
              </w:rPr>
              <w:fldChar w:fldCharType="separate"/>
            </w:r>
            <w:r>
              <w:rPr>
                <w:noProof/>
                <w:webHidden/>
              </w:rPr>
              <w:t>126</w:t>
            </w:r>
            <w:r>
              <w:rPr>
                <w:noProof/>
                <w:webHidden/>
              </w:rPr>
              <w:fldChar w:fldCharType="end"/>
            </w:r>
          </w:hyperlink>
        </w:p>
        <w:p w14:paraId="62867E2A" w14:textId="35CAD3E7" w:rsidR="00BA6AF4" w:rsidRDefault="00BA6AF4">
          <w:pPr>
            <w:pStyle w:val="TOC3"/>
            <w:tabs>
              <w:tab w:val="left" w:pos="1440"/>
              <w:tab w:val="right" w:leader="dot" w:pos="9016"/>
            </w:tabs>
            <w:rPr>
              <w:rFonts w:cstheme="minorBidi"/>
              <w:noProof/>
              <w:kern w:val="2"/>
              <w:sz w:val="24"/>
              <w:szCs w:val="24"/>
              <w:lang w:val="en-ZA" w:eastAsia="en-ZA"/>
              <w14:ligatures w14:val="standardContextual"/>
            </w:rPr>
          </w:pPr>
          <w:hyperlink w:anchor="_Toc189739363" w:history="1">
            <w:r w:rsidRPr="008F38E3">
              <w:rPr>
                <w:rStyle w:val="Hyperlink"/>
                <w:noProof/>
              </w:rPr>
              <w:t>3.6.2.1</w:t>
            </w:r>
            <w:r>
              <w:rPr>
                <w:rFonts w:cstheme="minorBidi"/>
                <w:noProof/>
                <w:kern w:val="2"/>
                <w:sz w:val="24"/>
                <w:szCs w:val="24"/>
                <w:lang w:val="en-ZA" w:eastAsia="en-ZA"/>
                <w14:ligatures w14:val="standardContextual"/>
              </w:rPr>
              <w:tab/>
            </w:r>
            <w:r w:rsidRPr="008F38E3">
              <w:rPr>
                <w:rStyle w:val="Hyperlink"/>
                <w:noProof/>
              </w:rPr>
              <w:t>Constitutional definition of fairness</w:t>
            </w:r>
            <w:r>
              <w:rPr>
                <w:noProof/>
                <w:webHidden/>
              </w:rPr>
              <w:tab/>
            </w:r>
            <w:r>
              <w:rPr>
                <w:noProof/>
                <w:webHidden/>
              </w:rPr>
              <w:fldChar w:fldCharType="begin"/>
            </w:r>
            <w:r>
              <w:rPr>
                <w:noProof/>
                <w:webHidden/>
              </w:rPr>
              <w:instrText xml:space="preserve"> PAGEREF _Toc189739363 \h </w:instrText>
            </w:r>
            <w:r>
              <w:rPr>
                <w:noProof/>
                <w:webHidden/>
              </w:rPr>
            </w:r>
            <w:r>
              <w:rPr>
                <w:noProof/>
                <w:webHidden/>
              </w:rPr>
              <w:fldChar w:fldCharType="separate"/>
            </w:r>
            <w:r>
              <w:rPr>
                <w:noProof/>
                <w:webHidden/>
              </w:rPr>
              <w:t>126</w:t>
            </w:r>
            <w:r>
              <w:rPr>
                <w:noProof/>
                <w:webHidden/>
              </w:rPr>
              <w:fldChar w:fldCharType="end"/>
            </w:r>
          </w:hyperlink>
        </w:p>
        <w:p w14:paraId="5CA2ECE5" w14:textId="2E5D6F83" w:rsidR="00BA6AF4" w:rsidRDefault="00BA6AF4">
          <w:pPr>
            <w:pStyle w:val="TOC3"/>
            <w:tabs>
              <w:tab w:val="left" w:pos="1440"/>
              <w:tab w:val="right" w:leader="dot" w:pos="9016"/>
            </w:tabs>
            <w:rPr>
              <w:rFonts w:cstheme="minorBidi"/>
              <w:noProof/>
              <w:kern w:val="2"/>
              <w:sz w:val="24"/>
              <w:szCs w:val="24"/>
              <w:lang w:val="en-ZA" w:eastAsia="en-ZA"/>
              <w14:ligatures w14:val="standardContextual"/>
            </w:rPr>
          </w:pPr>
          <w:hyperlink w:anchor="_Toc189739364" w:history="1">
            <w:r w:rsidRPr="008F38E3">
              <w:rPr>
                <w:rStyle w:val="Hyperlink"/>
                <w:noProof/>
              </w:rPr>
              <w:t>3.6.2.2</w:t>
            </w:r>
            <w:r>
              <w:rPr>
                <w:rFonts w:cstheme="minorBidi"/>
                <w:noProof/>
                <w:kern w:val="2"/>
                <w:sz w:val="24"/>
                <w:szCs w:val="24"/>
                <w:lang w:val="en-ZA" w:eastAsia="en-ZA"/>
                <w14:ligatures w14:val="standardContextual"/>
              </w:rPr>
              <w:tab/>
            </w:r>
            <w:r w:rsidRPr="008F38E3">
              <w:rPr>
                <w:rStyle w:val="Hyperlink"/>
                <w:noProof/>
              </w:rPr>
              <w:t>Judicial application of fairness</w:t>
            </w:r>
            <w:r>
              <w:rPr>
                <w:noProof/>
                <w:webHidden/>
              </w:rPr>
              <w:tab/>
            </w:r>
            <w:r>
              <w:rPr>
                <w:noProof/>
                <w:webHidden/>
              </w:rPr>
              <w:fldChar w:fldCharType="begin"/>
            </w:r>
            <w:r>
              <w:rPr>
                <w:noProof/>
                <w:webHidden/>
              </w:rPr>
              <w:instrText xml:space="preserve"> PAGEREF _Toc189739364 \h </w:instrText>
            </w:r>
            <w:r>
              <w:rPr>
                <w:noProof/>
                <w:webHidden/>
              </w:rPr>
            </w:r>
            <w:r>
              <w:rPr>
                <w:noProof/>
                <w:webHidden/>
              </w:rPr>
              <w:fldChar w:fldCharType="separate"/>
            </w:r>
            <w:r>
              <w:rPr>
                <w:noProof/>
                <w:webHidden/>
              </w:rPr>
              <w:t>127</w:t>
            </w:r>
            <w:r>
              <w:rPr>
                <w:noProof/>
                <w:webHidden/>
              </w:rPr>
              <w:fldChar w:fldCharType="end"/>
            </w:r>
          </w:hyperlink>
        </w:p>
        <w:p w14:paraId="7166ECA6" w14:textId="5A66E7A1" w:rsidR="00BA6AF4" w:rsidRDefault="00BA6AF4">
          <w:pPr>
            <w:pStyle w:val="TOC3"/>
            <w:tabs>
              <w:tab w:val="left" w:pos="1440"/>
              <w:tab w:val="right" w:leader="dot" w:pos="9016"/>
            </w:tabs>
            <w:rPr>
              <w:rFonts w:cstheme="minorBidi"/>
              <w:noProof/>
              <w:kern w:val="2"/>
              <w:sz w:val="24"/>
              <w:szCs w:val="24"/>
              <w:lang w:val="en-ZA" w:eastAsia="en-ZA"/>
              <w14:ligatures w14:val="standardContextual"/>
            </w:rPr>
          </w:pPr>
          <w:hyperlink w:anchor="_Toc189739365" w:history="1">
            <w:r w:rsidRPr="008F38E3">
              <w:rPr>
                <w:rStyle w:val="Hyperlink"/>
                <w:noProof/>
              </w:rPr>
              <w:t>3.6.2.3</w:t>
            </w:r>
            <w:r>
              <w:rPr>
                <w:rFonts w:cstheme="minorBidi"/>
                <w:noProof/>
                <w:kern w:val="2"/>
                <w:sz w:val="24"/>
                <w:szCs w:val="24"/>
                <w:lang w:val="en-ZA" w:eastAsia="en-ZA"/>
                <w14:ligatures w14:val="standardContextual"/>
              </w:rPr>
              <w:tab/>
            </w:r>
            <w:r w:rsidRPr="008F38E3">
              <w:rPr>
                <w:rStyle w:val="Hyperlink"/>
                <w:noProof/>
              </w:rPr>
              <w:t>Criticism against the fairness standard</w:t>
            </w:r>
            <w:r>
              <w:rPr>
                <w:noProof/>
                <w:webHidden/>
              </w:rPr>
              <w:tab/>
            </w:r>
            <w:r>
              <w:rPr>
                <w:noProof/>
                <w:webHidden/>
              </w:rPr>
              <w:fldChar w:fldCharType="begin"/>
            </w:r>
            <w:r>
              <w:rPr>
                <w:noProof/>
                <w:webHidden/>
              </w:rPr>
              <w:instrText xml:space="preserve"> PAGEREF _Toc189739365 \h </w:instrText>
            </w:r>
            <w:r>
              <w:rPr>
                <w:noProof/>
                <w:webHidden/>
              </w:rPr>
            </w:r>
            <w:r>
              <w:rPr>
                <w:noProof/>
                <w:webHidden/>
              </w:rPr>
              <w:fldChar w:fldCharType="separate"/>
            </w:r>
            <w:r>
              <w:rPr>
                <w:noProof/>
                <w:webHidden/>
              </w:rPr>
              <w:t>129</w:t>
            </w:r>
            <w:r>
              <w:rPr>
                <w:noProof/>
                <w:webHidden/>
              </w:rPr>
              <w:fldChar w:fldCharType="end"/>
            </w:r>
          </w:hyperlink>
        </w:p>
        <w:p w14:paraId="149185E2" w14:textId="603F26B7" w:rsidR="00BA6AF4" w:rsidRDefault="00BA6AF4">
          <w:pPr>
            <w:pStyle w:val="TOC2"/>
            <w:tabs>
              <w:tab w:val="left" w:pos="960"/>
              <w:tab w:val="right" w:leader="dot" w:pos="9016"/>
            </w:tabs>
            <w:rPr>
              <w:rFonts w:cstheme="minorBidi"/>
              <w:noProof/>
              <w:kern w:val="2"/>
              <w:sz w:val="24"/>
              <w:szCs w:val="24"/>
              <w:lang w:val="en-ZA" w:eastAsia="en-ZA"/>
              <w14:ligatures w14:val="standardContextual"/>
            </w:rPr>
          </w:pPr>
          <w:hyperlink w:anchor="_Toc189739366" w:history="1">
            <w:r w:rsidRPr="008F38E3">
              <w:rPr>
                <w:rStyle w:val="Hyperlink"/>
                <w:noProof/>
              </w:rPr>
              <w:t>3.6.3</w:t>
            </w:r>
            <w:r>
              <w:rPr>
                <w:rFonts w:cstheme="minorBidi"/>
                <w:noProof/>
                <w:kern w:val="2"/>
                <w:sz w:val="24"/>
                <w:szCs w:val="24"/>
                <w:lang w:val="en-ZA" w:eastAsia="en-ZA"/>
                <w14:ligatures w14:val="standardContextual"/>
              </w:rPr>
              <w:tab/>
            </w:r>
            <w:r w:rsidRPr="008F38E3">
              <w:rPr>
                <w:rStyle w:val="Hyperlink"/>
                <w:noProof/>
              </w:rPr>
              <w:t>The “proportionality” standard in Affirmative Action</w:t>
            </w:r>
            <w:r>
              <w:rPr>
                <w:noProof/>
                <w:webHidden/>
              </w:rPr>
              <w:tab/>
            </w:r>
            <w:r>
              <w:rPr>
                <w:noProof/>
                <w:webHidden/>
              </w:rPr>
              <w:fldChar w:fldCharType="begin"/>
            </w:r>
            <w:r>
              <w:rPr>
                <w:noProof/>
                <w:webHidden/>
              </w:rPr>
              <w:instrText xml:space="preserve"> PAGEREF _Toc189739366 \h </w:instrText>
            </w:r>
            <w:r>
              <w:rPr>
                <w:noProof/>
                <w:webHidden/>
              </w:rPr>
            </w:r>
            <w:r>
              <w:rPr>
                <w:noProof/>
                <w:webHidden/>
              </w:rPr>
              <w:fldChar w:fldCharType="separate"/>
            </w:r>
            <w:r>
              <w:rPr>
                <w:noProof/>
                <w:webHidden/>
              </w:rPr>
              <w:t>130</w:t>
            </w:r>
            <w:r>
              <w:rPr>
                <w:noProof/>
                <w:webHidden/>
              </w:rPr>
              <w:fldChar w:fldCharType="end"/>
            </w:r>
          </w:hyperlink>
        </w:p>
        <w:p w14:paraId="2DC9E008" w14:textId="687438AA" w:rsidR="00BA6AF4" w:rsidRDefault="00BA6AF4">
          <w:pPr>
            <w:pStyle w:val="TOC3"/>
            <w:tabs>
              <w:tab w:val="left" w:pos="1440"/>
              <w:tab w:val="right" w:leader="dot" w:pos="9016"/>
            </w:tabs>
            <w:rPr>
              <w:rFonts w:cstheme="minorBidi"/>
              <w:noProof/>
              <w:kern w:val="2"/>
              <w:sz w:val="24"/>
              <w:szCs w:val="24"/>
              <w:lang w:val="en-ZA" w:eastAsia="en-ZA"/>
              <w14:ligatures w14:val="standardContextual"/>
            </w:rPr>
          </w:pPr>
          <w:hyperlink w:anchor="_Toc189739367" w:history="1">
            <w:r w:rsidRPr="008F38E3">
              <w:rPr>
                <w:rStyle w:val="Hyperlink"/>
                <w:noProof/>
              </w:rPr>
              <w:t>3.6.3.1</w:t>
            </w:r>
            <w:r>
              <w:rPr>
                <w:rFonts w:cstheme="minorBidi"/>
                <w:noProof/>
                <w:kern w:val="2"/>
                <w:sz w:val="24"/>
                <w:szCs w:val="24"/>
                <w:lang w:val="en-ZA" w:eastAsia="en-ZA"/>
                <w14:ligatures w14:val="standardContextual"/>
              </w:rPr>
              <w:tab/>
            </w:r>
            <w:r w:rsidRPr="008F38E3">
              <w:rPr>
                <w:rStyle w:val="Hyperlink"/>
                <w:noProof/>
              </w:rPr>
              <w:t>Constitutional definition of proportionality</w:t>
            </w:r>
            <w:r>
              <w:rPr>
                <w:noProof/>
                <w:webHidden/>
              </w:rPr>
              <w:tab/>
            </w:r>
            <w:r>
              <w:rPr>
                <w:noProof/>
                <w:webHidden/>
              </w:rPr>
              <w:fldChar w:fldCharType="begin"/>
            </w:r>
            <w:r>
              <w:rPr>
                <w:noProof/>
                <w:webHidden/>
              </w:rPr>
              <w:instrText xml:space="preserve"> PAGEREF _Toc189739367 \h </w:instrText>
            </w:r>
            <w:r>
              <w:rPr>
                <w:noProof/>
                <w:webHidden/>
              </w:rPr>
            </w:r>
            <w:r>
              <w:rPr>
                <w:noProof/>
                <w:webHidden/>
              </w:rPr>
              <w:fldChar w:fldCharType="separate"/>
            </w:r>
            <w:r>
              <w:rPr>
                <w:noProof/>
                <w:webHidden/>
              </w:rPr>
              <w:t>130</w:t>
            </w:r>
            <w:r>
              <w:rPr>
                <w:noProof/>
                <w:webHidden/>
              </w:rPr>
              <w:fldChar w:fldCharType="end"/>
            </w:r>
          </w:hyperlink>
        </w:p>
        <w:p w14:paraId="34A45DD6" w14:textId="0B221C55" w:rsidR="00BA6AF4" w:rsidRDefault="00BA6AF4">
          <w:pPr>
            <w:pStyle w:val="TOC3"/>
            <w:tabs>
              <w:tab w:val="left" w:pos="1440"/>
              <w:tab w:val="right" w:leader="dot" w:pos="9016"/>
            </w:tabs>
            <w:rPr>
              <w:rFonts w:cstheme="minorBidi"/>
              <w:noProof/>
              <w:kern w:val="2"/>
              <w:sz w:val="24"/>
              <w:szCs w:val="24"/>
              <w:lang w:val="en-ZA" w:eastAsia="en-ZA"/>
              <w14:ligatures w14:val="standardContextual"/>
            </w:rPr>
          </w:pPr>
          <w:hyperlink w:anchor="_Toc189739368" w:history="1">
            <w:r w:rsidRPr="008F38E3">
              <w:rPr>
                <w:rStyle w:val="Hyperlink"/>
                <w:noProof/>
              </w:rPr>
              <w:t>3.6.3.2</w:t>
            </w:r>
            <w:r>
              <w:rPr>
                <w:rFonts w:cstheme="minorBidi"/>
                <w:noProof/>
                <w:kern w:val="2"/>
                <w:sz w:val="24"/>
                <w:szCs w:val="24"/>
                <w:lang w:val="en-ZA" w:eastAsia="en-ZA"/>
                <w14:ligatures w14:val="standardContextual"/>
              </w:rPr>
              <w:tab/>
            </w:r>
            <w:r w:rsidRPr="008F38E3">
              <w:rPr>
                <w:rStyle w:val="Hyperlink"/>
                <w:noProof/>
              </w:rPr>
              <w:t>Judicial application of proportionality</w:t>
            </w:r>
            <w:r>
              <w:rPr>
                <w:noProof/>
                <w:webHidden/>
              </w:rPr>
              <w:tab/>
            </w:r>
            <w:r>
              <w:rPr>
                <w:noProof/>
                <w:webHidden/>
              </w:rPr>
              <w:fldChar w:fldCharType="begin"/>
            </w:r>
            <w:r>
              <w:rPr>
                <w:noProof/>
                <w:webHidden/>
              </w:rPr>
              <w:instrText xml:space="preserve"> PAGEREF _Toc189739368 \h </w:instrText>
            </w:r>
            <w:r>
              <w:rPr>
                <w:noProof/>
                <w:webHidden/>
              </w:rPr>
            </w:r>
            <w:r>
              <w:rPr>
                <w:noProof/>
                <w:webHidden/>
              </w:rPr>
              <w:fldChar w:fldCharType="separate"/>
            </w:r>
            <w:r>
              <w:rPr>
                <w:noProof/>
                <w:webHidden/>
              </w:rPr>
              <w:t>131</w:t>
            </w:r>
            <w:r>
              <w:rPr>
                <w:noProof/>
                <w:webHidden/>
              </w:rPr>
              <w:fldChar w:fldCharType="end"/>
            </w:r>
          </w:hyperlink>
        </w:p>
        <w:p w14:paraId="20B0A6CC" w14:textId="3DAC66D8" w:rsidR="00BA6AF4" w:rsidRDefault="00BA6AF4">
          <w:pPr>
            <w:pStyle w:val="TOC3"/>
            <w:tabs>
              <w:tab w:val="left" w:pos="1440"/>
              <w:tab w:val="right" w:leader="dot" w:pos="9016"/>
            </w:tabs>
            <w:rPr>
              <w:rFonts w:cstheme="minorBidi"/>
              <w:noProof/>
              <w:kern w:val="2"/>
              <w:sz w:val="24"/>
              <w:szCs w:val="24"/>
              <w:lang w:val="en-ZA" w:eastAsia="en-ZA"/>
              <w14:ligatures w14:val="standardContextual"/>
            </w:rPr>
          </w:pPr>
          <w:hyperlink w:anchor="_Toc189739369" w:history="1">
            <w:r w:rsidRPr="008F38E3">
              <w:rPr>
                <w:rStyle w:val="Hyperlink"/>
                <w:noProof/>
              </w:rPr>
              <w:t>3.6.3.3</w:t>
            </w:r>
            <w:r>
              <w:rPr>
                <w:rFonts w:cstheme="minorBidi"/>
                <w:noProof/>
                <w:kern w:val="2"/>
                <w:sz w:val="24"/>
                <w:szCs w:val="24"/>
                <w:lang w:val="en-ZA" w:eastAsia="en-ZA"/>
                <w14:ligatures w14:val="standardContextual"/>
              </w:rPr>
              <w:tab/>
            </w:r>
            <w:r w:rsidRPr="008F38E3">
              <w:rPr>
                <w:rStyle w:val="Hyperlink"/>
                <w:noProof/>
              </w:rPr>
              <w:t>Criticism against the proportionality standard</w:t>
            </w:r>
            <w:r>
              <w:rPr>
                <w:noProof/>
                <w:webHidden/>
              </w:rPr>
              <w:tab/>
            </w:r>
            <w:r>
              <w:rPr>
                <w:noProof/>
                <w:webHidden/>
              </w:rPr>
              <w:fldChar w:fldCharType="begin"/>
            </w:r>
            <w:r>
              <w:rPr>
                <w:noProof/>
                <w:webHidden/>
              </w:rPr>
              <w:instrText xml:space="preserve"> PAGEREF _Toc189739369 \h </w:instrText>
            </w:r>
            <w:r>
              <w:rPr>
                <w:noProof/>
                <w:webHidden/>
              </w:rPr>
            </w:r>
            <w:r>
              <w:rPr>
                <w:noProof/>
                <w:webHidden/>
              </w:rPr>
              <w:fldChar w:fldCharType="separate"/>
            </w:r>
            <w:r>
              <w:rPr>
                <w:noProof/>
                <w:webHidden/>
              </w:rPr>
              <w:t>132</w:t>
            </w:r>
            <w:r>
              <w:rPr>
                <w:noProof/>
                <w:webHidden/>
              </w:rPr>
              <w:fldChar w:fldCharType="end"/>
            </w:r>
          </w:hyperlink>
        </w:p>
        <w:p w14:paraId="33FBA199" w14:textId="3FDCB471"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70" w:history="1">
            <w:r w:rsidRPr="008F38E3">
              <w:rPr>
                <w:rStyle w:val="Hyperlink"/>
                <w:bCs/>
                <w:noProof/>
              </w:rPr>
              <w:t>3.7 The appropriate standard for assessing Affirmative Action measures</w:t>
            </w:r>
            <w:r>
              <w:rPr>
                <w:noProof/>
                <w:webHidden/>
              </w:rPr>
              <w:tab/>
            </w:r>
            <w:r>
              <w:rPr>
                <w:noProof/>
                <w:webHidden/>
              </w:rPr>
              <w:fldChar w:fldCharType="begin"/>
            </w:r>
            <w:r>
              <w:rPr>
                <w:noProof/>
                <w:webHidden/>
              </w:rPr>
              <w:instrText xml:space="preserve"> PAGEREF _Toc189739370 \h </w:instrText>
            </w:r>
            <w:r>
              <w:rPr>
                <w:noProof/>
                <w:webHidden/>
              </w:rPr>
            </w:r>
            <w:r>
              <w:rPr>
                <w:noProof/>
                <w:webHidden/>
              </w:rPr>
              <w:fldChar w:fldCharType="separate"/>
            </w:r>
            <w:r>
              <w:rPr>
                <w:noProof/>
                <w:webHidden/>
              </w:rPr>
              <w:t>134</w:t>
            </w:r>
            <w:r>
              <w:rPr>
                <w:noProof/>
                <w:webHidden/>
              </w:rPr>
              <w:fldChar w:fldCharType="end"/>
            </w:r>
          </w:hyperlink>
        </w:p>
        <w:p w14:paraId="57733AFB" w14:textId="7FCD61B3"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71" w:history="1">
            <w:r w:rsidRPr="008F38E3">
              <w:rPr>
                <w:rStyle w:val="Hyperlink"/>
                <w:noProof/>
              </w:rPr>
              <w:t>3.8 Whether affirmative action creates an automatic right to appointment or promotion</w:t>
            </w:r>
            <w:r>
              <w:rPr>
                <w:noProof/>
                <w:webHidden/>
              </w:rPr>
              <w:tab/>
            </w:r>
            <w:r>
              <w:rPr>
                <w:noProof/>
                <w:webHidden/>
              </w:rPr>
              <w:fldChar w:fldCharType="begin"/>
            </w:r>
            <w:r>
              <w:rPr>
                <w:noProof/>
                <w:webHidden/>
              </w:rPr>
              <w:instrText xml:space="preserve"> PAGEREF _Toc189739371 \h </w:instrText>
            </w:r>
            <w:r>
              <w:rPr>
                <w:noProof/>
                <w:webHidden/>
              </w:rPr>
            </w:r>
            <w:r>
              <w:rPr>
                <w:noProof/>
                <w:webHidden/>
              </w:rPr>
              <w:fldChar w:fldCharType="separate"/>
            </w:r>
            <w:r>
              <w:rPr>
                <w:noProof/>
                <w:webHidden/>
              </w:rPr>
              <w:t>135</w:t>
            </w:r>
            <w:r>
              <w:rPr>
                <w:noProof/>
                <w:webHidden/>
              </w:rPr>
              <w:fldChar w:fldCharType="end"/>
            </w:r>
          </w:hyperlink>
        </w:p>
        <w:p w14:paraId="7AAA8533" w14:textId="13EB2395"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72" w:history="1">
            <w:r w:rsidRPr="008F38E3">
              <w:rPr>
                <w:rStyle w:val="Hyperlink"/>
                <w:noProof/>
              </w:rPr>
              <w:t>3.8.1 The obligation of designated employers of implementing Affirmative Action</w:t>
            </w:r>
            <w:r>
              <w:rPr>
                <w:noProof/>
                <w:webHidden/>
              </w:rPr>
              <w:tab/>
            </w:r>
            <w:r>
              <w:rPr>
                <w:noProof/>
                <w:webHidden/>
              </w:rPr>
              <w:fldChar w:fldCharType="begin"/>
            </w:r>
            <w:r>
              <w:rPr>
                <w:noProof/>
                <w:webHidden/>
              </w:rPr>
              <w:instrText xml:space="preserve"> PAGEREF _Toc189739372 \h </w:instrText>
            </w:r>
            <w:r>
              <w:rPr>
                <w:noProof/>
                <w:webHidden/>
              </w:rPr>
            </w:r>
            <w:r>
              <w:rPr>
                <w:noProof/>
                <w:webHidden/>
              </w:rPr>
              <w:fldChar w:fldCharType="separate"/>
            </w:r>
            <w:r>
              <w:rPr>
                <w:noProof/>
                <w:webHidden/>
              </w:rPr>
              <w:t>136</w:t>
            </w:r>
            <w:r>
              <w:rPr>
                <w:noProof/>
                <w:webHidden/>
              </w:rPr>
              <w:fldChar w:fldCharType="end"/>
            </w:r>
          </w:hyperlink>
        </w:p>
        <w:p w14:paraId="7AC4E372" w14:textId="61AD4D7A"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73" w:history="1">
            <w:r w:rsidRPr="008F38E3">
              <w:rPr>
                <w:rStyle w:val="Hyperlink"/>
                <w:noProof/>
              </w:rPr>
              <w:t>3.8.1.1 Equitable representation in terms of section15(2)(d)(i)</w:t>
            </w:r>
            <w:r>
              <w:rPr>
                <w:noProof/>
                <w:webHidden/>
              </w:rPr>
              <w:tab/>
            </w:r>
            <w:r>
              <w:rPr>
                <w:noProof/>
                <w:webHidden/>
              </w:rPr>
              <w:fldChar w:fldCharType="begin"/>
            </w:r>
            <w:r>
              <w:rPr>
                <w:noProof/>
                <w:webHidden/>
              </w:rPr>
              <w:instrText xml:space="preserve"> PAGEREF _Toc189739373 \h </w:instrText>
            </w:r>
            <w:r>
              <w:rPr>
                <w:noProof/>
                <w:webHidden/>
              </w:rPr>
            </w:r>
            <w:r>
              <w:rPr>
                <w:noProof/>
                <w:webHidden/>
              </w:rPr>
              <w:fldChar w:fldCharType="separate"/>
            </w:r>
            <w:r>
              <w:rPr>
                <w:noProof/>
                <w:webHidden/>
              </w:rPr>
              <w:t>137</w:t>
            </w:r>
            <w:r>
              <w:rPr>
                <w:noProof/>
                <w:webHidden/>
              </w:rPr>
              <w:fldChar w:fldCharType="end"/>
            </w:r>
          </w:hyperlink>
        </w:p>
        <w:p w14:paraId="6E56783C" w14:textId="280099DA"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74" w:history="1">
            <w:r w:rsidRPr="008F38E3">
              <w:rPr>
                <w:rStyle w:val="Hyperlink"/>
                <w:noProof/>
              </w:rPr>
              <w:t>3.8.1.2 Advancement of designated groups in terms of section 15(2)(d)(ii)</w:t>
            </w:r>
            <w:r>
              <w:rPr>
                <w:noProof/>
                <w:webHidden/>
              </w:rPr>
              <w:tab/>
            </w:r>
            <w:r>
              <w:rPr>
                <w:noProof/>
                <w:webHidden/>
              </w:rPr>
              <w:fldChar w:fldCharType="begin"/>
            </w:r>
            <w:r>
              <w:rPr>
                <w:noProof/>
                <w:webHidden/>
              </w:rPr>
              <w:instrText xml:space="preserve"> PAGEREF _Toc189739374 \h </w:instrText>
            </w:r>
            <w:r>
              <w:rPr>
                <w:noProof/>
                <w:webHidden/>
              </w:rPr>
            </w:r>
            <w:r>
              <w:rPr>
                <w:noProof/>
                <w:webHidden/>
              </w:rPr>
              <w:fldChar w:fldCharType="separate"/>
            </w:r>
            <w:r>
              <w:rPr>
                <w:noProof/>
                <w:webHidden/>
              </w:rPr>
              <w:t>139</w:t>
            </w:r>
            <w:r>
              <w:rPr>
                <w:noProof/>
                <w:webHidden/>
              </w:rPr>
              <w:fldChar w:fldCharType="end"/>
            </w:r>
          </w:hyperlink>
        </w:p>
        <w:p w14:paraId="064F7E53" w14:textId="5E42391A" w:rsidR="00BA6AF4" w:rsidRDefault="00BA6AF4">
          <w:pPr>
            <w:pStyle w:val="TOC3"/>
            <w:tabs>
              <w:tab w:val="right" w:leader="dot" w:pos="9016"/>
            </w:tabs>
            <w:rPr>
              <w:rFonts w:cstheme="minorBidi"/>
              <w:noProof/>
              <w:kern w:val="2"/>
              <w:sz w:val="24"/>
              <w:szCs w:val="24"/>
              <w:lang w:val="en-ZA" w:eastAsia="en-ZA"/>
              <w14:ligatures w14:val="standardContextual"/>
            </w:rPr>
          </w:pPr>
          <w:hyperlink w:anchor="_Toc189739375" w:history="1">
            <w:r w:rsidRPr="008F38E3">
              <w:rPr>
                <w:rStyle w:val="Hyperlink"/>
                <w:noProof/>
              </w:rPr>
              <w:t>3.8.1.3 Implementing an employment equity plan in terms of section 20</w:t>
            </w:r>
            <w:r>
              <w:rPr>
                <w:noProof/>
                <w:webHidden/>
              </w:rPr>
              <w:tab/>
            </w:r>
            <w:r>
              <w:rPr>
                <w:noProof/>
                <w:webHidden/>
              </w:rPr>
              <w:fldChar w:fldCharType="begin"/>
            </w:r>
            <w:r>
              <w:rPr>
                <w:noProof/>
                <w:webHidden/>
              </w:rPr>
              <w:instrText xml:space="preserve"> PAGEREF _Toc189739375 \h </w:instrText>
            </w:r>
            <w:r>
              <w:rPr>
                <w:noProof/>
                <w:webHidden/>
              </w:rPr>
            </w:r>
            <w:r>
              <w:rPr>
                <w:noProof/>
                <w:webHidden/>
              </w:rPr>
              <w:fldChar w:fldCharType="separate"/>
            </w:r>
            <w:r>
              <w:rPr>
                <w:noProof/>
                <w:webHidden/>
              </w:rPr>
              <w:t>141</w:t>
            </w:r>
            <w:r>
              <w:rPr>
                <w:noProof/>
                <w:webHidden/>
              </w:rPr>
              <w:fldChar w:fldCharType="end"/>
            </w:r>
          </w:hyperlink>
        </w:p>
        <w:p w14:paraId="32ADF89D" w14:textId="0A67E904"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76" w:history="1">
            <w:r w:rsidRPr="008F38E3">
              <w:rPr>
                <w:rStyle w:val="Hyperlink"/>
                <w:bCs/>
                <w:noProof/>
              </w:rPr>
              <w:t>3.8.2 Judicial review of whether Affirmative Action confers an individual right</w:t>
            </w:r>
            <w:r>
              <w:rPr>
                <w:noProof/>
                <w:webHidden/>
              </w:rPr>
              <w:tab/>
            </w:r>
            <w:r>
              <w:rPr>
                <w:noProof/>
                <w:webHidden/>
              </w:rPr>
              <w:fldChar w:fldCharType="begin"/>
            </w:r>
            <w:r>
              <w:rPr>
                <w:noProof/>
                <w:webHidden/>
              </w:rPr>
              <w:instrText xml:space="preserve"> PAGEREF _Toc189739376 \h </w:instrText>
            </w:r>
            <w:r>
              <w:rPr>
                <w:noProof/>
                <w:webHidden/>
              </w:rPr>
            </w:r>
            <w:r>
              <w:rPr>
                <w:noProof/>
                <w:webHidden/>
              </w:rPr>
              <w:fldChar w:fldCharType="separate"/>
            </w:r>
            <w:r>
              <w:rPr>
                <w:noProof/>
                <w:webHidden/>
              </w:rPr>
              <w:t>142</w:t>
            </w:r>
            <w:r>
              <w:rPr>
                <w:noProof/>
                <w:webHidden/>
              </w:rPr>
              <w:fldChar w:fldCharType="end"/>
            </w:r>
          </w:hyperlink>
        </w:p>
        <w:p w14:paraId="57277D4B" w14:textId="72FC5AC3"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77" w:history="1">
            <w:r w:rsidRPr="008F38E3">
              <w:rPr>
                <w:rStyle w:val="Hyperlink"/>
                <w:noProof/>
              </w:rPr>
              <w:t>3.8.2.1 Harmse v City of Cape Town (2003) 24 ILJ 1130</w:t>
            </w:r>
            <w:r>
              <w:rPr>
                <w:noProof/>
                <w:webHidden/>
              </w:rPr>
              <w:tab/>
            </w:r>
            <w:r>
              <w:rPr>
                <w:noProof/>
                <w:webHidden/>
              </w:rPr>
              <w:fldChar w:fldCharType="begin"/>
            </w:r>
            <w:r>
              <w:rPr>
                <w:noProof/>
                <w:webHidden/>
              </w:rPr>
              <w:instrText xml:space="preserve"> PAGEREF _Toc189739377 \h </w:instrText>
            </w:r>
            <w:r>
              <w:rPr>
                <w:noProof/>
                <w:webHidden/>
              </w:rPr>
            </w:r>
            <w:r>
              <w:rPr>
                <w:noProof/>
                <w:webHidden/>
              </w:rPr>
              <w:fldChar w:fldCharType="separate"/>
            </w:r>
            <w:r>
              <w:rPr>
                <w:noProof/>
                <w:webHidden/>
              </w:rPr>
              <w:t>143</w:t>
            </w:r>
            <w:r>
              <w:rPr>
                <w:noProof/>
                <w:webHidden/>
              </w:rPr>
              <w:fldChar w:fldCharType="end"/>
            </w:r>
          </w:hyperlink>
        </w:p>
        <w:p w14:paraId="20FE936B" w14:textId="3BB21E68"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78" w:history="1">
            <w:r w:rsidRPr="008F38E3">
              <w:rPr>
                <w:rStyle w:val="Hyperlink"/>
                <w:noProof/>
              </w:rPr>
              <w:t>3.8.2.2 Minister of Finance and Other v Van Heerden (CCT 63/03) [2004] ZACC 3</w:t>
            </w:r>
            <w:r>
              <w:rPr>
                <w:noProof/>
                <w:webHidden/>
              </w:rPr>
              <w:tab/>
            </w:r>
            <w:r>
              <w:rPr>
                <w:noProof/>
                <w:webHidden/>
              </w:rPr>
              <w:fldChar w:fldCharType="begin"/>
            </w:r>
            <w:r>
              <w:rPr>
                <w:noProof/>
                <w:webHidden/>
              </w:rPr>
              <w:instrText xml:space="preserve"> PAGEREF _Toc189739378 \h </w:instrText>
            </w:r>
            <w:r>
              <w:rPr>
                <w:noProof/>
                <w:webHidden/>
              </w:rPr>
            </w:r>
            <w:r>
              <w:rPr>
                <w:noProof/>
                <w:webHidden/>
              </w:rPr>
              <w:fldChar w:fldCharType="separate"/>
            </w:r>
            <w:r>
              <w:rPr>
                <w:noProof/>
                <w:webHidden/>
              </w:rPr>
              <w:t>145</w:t>
            </w:r>
            <w:r>
              <w:rPr>
                <w:noProof/>
                <w:webHidden/>
              </w:rPr>
              <w:fldChar w:fldCharType="end"/>
            </w:r>
          </w:hyperlink>
        </w:p>
        <w:p w14:paraId="616A3C4C" w14:textId="6CB4FFD6"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79" w:history="1">
            <w:r w:rsidRPr="008F38E3">
              <w:rPr>
                <w:rStyle w:val="Hyperlink"/>
                <w:noProof/>
              </w:rPr>
              <w:t>3.8.2.3 Dudley v City of Cape Town and Another (CA 1/05) [2008] ZALAC 10</w:t>
            </w:r>
            <w:r>
              <w:rPr>
                <w:noProof/>
                <w:webHidden/>
              </w:rPr>
              <w:tab/>
            </w:r>
            <w:r>
              <w:rPr>
                <w:noProof/>
                <w:webHidden/>
              </w:rPr>
              <w:fldChar w:fldCharType="begin"/>
            </w:r>
            <w:r>
              <w:rPr>
                <w:noProof/>
                <w:webHidden/>
              </w:rPr>
              <w:instrText xml:space="preserve"> PAGEREF _Toc189739379 \h </w:instrText>
            </w:r>
            <w:r>
              <w:rPr>
                <w:noProof/>
                <w:webHidden/>
              </w:rPr>
            </w:r>
            <w:r>
              <w:rPr>
                <w:noProof/>
                <w:webHidden/>
              </w:rPr>
              <w:fldChar w:fldCharType="separate"/>
            </w:r>
            <w:r>
              <w:rPr>
                <w:noProof/>
                <w:webHidden/>
              </w:rPr>
              <w:t>146</w:t>
            </w:r>
            <w:r>
              <w:rPr>
                <w:noProof/>
                <w:webHidden/>
              </w:rPr>
              <w:fldChar w:fldCharType="end"/>
            </w:r>
          </w:hyperlink>
        </w:p>
        <w:p w14:paraId="439813F0" w14:textId="5069A447"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80" w:history="1">
            <w:r w:rsidRPr="008F38E3">
              <w:rPr>
                <w:rStyle w:val="Hyperlink"/>
                <w:noProof/>
              </w:rPr>
              <w:t>3.8.2.4 Thekiso v IBM South Africa (Pty) Ltd (JS415/05) [2006] ZALC 91</w:t>
            </w:r>
            <w:r>
              <w:rPr>
                <w:noProof/>
                <w:webHidden/>
              </w:rPr>
              <w:tab/>
            </w:r>
            <w:r>
              <w:rPr>
                <w:noProof/>
                <w:webHidden/>
              </w:rPr>
              <w:fldChar w:fldCharType="begin"/>
            </w:r>
            <w:r>
              <w:rPr>
                <w:noProof/>
                <w:webHidden/>
              </w:rPr>
              <w:instrText xml:space="preserve"> PAGEREF _Toc189739380 \h </w:instrText>
            </w:r>
            <w:r>
              <w:rPr>
                <w:noProof/>
                <w:webHidden/>
              </w:rPr>
            </w:r>
            <w:r>
              <w:rPr>
                <w:noProof/>
                <w:webHidden/>
              </w:rPr>
              <w:fldChar w:fldCharType="separate"/>
            </w:r>
            <w:r>
              <w:rPr>
                <w:noProof/>
                <w:webHidden/>
              </w:rPr>
              <w:t>148</w:t>
            </w:r>
            <w:r>
              <w:rPr>
                <w:noProof/>
                <w:webHidden/>
              </w:rPr>
              <w:fldChar w:fldCharType="end"/>
            </w:r>
          </w:hyperlink>
        </w:p>
        <w:p w14:paraId="3C41C058" w14:textId="382BEB4C" w:rsidR="00BA6AF4" w:rsidRDefault="00BA6AF4">
          <w:pPr>
            <w:pStyle w:val="TOC2"/>
            <w:tabs>
              <w:tab w:val="right" w:leader="dot" w:pos="9016"/>
            </w:tabs>
            <w:rPr>
              <w:rFonts w:cstheme="minorBidi"/>
              <w:noProof/>
              <w:kern w:val="2"/>
              <w:sz w:val="24"/>
              <w:szCs w:val="24"/>
              <w:lang w:val="en-ZA" w:eastAsia="en-ZA"/>
              <w14:ligatures w14:val="standardContextual"/>
            </w:rPr>
          </w:pPr>
          <w:hyperlink w:anchor="_Toc189739381" w:history="1">
            <w:r w:rsidRPr="008F38E3">
              <w:rPr>
                <w:rStyle w:val="Hyperlink"/>
                <w:noProof/>
              </w:rPr>
              <w:t>3.8.2.5 Public Servants Association (PSA) obo Karriem v South African Police Services (SAPS) and Another (C435/04) [2006] ZALC 39</w:t>
            </w:r>
            <w:r>
              <w:rPr>
                <w:noProof/>
                <w:webHidden/>
              </w:rPr>
              <w:tab/>
            </w:r>
            <w:r>
              <w:rPr>
                <w:noProof/>
                <w:webHidden/>
              </w:rPr>
              <w:fldChar w:fldCharType="begin"/>
            </w:r>
            <w:r>
              <w:rPr>
                <w:noProof/>
                <w:webHidden/>
              </w:rPr>
              <w:instrText xml:space="preserve"> PAGEREF _Toc189739381 \h </w:instrText>
            </w:r>
            <w:r>
              <w:rPr>
                <w:noProof/>
                <w:webHidden/>
              </w:rPr>
            </w:r>
            <w:r>
              <w:rPr>
                <w:noProof/>
                <w:webHidden/>
              </w:rPr>
              <w:fldChar w:fldCharType="separate"/>
            </w:r>
            <w:r>
              <w:rPr>
                <w:noProof/>
                <w:webHidden/>
              </w:rPr>
              <w:t>150</w:t>
            </w:r>
            <w:r>
              <w:rPr>
                <w:noProof/>
                <w:webHidden/>
              </w:rPr>
              <w:fldChar w:fldCharType="end"/>
            </w:r>
          </w:hyperlink>
        </w:p>
        <w:p w14:paraId="417CC7DC" w14:textId="42AB5388"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82" w:history="1">
            <w:r w:rsidRPr="008F38E3">
              <w:rPr>
                <w:rStyle w:val="Hyperlink"/>
                <w:noProof/>
              </w:rPr>
              <w:t>3.9 Conclusion</w:t>
            </w:r>
            <w:r>
              <w:rPr>
                <w:noProof/>
                <w:webHidden/>
              </w:rPr>
              <w:tab/>
            </w:r>
            <w:r>
              <w:rPr>
                <w:noProof/>
                <w:webHidden/>
              </w:rPr>
              <w:fldChar w:fldCharType="begin"/>
            </w:r>
            <w:r>
              <w:rPr>
                <w:noProof/>
                <w:webHidden/>
              </w:rPr>
              <w:instrText xml:space="preserve"> PAGEREF _Toc189739382 \h </w:instrText>
            </w:r>
            <w:r>
              <w:rPr>
                <w:noProof/>
                <w:webHidden/>
              </w:rPr>
            </w:r>
            <w:r>
              <w:rPr>
                <w:noProof/>
                <w:webHidden/>
              </w:rPr>
              <w:fldChar w:fldCharType="separate"/>
            </w:r>
            <w:r>
              <w:rPr>
                <w:noProof/>
                <w:webHidden/>
              </w:rPr>
              <w:t>151</w:t>
            </w:r>
            <w:r>
              <w:rPr>
                <w:noProof/>
                <w:webHidden/>
              </w:rPr>
              <w:fldChar w:fldCharType="end"/>
            </w:r>
          </w:hyperlink>
        </w:p>
        <w:p w14:paraId="6B0C1F3B" w14:textId="5CA49D2C"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83" w:history="1">
            <w:r w:rsidRPr="008F38E3">
              <w:rPr>
                <w:rStyle w:val="Hyperlink"/>
                <w:noProof/>
              </w:rPr>
              <w:t>CHAPTER 4</w:t>
            </w:r>
            <w:r>
              <w:rPr>
                <w:noProof/>
                <w:webHidden/>
              </w:rPr>
              <w:tab/>
            </w:r>
            <w:r>
              <w:rPr>
                <w:noProof/>
                <w:webHidden/>
              </w:rPr>
              <w:fldChar w:fldCharType="begin"/>
            </w:r>
            <w:r>
              <w:rPr>
                <w:noProof/>
                <w:webHidden/>
              </w:rPr>
              <w:instrText xml:space="preserve"> PAGEREF _Toc189739383 \h </w:instrText>
            </w:r>
            <w:r>
              <w:rPr>
                <w:noProof/>
                <w:webHidden/>
              </w:rPr>
            </w:r>
            <w:r>
              <w:rPr>
                <w:noProof/>
                <w:webHidden/>
              </w:rPr>
              <w:fldChar w:fldCharType="separate"/>
            </w:r>
            <w:r>
              <w:rPr>
                <w:noProof/>
                <w:webHidden/>
              </w:rPr>
              <w:t>154</w:t>
            </w:r>
            <w:r>
              <w:rPr>
                <w:noProof/>
                <w:webHidden/>
              </w:rPr>
              <w:fldChar w:fldCharType="end"/>
            </w:r>
          </w:hyperlink>
        </w:p>
        <w:p w14:paraId="4B17123E" w14:textId="7BE6EFA6"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84" w:history="1">
            <w:r w:rsidRPr="008F38E3">
              <w:rPr>
                <w:rStyle w:val="Hyperlink"/>
                <w:noProof/>
              </w:rPr>
              <w:t>CONCLUSION AND RECOMMENDATIONS</w:t>
            </w:r>
            <w:r>
              <w:rPr>
                <w:noProof/>
                <w:webHidden/>
              </w:rPr>
              <w:tab/>
            </w:r>
            <w:r>
              <w:rPr>
                <w:noProof/>
                <w:webHidden/>
              </w:rPr>
              <w:fldChar w:fldCharType="begin"/>
            </w:r>
            <w:r>
              <w:rPr>
                <w:noProof/>
                <w:webHidden/>
              </w:rPr>
              <w:instrText xml:space="preserve"> PAGEREF _Toc189739384 \h </w:instrText>
            </w:r>
            <w:r>
              <w:rPr>
                <w:noProof/>
                <w:webHidden/>
              </w:rPr>
            </w:r>
            <w:r>
              <w:rPr>
                <w:noProof/>
                <w:webHidden/>
              </w:rPr>
              <w:fldChar w:fldCharType="separate"/>
            </w:r>
            <w:r>
              <w:rPr>
                <w:noProof/>
                <w:webHidden/>
              </w:rPr>
              <w:t>154</w:t>
            </w:r>
            <w:r>
              <w:rPr>
                <w:noProof/>
                <w:webHidden/>
              </w:rPr>
              <w:fldChar w:fldCharType="end"/>
            </w:r>
          </w:hyperlink>
        </w:p>
        <w:p w14:paraId="4F23BF72" w14:textId="61FCD71B"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85" w:history="1">
            <w:r w:rsidRPr="008F38E3">
              <w:rPr>
                <w:rStyle w:val="Hyperlink"/>
                <w:rFonts w:eastAsia="Calibri"/>
                <w:noProof/>
              </w:rPr>
              <w:t>BIBLIOGRAPHY</w:t>
            </w:r>
            <w:r>
              <w:rPr>
                <w:noProof/>
                <w:webHidden/>
              </w:rPr>
              <w:tab/>
            </w:r>
            <w:r>
              <w:rPr>
                <w:noProof/>
                <w:webHidden/>
              </w:rPr>
              <w:fldChar w:fldCharType="begin"/>
            </w:r>
            <w:r>
              <w:rPr>
                <w:noProof/>
                <w:webHidden/>
              </w:rPr>
              <w:instrText xml:space="preserve"> PAGEREF _Toc189739385 \h </w:instrText>
            </w:r>
            <w:r>
              <w:rPr>
                <w:noProof/>
                <w:webHidden/>
              </w:rPr>
            </w:r>
            <w:r>
              <w:rPr>
                <w:noProof/>
                <w:webHidden/>
              </w:rPr>
              <w:fldChar w:fldCharType="separate"/>
            </w:r>
            <w:r>
              <w:rPr>
                <w:noProof/>
                <w:webHidden/>
              </w:rPr>
              <w:t>157</w:t>
            </w:r>
            <w:r>
              <w:rPr>
                <w:noProof/>
                <w:webHidden/>
              </w:rPr>
              <w:fldChar w:fldCharType="end"/>
            </w:r>
          </w:hyperlink>
        </w:p>
        <w:p w14:paraId="297459F9" w14:textId="3175E550" w:rsidR="00BA6AF4" w:rsidRDefault="00BA6AF4">
          <w:pPr>
            <w:pStyle w:val="TOC1"/>
            <w:tabs>
              <w:tab w:val="right" w:leader="dot" w:pos="9016"/>
            </w:tabs>
            <w:rPr>
              <w:rFonts w:cstheme="minorBidi"/>
              <w:noProof/>
              <w:kern w:val="2"/>
              <w:sz w:val="24"/>
              <w:szCs w:val="24"/>
              <w:lang w:val="en-ZA" w:eastAsia="en-ZA"/>
              <w14:ligatures w14:val="standardContextual"/>
            </w:rPr>
          </w:pPr>
          <w:hyperlink w:anchor="_Toc189739386" w:history="1">
            <w:r w:rsidRPr="008F38E3">
              <w:rPr>
                <w:rStyle w:val="Hyperlink"/>
                <w:rFonts w:eastAsia="Calibri"/>
                <w:noProof/>
              </w:rPr>
              <w:t>Case Law</w:t>
            </w:r>
            <w:r>
              <w:rPr>
                <w:noProof/>
                <w:webHidden/>
              </w:rPr>
              <w:tab/>
            </w:r>
            <w:r>
              <w:rPr>
                <w:noProof/>
                <w:webHidden/>
              </w:rPr>
              <w:fldChar w:fldCharType="begin"/>
            </w:r>
            <w:r>
              <w:rPr>
                <w:noProof/>
                <w:webHidden/>
              </w:rPr>
              <w:instrText xml:space="preserve"> PAGEREF _Toc189739386 \h </w:instrText>
            </w:r>
            <w:r>
              <w:rPr>
                <w:noProof/>
                <w:webHidden/>
              </w:rPr>
            </w:r>
            <w:r>
              <w:rPr>
                <w:noProof/>
                <w:webHidden/>
              </w:rPr>
              <w:fldChar w:fldCharType="separate"/>
            </w:r>
            <w:r>
              <w:rPr>
                <w:noProof/>
                <w:webHidden/>
              </w:rPr>
              <w:t>171</w:t>
            </w:r>
            <w:r>
              <w:rPr>
                <w:noProof/>
                <w:webHidden/>
              </w:rPr>
              <w:fldChar w:fldCharType="end"/>
            </w:r>
          </w:hyperlink>
        </w:p>
        <w:p w14:paraId="0AF2E6B3" w14:textId="6FAC6BF6" w:rsidR="00965D37" w:rsidRDefault="00965D37">
          <w:r>
            <w:rPr>
              <w:b/>
              <w:bCs/>
              <w:noProof/>
            </w:rPr>
            <w:fldChar w:fldCharType="end"/>
          </w:r>
        </w:p>
      </w:sdtContent>
    </w:sdt>
    <w:p w14:paraId="4AB1F23C" w14:textId="77777777" w:rsidR="00E1203D" w:rsidRDefault="00605E90">
      <w:pPr>
        <w:rPr>
          <w:rFonts w:ascii="Arial" w:eastAsia="MS Mincho" w:hAnsi="Arial" w:cs="Arial"/>
          <w:bCs/>
          <w:kern w:val="0"/>
          <w:sz w:val="24"/>
          <w:szCs w:val="24"/>
          <w:lang w:eastAsia="en-ZA"/>
          <w14:ligatures w14:val="none"/>
        </w:rPr>
      </w:pPr>
      <w:r>
        <w:rPr>
          <w:rFonts w:ascii="Arial" w:eastAsia="MS Mincho" w:hAnsi="Arial" w:cs="Arial"/>
          <w:bCs/>
          <w:kern w:val="0"/>
          <w:sz w:val="24"/>
          <w:szCs w:val="24"/>
          <w:lang w:eastAsia="en-ZA"/>
          <w14:ligatures w14:val="none"/>
        </w:rPr>
        <w:br w:type="page"/>
      </w:r>
    </w:p>
    <w:p w14:paraId="584970BC" w14:textId="77777777" w:rsidR="005177F8" w:rsidRDefault="005177F8" w:rsidP="00175A62">
      <w:pPr>
        <w:spacing w:line="360" w:lineRule="auto"/>
        <w:jc w:val="both"/>
        <w:rPr>
          <w:rFonts w:ascii="Arial" w:eastAsia="MS Mincho" w:hAnsi="Arial" w:cs="Arial"/>
          <w:bCs/>
          <w:kern w:val="0"/>
          <w:sz w:val="24"/>
          <w:szCs w:val="24"/>
          <w:lang w:eastAsia="en-ZA"/>
          <w14:ligatures w14:val="none"/>
        </w:rPr>
        <w:sectPr w:rsidR="005177F8" w:rsidSect="00605E90">
          <w:footerReference w:type="default" r:id="rId10"/>
          <w:pgSz w:w="11906" w:h="16838"/>
          <w:pgMar w:top="1440" w:right="1440" w:bottom="1440" w:left="1440" w:header="708" w:footer="708" w:gutter="0"/>
          <w:pgNumType w:fmt="lowerRoman" w:start="1"/>
          <w:cols w:space="708"/>
          <w:docGrid w:linePitch="360"/>
        </w:sectPr>
      </w:pPr>
    </w:p>
    <w:p w14:paraId="13ED6EC7" w14:textId="3CAC379C" w:rsidR="00175A62" w:rsidRPr="00175A62" w:rsidRDefault="00175A62" w:rsidP="00175A62">
      <w:pPr>
        <w:spacing w:line="360" w:lineRule="auto"/>
        <w:jc w:val="both"/>
        <w:rPr>
          <w:rFonts w:ascii="Arial" w:eastAsia="MS Mincho" w:hAnsi="Arial" w:cs="Arial"/>
          <w:bCs/>
          <w:kern w:val="0"/>
          <w:sz w:val="24"/>
          <w:szCs w:val="24"/>
          <w:lang w:val="en-ZA" w:eastAsia="en-ZA"/>
          <w14:ligatures w14:val="none"/>
        </w:rPr>
      </w:pPr>
    </w:p>
    <w:p w14:paraId="6EC5F96B" w14:textId="6E29693F" w:rsidR="00DA0357" w:rsidRPr="008A357A" w:rsidRDefault="00697087" w:rsidP="008A357A">
      <w:pPr>
        <w:pStyle w:val="Heading1"/>
        <w:jc w:val="center"/>
        <w:rPr>
          <w:rFonts w:eastAsia="MS Mincho"/>
          <w:sz w:val="28"/>
          <w:szCs w:val="28"/>
          <w:lang w:eastAsia="en-ZA"/>
        </w:rPr>
      </w:pPr>
      <w:bookmarkStart w:id="4" w:name="_Toc189739253"/>
      <w:r w:rsidRPr="008A357A">
        <w:rPr>
          <w:rFonts w:eastAsia="Arial"/>
          <w:sz w:val="28"/>
          <w:szCs w:val="28"/>
        </w:rPr>
        <w:t>CHAPTER 1</w:t>
      </w:r>
      <w:r w:rsidRPr="008A357A">
        <w:rPr>
          <w:rFonts w:eastAsia="Arial"/>
          <w:sz w:val="28"/>
          <w:szCs w:val="28"/>
        </w:rPr>
        <w:br/>
        <w:t>INTRODUCTION AND RESEARCH PROBLEM</w:t>
      </w:r>
      <w:bookmarkEnd w:id="4"/>
    </w:p>
    <w:p w14:paraId="6D0E0006" w14:textId="77777777" w:rsidR="00697087" w:rsidRPr="008A357A" w:rsidRDefault="00697087" w:rsidP="008A357A">
      <w:pPr>
        <w:pStyle w:val="Heading1"/>
        <w:rPr>
          <w:rFonts w:eastAsia="Arial"/>
        </w:rPr>
      </w:pPr>
    </w:p>
    <w:p w14:paraId="7763FA96" w14:textId="3858F6DC" w:rsidR="00F12AE2" w:rsidRDefault="00F12AE2" w:rsidP="00F12AE2">
      <w:pPr>
        <w:pStyle w:val="Heading1"/>
        <w:numPr>
          <w:ilvl w:val="1"/>
          <w:numId w:val="4"/>
        </w:numPr>
        <w:rPr>
          <w:rFonts w:eastAsia="Arial" w:cs="Arial"/>
          <w:bCs/>
          <w:kern w:val="0"/>
          <w:szCs w:val="24"/>
          <w14:ligatures w14:val="none"/>
        </w:rPr>
      </w:pPr>
      <w:bookmarkStart w:id="5" w:name="_Toc189739254"/>
      <w:r>
        <w:rPr>
          <w:rFonts w:eastAsia="Arial" w:cs="Arial"/>
          <w:bCs/>
          <w:kern w:val="0"/>
          <w:szCs w:val="24"/>
          <w14:ligatures w14:val="none"/>
        </w:rPr>
        <w:t>Introduction</w:t>
      </w:r>
      <w:bookmarkEnd w:id="5"/>
    </w:p>
    <w:p w14:paraId="41E54E1D" w14:textId="3A2E0D47" w:rsidR="00AD71CD" w:rsidRPr="00AD71CD" w:rsidRDefault="00AD71CD" w:rsidP="004A165D">
      <w:pPr>
        <w:spacing w:line="360" w:lineRule="auto"/>
        <w:jc w:val="both"/>
      </w:pPr>
      <w:r w:rsidRPr="004A165D">
        <w:rPr>
          <w:rFonts w:ascii="Arial" w:hAnsi="Arial" w:cs="Arial"/>
          <w:sz w:val="24"/>
          <w:szCs w:val="24"/>
        </w:rPr>
        <w:t>A</w:t>
      </w:r>
      <w:proofErr w:type="spellStart"/>
      <w:r w:rsidRPr="004A165D">
        <w:rPr>
          <w:rFonts w:ascii="Arial" w:hAnsi="Arial" w:cs="Arial"/>
          <w:sz w:val="24"/>
          <w:szCs w:val="24"/>
          <w:lang w:val="en-ZA"/>
        </w:rPr>
        <w:t>mong</w:t>
      </w:r>
      <w:proofErr w:type="spellEnd"/>
      <w:r w:rsidRPr="004A165D">
        <w:rPr>
          <w:rFonts w:ascii="Arial" w:hAnsi="Arial" w:cs="Arial"/>
          <w:sz w:val="24"/>
          <w:szCs w:val="24"/>
          <w:lang w:val="en-ZA"/>
        </w:rPr>
        <w:t xml:space="preserve"> the most controversial but crucial strategies for rectifying previous injustices and guaranteeing substantive equality in the workplace is affirmative action. Affirmative action is a constitutionally obligatory initiative in South Africa which seeks to address historical prejudice and advance fair employment opportunities for historically marginalized groups. </w:t>
      </w:r>
      <w:r w:rsidRPr="004A165D">
        <w:rPr>
          <w:rFonts w:ascii="Arial" w:hAnsi="Arial" w:cs="Arial"/>
          <w:sz w:val="24"/>
          <w:szCs w:val="24"/>
        </w:rPr>
        <w:t xml:space="preserve">The constitutionality of affirmative action policies is confirmed by section 9(2) of the </w:t>
      </w:r>
      <w:r w:rsidRPr="004A165D">
        <w:rPr>
          <w:rFonts w:ascii="Arial" w:hAnsi="Arial" w:cs="Arial"/>
          <w:i/>
          <w:iCs/>
          <w:sz w:val="24"/>
          <w:szCs w:val="24"/>
        </w:rPr>
        <w:t>Constitution</w:t>
      </w:r>
      <w:r w:rsidRPr="004A165D">
        <w:rPr>
          <w:rFonts w:ascii="Arial" w:hAnsi="Arial" w:cs="Arial"/>
          <w:sz w:val="24"/>
          <w:szCs w:val="24"/>
        </w:rPr>
        <w:t xml:space="preserve"> of South Africa, 1996, which expressly calls for actions intended to aid or protect those who are disadvantaged by unjust discrimination. In opposition to the systemic injustices fostered by the apartheid-era legislation that excluded women, Black South Africans, and other oppressed groups from meaningful economic participation, affirmative action was established as a means of redress. Transformative strategies had to be implemented to eliminate these disparities when democratic governance was established in 1994, resulting to affirmative action being made a constitutional requirement. Subsequently, it can be pronounced that the fundamental tenet of affirmative action is substantive equality, which acknowledges that solely abolishing discrimination cannot be sufficient to eradicate ingrained inequities as it was concluded in </w:t>
      </w:r>
      <w:r w:rsidRPr="004A165D">
        <w:rPr>
          <w:rFonts w:ascii="Arial" w:hAnsi="Arial" w:cs="Arial"/>
          <w:i/>
          <w:iCs/>
          <w:sz w:val="24"/>
          <w:szCs w:val="24"/>
        </w:rPr>
        <w:t>South African Police Service v Solidarity obo Barnard</w:t>
      </w:r>
      <w:r w:rsidRPr="00AD71CD">
        <w:t>.</w:t>
      </w:r>
      <w:r>
        <w:rPr>
          <w:rStyle w:val="FootnoteReference"/>
          <w:rFonts w:ascii="Arial" w:eastAsia="Arial" w:hAnsi="Arial" w:cs="Arial"/>
          <w:kern w:val="0"/>
          <w:sz w:val="24"/>
          <w:szCs w:val="24"/>
          <w14:ligatures w14:val="none"/>
        </w:rPr>
        <w:footnoteReference w:id="1"/>
      </w:r>
    </w:p>
    <w:p w14:paraId="57448241" w14:textId="376B5BFE" w:rsidR="00CC446B" w:rsidRDefault="00CC446B" w:rsidP="00AD71CD">
      <w:pPr>
        <w:spacing w:line="360" w:lineRule="auto"/>
        <w:jc w:val="both"/>
        <w:rPr>
          <w:rFonts w:ascii="Arial" w:hAnsi="Arial" w:cs="Arial"/>
          <w:sz w:val="24"/>
          <w:szCs w:val="24"/>
          <w:lang w:val="en-ZA"/>
        </w:rPr>
      </w:pPr>
      <w:r w:rsidRPr="00CC446B">
        <w:rPr>
          <w:rFonts w:ascii="Arial" w:hAnsi="Arial" w:cs="Arial"/>
          <w:sz w:val="24"/>
          <w:szCs w:val="24"/>
          <w:lang w:val="en-ZA"/>
        </w:rPr>
        <w:t xml:space="preserve">In South Africa, the history of affirmative action is directly linked to the development of labour regulations that were initially intended to solidify segregation based on race and gender. The </w:t>
      </w:r>
      <w:r w:rsidRPr="00CC446B">
        <w:rPr>
          <w:rFonts w:ascii="Arial" w:hAnsi="Arial" w:cs="Arial"/>
          <w:i/>
          <w:iCs/>
          <w:sz w:val="24"/>
          <w:szCs w:val="24"/>
          <w:lang w:val="en-ZA"/>
        </w:rPr>
        <w:t>Industrial Conciliation Act</w:t>
      </w:r>
      <w:r w:rsidRPr="00CC446B">
        <w:rPr>
          <w:rFonts w:ascii="Arial" w:hAnsi="Arial" w:cs="Arial"/>
          <w:sz w:val="24"/>
          <w:szCs w:val="24"/>
          <w:lang w:val="en-ZA"/>
        </w:rPr>
        <w:t xml:space="preserve"> of 1956, the </w:t>
      </w:r>
      <w:r w:rsidRPr="00CC446B">
        <w:rPr>
          <w:rFonts w:ascii="Arial" w:hAnsi="Arial" w:cs="Arial"/>
          <w:i/>
          <w:iCs/>
          <w:sz w:val="24"/>
          <w:szCs w:val="24"/>
          <w:lang w:val="en-ZA"/>
        </w:rPr>
        <w:t>Mines and Works Act</w:t>
      </w:r>
      <w:r w:rsidRPr="00CC446B">
        <w:rPr>
          <w:rFonts w:ascii="Arial" w:hAnsi="Arial" w:cs="Arial"/>
          <w:sz w:val="24"/>
          <w:szCs w:val="24"/>
          <w:lang w:val="en-ZA"/>
        </w:rPr>
        <w:t xml:space="preserve"> of 1911, and the Job Reservation System were among the laws that frequently prohibited non-White South Africans access to skilled work and possibilities for career progression during the apartheid era.  In response to these historical injustices, the post-apartheid </w:t>
      </w:r>
      <w:r w:rsidRPr="00CC446B">
        <w:rPr>
          <w:rFonts w:ascii="Arial" w:hAnsi="Arial" w:cs="Arial"/>
          <w:sz w:val="24"/>
          <w:szCs w:val="24"/>
          <w:lang w:val="en-ZA"/>
        </w:rPr>
        <w:lastRenderedPageBreak/>
        <w:t xml:space="preserve">government passed the </w:t>
      </w:r>
      <w:r w:rsidRPr="00CC446B">
        <w:rPr>
          <w:rFonts w:ascii="Arial" w:hAnsi="Arial" w:cs="Arial"/>
          <w:i/>
          <w:iCs/>
          <w:sz w:val="24"/>
          <w:szCs w:val="24"/>
          <w:lang w:val="en-ZA"/>
        </w:rPr>
        <w:t>Employment Equity Act</w:t>
      </w:r>
      <w:r>
        <w:rPr>
          <w:rFonts w:ascii="Arial" w:hAnsi="Arial" w:cs="Arial"/>
          <w:sz w:val="24"/>
          <w:szCs w:val="24"/>
          <w:lang w:val="en-ZA"/>
        </w:rPr>
        <w:t xml:space="preserve"> 55 of 1998</w:t>
      </w:r>
      <w:r w:rsidRPr="00CC446B">
        <w:rPr>
          <w:rFonts w:ascii="Arial" w:hAnsi="Arial" w:cs="Arial"/>
          <w:sz w:val="24"/>
          <w:szCs w:val="24"/>
          <w:lang w:val="en-ZA"/>
        </w:rPr>
        <w:t>, which requires designated firms to adopt affirmative action policies that support equitable representation at all levels of employment.</w:t>
      </w:r>
    </w:p>
    <w:p w14:paraId="0200233F" w14:textId="77777777" w:rsidR="00CC446B" w:rsidRPr="00CC446B" w:rsidRDefault="00AD71CD" w:rsidP="00CC446B">
      <w:pPr>
        <w:spacing w:line="360" w:lineRule="auto"/>
        <w:jc w:val="both"/>
        <w:rPr>
          <w:rFonts w:ascii="Arial" w:hAnsi="Arial" w:cs="Arial"/>
          <w:sz w:val="24"/>
          <w:szCs w:val="24"/>
          <w:lang w:val="en-ZA"/>
        </w:rPr>
      </w:pPr>
      <w:r w:rsidRPr="00AD71CD">
        <w:rPr>
          <w:rFonts w:ascii="Arial" w:hAnsi="Arial" w:cs="Arial"/>
          <w:sz w:val="24"/>
          <w:szCs w:val="24"/>
          <w:lang w:val="en-ZA"/>
        </w:rPr>
        <w:t xml:space="preserve">The implementation of affirmative action measures in the selection process for appointments and promotions within the employment environment, however, has brought up pertinent legal and ethical concerns, such as </w:t>
      </w:r>
      <w:proofErr w:type="gramStart"/>
      <w:r w:rsidRPr="00AD71CD">
        <w:rPr>
          <w:rFonts w:ascii="Arial" w:hAnsi="Arial" w:cs="Arial"/>
          <w:sz w:val="24"/>
          <w:szCs w:val="24"/>
          <w:lang w:val="en-ZA"/>
        </w:rPr>
        <w:t>whether or not</w:t>
      </w:r>
      <w:proofErr w:type="gramEnd"/>
      <w:r w:rsidRPr="00AD71CD">
        <w:rPr>
          <w:rFonts w:ascii="Arial" w:hAnsi="Arial" w:cs="Arial"/>
          <w:sz w:val="24"/>
          <w:szCs w:val="24"/>
          <w:lang w:val="en-ZA"/>
        </w:rPr>
        <w:t xml:space="preserve"> such actions are perpetually legally permissible and in which circumstances do, they serve as fair, reasonable, and proportionate strategies in employment decisions.</w:t>
      </w:r>
      <w:r w:rsidR="00CC446B">
        <w:rPr>
          <w:rFonts w:ascii="Arial" w:hAnsi="Arial" w:cs="Arial"/>
          <w:sz w:val="24"/>
          <w:szCs w:val="24"/>
          <w:lang w:val="en-ZA"/>
        </w:rPr>
        <w:t xml:space="preserve"> </w:t>
      </w:r>
      <w:r w:rsidRPr="00AD71CD">
        <w:rPr>
          <w:rFonts w:ascii="Arial" w:hAnsi="Arial" w:cs="Arial"/>
          <w:sz w:val="24"/>
          <w:szCs w:val="24"/>
          <w:lang w:val="en-ZA"/>
        </w:rPr>
        <w:t xml:space="preserve"> </w:t>
      </w:r>
      <w:r w:rsidR="00CC446B" w:rsidRPr="00CC446B">
        <w:rPr>
          <w:rFonts w:ascii="Arial" w:hAnsi="Arial" w:cs="Arial"/>
          <w:sz w:val="24"/>
          <w:szCs w:val="24"/>
          <w:lang w:val="en-ZA"/>
        </w:rPr>
        <w:t>Even with its legal and constitutional foundation, affirmative action has come under significant judicial assessment. Affirmative action policies have been challenged for alleged discrimination, and the courts have been given the task to determine whether affirmative action practices continue to be legitimate.</w:t>
      </w:r>
    </w:p>
    <w:p w14:paraId="3960EAA6" w14:textId="14BB96A8" w:rsidR="00624E70" w:rsidRPr="00CC446B" w:rsidRDefault="00CC446B" w:rsidP="00F12AE2">
      <w:pPr>
        <w:spacing w:line="360" w:lineRule="auto"/>
        <w:jc w:val="both"/>
        <w:rPr>
          <w:rFonts w:ascii="Arial" w:hAnsi="Arial" w:cs="Arial"/>
          <w:sz w:val="24"/>
          <w:szCs w:val="24"/>
          <w:lang w:val="en-ZA"/>
        </w:rPr>
      </w:pPr>
      <w:r w:rsidRPr="00CC446B">
        <w:rPr>
          <w:rFonts w:ascii="Arial" w:hAnsi="Arial" w:cs="Arial"/>
          <w:sz w:val="24"/>
          <w:szCs w:val="24"/>
          <w:lang w:val="en-ZA"/>
        </w:rPr>
        <w:t xml:space="preserve">Clear criteria on whether affirmative action can be used as a legitimate and legal reason in hiring decisions are essential given the complicated legal framework governing affirmative action in South Africa. </w:t>
      </w:r>
      <w:proofErr w:type="gramStart"/>
      <w:r w:rsidRPr="00CC446B">
        <w:rPr>
          <w:rFonts w:ascii="Arial" w:hAnsi="Arial" w:cs="Arial"/>
          <w:sz w:val="24"/>
          <w:szCs w:val="24"/>
          <w:lang w:val="en-ZA"/>
        </w:rPr>
        <w:t>In order to</w:t>
      </w:r>
      <w:proofErr w:type="gramEnd"/>
      <w:r w:rsidRPr="00CC446B">
        <w:rPr>
          <w:rFonts w:ascii="Arial" w:hAnsi="Arial" w:cs="Arial"/>
          <w:sz w:val="24"/>
          <w:szCs w:val="24"/>
          <w:lang w:val="en-ZA"/>
        </w:rPr>
        <w:t xml:space="preserve"> offer a comprehensive knowledge of its function in the appointment or promotion selection process, this research will critically evaluate the prerequisites for legal affirmative action, referencing constitutional principles, legislative frameworks, and judicial interpretations.</w:t>
      </w:r>
    </w:p>
    <w:p w14:paraId="0EA29CAF" w14:textId="6D523612" w:rsidR="00624E70" w:rsidRDefault="00624E70" w:rsidP="00624E70">
      <w:pPr>
        <w:pStyle w:val="Heading1"/>
        <w:numPr>
          <w:ilvl w:val="1"/>
          <w:numId w:val="4"/>
        </w:numPr>
        <w:rPr>
          <w:rFonts w:eastAsia="Arial" w:cs="Arial"/>
          <w:bCs/>
          <w:kern w:val="0"/>
          <w:szCs w:val="24"/>
          <w14:ligatures w14:val="none"/>
        </w:rPr>
      </w:pPr>
      <w:bookmarkStart w:id="6" w:name="_Toc189739255"/>
      <w:r>
        <w:rPr>
          <w:rFonts w:eastAsia="Arial" w:cs="Arial"/>
          <w:bCs/>
          <w:kern w:val="0"/>
          <w:szCs w:val="24"/>
          <w14:ligatures w14:val="none"/>
        </w:rPr>
        <w:t>Contextual background</w:t>
      </w:r>
      <w:bookmarkEnd w:id="6"/>
    </w:p>
    <w:p w14:paraId="7B7228A7" w14:textId="59DC389D" w:rsidR="00DC7DB4" w:rsidRDefault="00DF6882" w:rsidP="00DC7DB4">
      <w:pPr>
        <w:spacing w:line="360" w:lineRule="auto"/>
        <w:jc w:val="both"/>
        <w:rPr>
          <w:rFonts w:ascii="Arial" w:hAnsi="Arial" w:cs="Arial"/>
          <w:sz w:val="24"/>
          <w:szCs w:val="24"/>
          <w:lang w:val="en-ZA"/>
        </w:rPr>
      </w:pPr>
      <w:r w:rsidRPr="00DF6882">
        <w:rPr>
          <w:rFonts w:ascii="Arial" w:hAnsi="Arial" w:cs="Arial"/>
          <w:sz w:val="24"/>
          <w:szCs w:val="24"/>
          <w:lang w:val="en-ZA"/>
        </w:rPr>
        <w:t xml:space="preserve">The history of workplace inequality in South Africa is largely a result of laws which were intended to prohibit Black South Africans and other excluded groups from participating in the economy. Through </w:t>
      </w:r>
      <w:proofErr w:type="gramStart"/>
      <w:r w:rsidRPr="00DF6882">
        <w:rPr>
          <w:rFonts w:ascii="Arial" w:hAnsi="Arial" w:cs="Arial"/>
          <w:sz w:val="24"/>
          <w:szCs w:val="24"/>
          <w:lang w:val="en-ZA"/>
        </w:rPr>
        <w:t>a number of</w:t>
      </w:r>
      <w:proofErr w:type="gramEnd"/>
      <w:r w:rsidRPr="00DF6882">
        <w:rPr>
          <w:rFonts w:ascii="Arial" w:hAnsi="Arial" w:cs="Arial"/>
          <w:sz w:val="24"/>
          <w:szCs w:val="24"/>
          <w:lang w:val="en-ZA"/>
        </w:rPr>
        <w:t xml:space="preserve"> laws and regulations that limited access to skilled labo</w:t>
      </w:r>
      <w:r>
        <w:rPr>
          <w:rFonts w:ascii="Arial" w:hAnsi="Arial" w:cs="Arial"/>
          <w:sz w:val="24"/>
          <w:szCs w:val="24"/>
          <w:lang w:val="en-ZA"/>
        </w:rPr>
        <w:t>u</w:t>
      </w:r>
      <w:r w:rsidRPr="00DF6882">
        <w:rPr>
          <w:rFonts w:ascii="Arial" w:hAnsi="Arial" w:cs="Arial"/>
          <w:sz w:val="24"/>
          <w:szCs w:val="24"/>
          <w:lang w:val="en-ZA"/>
        </w:rPr>
        <w:t>r and opportunities for economic progress, colonial and apartheid regimes strengthened systematic racial discrimination in the workplace.</w:t>
      </w:r>
      <w:r>
        <w:rPr>
          <w:rFonts w:ascii="Arial" w:hAnsi="Arial" w:cs="Arial"/>
          <w:sz w:val="24"/>
          <w:szCs w:val="24"/>
          <w:lang w:val="en-ZA"/>
        </w:rPr>
        <w:t xml:space="preserve"> </w:t>
      </w:r>
      <w:r w:rsidR="00DC7DB4" w:rsidRPr="00DC7DB4">
        <w:rPr>
          <w:rFonts w:ascii="Arial" w:hAnsi="Arial" w:cs="Arial"/>
          <w:sz w:val="24"/>
          <w:szCs w:val="24"/>
          <w:lang w:val="en-ZA"/>
        </w:rPr>
        <w:t xml:space="preserve">The Master and Servant </w:t>
      </w:r>
      <w:r w:rsidR="00DC7DB4">
        <w:rPr>
          <w:rFonts w:ascii="Arial" w:hAnsi="Arial" w:cs="Arial"/>
          <w:sz w:val="24"/>
          <w:szCs w:val="24"/>
          <w:lang w:val="en-ZA"/>
        </w:rPr>
        <w:t>laws of the 19</w:t>
      </w:r>
      <w:r w:rsidR="00DC7DB4" w:rsidRPr="00DC7DB4">
        <w:rPr>
          <w:rFonts w:ascii="Arial" w:hAnsi="Arial" w:cs="Arial"/>
          <w:sz w:val="24"/>
          <w:szCs w:val="24"/>
          <w:vertAlign w:val="superscript"/>
          <w:lang w:val="en-ZA"/>
        </w:rPr>
        <w:t>th</w:t>
      </w:r>
      <w:r w:rsidR="00DC7DB4">
        <w:rPr>
          <w:rFonts w:ascii="Arial" w:hAnsi="Arial" w:cs="Arial"/>
          <w:sz w:val="24"/>
          <w:szCs w:val="24"/>
          <w:lang w:val="en-ZA"/>
        </w:rPr>
        <w:t xml:space="preserve"> Century</w:t>
      </w:r>
      <w:r w:rsidR="00DC7DB4" w:rsidRPr="00DC7DB4">
        <w:rPr>
          <w:rFonts w:ascii="Arial" w:hAnsi="Arial" w:cs="Arial"/>
          <w:sz w:val="24"/>
          <w:szCs w:val="24"/>
          <w:lang w:val="en-ZA"/>
        </w:rPr>
        <w:t>, which enforced contractual servitude and penalized Black employees for requesting more pay or quitting their employers, entrenched racial enslavement in the workplace. The foundation for subsequent apartheid regulations that would solidify disparities between races in the workplace was created by these regulations. Black people were forced into low-paying, strenuous jobs in mining and industries, while white workers were given exclusive access to high-paying skilled labo</w:t>
      </w:r>
      <w:r w:rsidR="00DC7DB4">
        <w:rPr>
          <w:rFonts w:ascii="Arial" w:hAnsi="Arial" w:cs="Arial"/>
          <w:sz w:val="24"/>
          <w:szCs w:val="24"/>
          <w:lang w:val="en-ZA"/>
        </w:rPr>
        <w:t>u</w:t>
      </w:r>
      <w:r w:rsidR="00DC7DB4" w:rsidRPr="00DC7DB4">
        <w:rPr>
          <w:rFonts w:ascii="Arial" w:hAnsi="Arial" w:cs="Arial"/>
          <w:sz w:val="24"/>
          <w:szCs w:val="24"/>
          <w:lang w:val="en-ZA"/>
        </w:rPr>
        <w:t xml:space="preserve">r positions owing to the </w:t>
      </w:r>
      <w:r w:rsidR="00DC7DB4" w:rsidRPr="00DC7DB4">
        <w:rPr>
          <w:rFonts w:ascii="Arial" w:hAnsi="Arial" w:cs="Arial"/>
          <w:i/>
          <w:iCs/>
          <w:sz w:val="24"/>
          <w:szCs w:val="24"/>
          <w:lang w:val="en-ZA"/>
        </w:rPr>
        <w:t>Mines and Works Act</w:t>
      </w:r>
      <w:r w:rsidR="00DC7DB4" w:rsidRPr="00DC7DB4">
        <w:rPr>
          <w:rFonts w:ascii="Arial" w:hAnsi="Arial" w:cs="Arial"/>
          <w:sz w:val="24"/>
          <w:szCs w:val="24"/>
          <w:lang w:val="en-ZA"/>
        </w:rPr>
        <w:t xml:space="preserve">, which established </w:t>
      </w:r>
      <w:r w:rsidR="00DC7DB4" w:rsidRPr="00DC7DB4">
        <w:rPr>
          <w:rFonts w:ascii="Arial" w:hAnsi="Arial" w:cs="Arial"/>
          <w:sz w:val="24"/>
          <w:szCs w:val="24"/>
          <w:lang w:val="en-ZA"/>
        </w:rPr>
        <w:lastRenderedPageBreak/>
        <w:t>employment reservation.</w:t>
      </w:r>
      <w:r w:rsidR="00DC7DB4">
        <w:rPr>
          <w:rFonts w:ascii="Arial" w:hAnsi="Arial" w:cs="Arial"/>
          <w:sz w:val="24"/>
          <w:szCs w:val="24"/>
          <w:lang w:val="en-ZA"/>
        </w:rPr>
        <w:t xml:space="preserve"> </w:t>
      </w:r>
      <w:r w:rsidR="00DC7DB4" w:rsidRPr="00DC7DB4">
        <w:rPr>
          <w:rFonts w:ascii="Arial" w:hAnsi="Arial" w:cs="Arial"/>
          <w:sz w:val="24"/>
          <w:szCs w:val="24"/>
          <w:lang w:val="en-ZA"/>
        </w:rPr>
        <w:t>By limiting Black South Africans' economic independence, enclosing them on demarcated reserves, and enforcing exploitative labo</w:t>
      </w:r>
      <w:r w:rsidR="00DC7DB4">
        <w:rPr>
          <w:rFonts w:ascii="Arial" w:hAnsi="Arial" w:cs="Arial"/>
          <w:sz w:val="24"/>
          <w:szCs w:val="24"/>
          <w:lang w:val="en-ZA"/>
        </w:rPr>
        <w:t>u</w:t>
      </w:r>
      <w:r w:rsidR="00DC7DB4" w:rsidRPr="00DC7DB4">
        <w:rPr>
          <w:rFonts w:ascii="Arial" w:hAnsi="Arial" w:cs="Arial"/>
          <w:sz w:val="24"/>
          <w:szCs w:val="24"/>
          <w:lang w:val="en-ZA"/>
        </w:rPr>
        <w:t xml:space="preserve">r practices on white-owned farms and in urban enterprises, the </w:t>
      </w:r>
      <w:r w:rsidR="00DC7DB4" w:rsidRPr="00DC7DB4">
        <w:rPr>
          <w:rFonts w:ascii="Arial" w:hAnsi="Arial" w:cs="Arial"/>
          <w:i/>
          <w:iCs/>
          <w:sz w:val="24"/>
          <w:szCs w:val="24"/>
          <w:lang w:val="en-ZA"/>
        </w:rPr>
        <w:t>Natives Land Act</w:t>
      </w:r>
      <w:r w:rsidR="00DC7DB4" w:rsidRPr="00DC7DB4">
        <w:rPr>
          <w:rFonts w:ascii="Arial" w:hAnsi="Arial" w:cs="Arial"/>
          <w:sz w:val="24"/>
          <w:szCs w:val="24"/>
          <w:lang w:val="en-ZA"/>
        </w:rPr>
        <w:t xml:space="preserve"> of 1913 exacerbated workplace inequality. Additionally, the </w:t>
      </w:r>
      <w:r w:rsidR="00DC7DB4" w:rsidRPr="00DC7DB4">
        <w:rPr>
          <w:rFonts w:ascii="Arial" w:hAnsi="Arial" w:cs="Arial"/>
          <w:i/>
          <w:iCs/>
          <w:sz w:val="24"/>
          <w:szCs w:val="24"/>
          <w:lang w:val="en-ZA"/>
        </w:rPr>
        <w:t>Native Building Workers Act</w:t>
      </w:r>
      <w:r w:rsidR="00DC7DB4" w:rsidRPr="00DC7DB4">
        <w:rPr>
          <w:rFonts w:ascii="Arial" w:hAnsi="Arial" w:cs="Arial"/>
          <w:sz w:val="24"/>
          <w:szCs w:val="24"/>
          <w:lang w:val="en-ZA"/>
        </w:rPr>
        <w:t xml:space="preserve"> of 1951 reinforced racial stratification in employment possibilities by prohibiting Black people from conducting specialized labour in metropolitan areas unless under the supervision of a white supervisor.</w:t>
      </w:r>
      <w:r w:rsidR="00DC7DB4">
        <w:rPr>
          <w:rFonts w:ascii="Arial" w:hAnsi="Arial" w:cs="Arial"/>
          <w:sz w:val="24"/>
          <w:szCs w:val="24"/>
          <w:lang w:val="en-ZA"/>
        </w:rPr>
        <w:t xml:space="preserve"> </w:t>
      </w:r>
      <w:r w:rsidR="00DC7DB4" w:rsidRPr="00DC7DB4">
        <w:rPr>
          <w:rFonts w:ascii="Arial" w:hAnsi="Arial" w:cs="Arial"/>
          <w:sz w:val="24"/>
          <w:szCs w:val="24"/>
          <w:lang w:val="en-ZA"/>
        </w:rPr>
        <w:t xml:space="preserve">Regulations from the apartheid era, such the </w:t>
      </w:r>
      <w:r w:rsidR="00DC7DB4" w:rsidRPr="00DC7DB4">
        <w:rPr>
          <w:rFonts w:ascii="Arial" w:hAnsi="Arial" w:cs="Arial"/>
          <w:i/>
          <w:iCs/>
          <w:sz w:val="24"/>
          <w:szCs w:val="24"/>
          <w:lang w:val="en-ZA"/>
        </w:rPr>
        <w:t>Industrial Conciliation Act</w:t>
      </w:r>
      <w:r w:rsidR="00DC7DB4" w:rsidRPr="00DC7DB4">
        <w:rPr>
          <w:rFonts w:ascii="Arial" w:hAnsi="Arial" w:cs="Arial"/>
          <w:sz w:val="24"/>
          <w:szCs w:val="24"/>
          <w:lang w:val="en-ZA"/>
        </w:rPr>
        <w:t xml:space="preserve"> of 1956, furthered racial job segregation by denying Black workers legal employment status and depriving them of labo</w:t>
      </w:r>
      <w:r w:rsidR="00DC7DB4">
        <w:rPr>
          <w:rFonts w:ascii="Arial" w:hAnsi="Arial" w:cs="Arial"/>
          <w:sz w:val="24"/>
          <w:szCs w:val="24"/>
          <w:lang w:val="en-ZA"/>
        </w:rPr>
        <w:t>u</w:t>
      </w:r>
      <w:r w:rsidR="00DC7DB4" w:rsidRPr="00DC7DB4">
        <w:rPr>
          <w:rFonts w:ascii="Arial" w:hAnsi="Arial" w:cs="Arial"/>
          <w:sz w:val="24"/>
          <w:szCs w:val="24"/>
          <w:lang w:val="en-ZA"/>
        </w:rPr>
        <w:t xml:space="preserve">r law protections and bargaining rights. In addition, their economic advancement was further restricted by the pass laws, especially the </w:t>
      </w:r>
      <w:r w:rsidR="00DC7DB4" w:rsidRPr="00DC7DB4">
        <w:rPr>
          <w:rFonts w:ascii="Arial" w:hAnsi="Arial" w:cs="Arial"/>
          <w:i/>
          <w:iCs/>
          <w:sz w:val="24"/>
          <w:szCs w:val="24"/>
          <w:lang w:val="en-ZA"/>
        </w:rPr>
        <w:t>Pass Laws Act</w:t>
      </w:r>
      <w:r w:rsidR="00DC7DB4" w:rsidRPr="00DC7DB4">
        <w:rPr>
          <w:rFonts w:ascii="Arial" w:hAnsi="Arial" w:cs="Arial"/>
          <w:sz w:val="24"/>
          <w:szCs w:val="24"/>
          <w:lang w:val="en-ZA"/>
        </w:rPr>
        <w:t xml:space="preserve"> of 1952, which prohibited Black labo</w:t>
      </w:r>
      <w:r w:rsidR="00DC7DB4">
        <w:rPr>
          <w:rFonts w:ascii="Arial" w:hAnsi="Arial" w:cs="Arial"/>
          <w:sz w:val="24"/>
          <w:szCs w:val="24"/>
          <w:lang w:val="en-ZA"/>
        </w:rPr>
        <w:t>u</w:t>
      </w:r>
      <w:r w:rsidR="00DC7DB4" w:rsidRPr="00DC7DB4">
        <w:rPr>
          <w:rFonts w:ascii="Arial" w:hAnsi="Arial" w:cs="Arial"/>
          <w:sz w:val="24"/>
          <w:szCs w:val="24"/>
          <w:lang w:val="en-ZA"/>
        </w:rPr>
        <w:t>rers from seeking jobs in urban areas without government-issued passes.</w:t>
      </w:r>
    </w:p>
    <w:p w14:paraId="1790D0E4" w14:textId="26902291" w:rsidR="00DA0E1D" w:rsidRPr="00DA0E1D" w:rsidRDefault="00DA0E1D" w:rsidP="00DA0E1D">
      <w:pPr>
        <w:spacing w:line="360" w:lineRule="auto"/>
        <w:jc w:val="both"/>
        <w:rPr>
          <w:rFonts w:ascii="Arial" w:hAnsi="Arial" w:cs="Arial"/>
          <w:sz w:val="24"/>
          <w:szCs w:val="24"/>
          <w:lang w:val="en-ZA"/>
        </w:rPr>
      </w:pPr>
      <w:r w:rsidRPr="00DA0E1D">
        <w:rPr>
          <w:rFonts w:ascii="Arial" w:hAnsi="Arial" w:cs="Arial"/>
          <w:sz w:val="24"/>
          <w:szCs w:val="24"/>
          <w:lang w:val="en-ZA"/>
        </w:rPr>
        <w:t xml:space="preserve">Collectively, </w:t>
      </w:r>
      <w:proofErr w:type="gramStart"/>
      <w:r w:rsidRPr="00DA0E1D">
        <w:rPr>
          <w:rFonts w:ascii="Arial" w:hAnsi="Arial" w:cs="Arial"/>
          <w:sz w:val="24"/>
          <w:szCs w:val="24"/>
          <w:lang w:val="en-ZA"/>
        </w:rPr>
        <w:t>all of</w:t>
      </w:r>
      <w:proofErr w:type="gramEnd"/>
      <w:r w:rsidRPr="00DA0E1D">
        <w:rPr>
          <w:rFonts w:ascii="Arial" w:hAnsi="Arial" w:cs="Arial"/>
          <w:sz w:val="24"/>
          <w:szCs w:val="24"/>
          <w:lang w:val="en-ZA"/>
        </w:rPr>
        <w:t xml:space="preserve"> these laws established a dual labo</w:t>
      </w:r>
      <w:r>
        <w:rPr>
          <w:rFonts w:ascii="Arial" w:hAnsi="Arial" w:cs="Arial"/>
          <w:sz w:val="24"/>
          <w:szCs w:val="24"/>
          <w:lang w:val="en-ZA"/>
        </w:rPr>
        <w:t>u</w:t>
      </w:r>
      <w:r w:rsidRPr="00DA0E1D">
        <w:rPr>
          <w:rFonts w:ascii="Arial" w:hAnsi="Arial" w:cs="Arial"/>
          <w:sz w:val="24"/>
          <w:szCs w:val="24"/>
          <w:lang w:val="en-ZA"/>
        </w:rPr>
        <w:t xml:space="preserve">r market whereby Black people suffered widespread exploitation, few job opportunities, and no workplace rights, while white workers enjoyed security of employment, greater pay, and opportunities for advancement. </w:t>
      </w:r>
      <w:r>
        <w:rPr>
          <w:rFonts w:ascii="Arial" w:hAnsi="Arial" w:cs="Arial"/>
          <w:sz w:val="24"/>
          <w:szCs w:val="24"/>
          <w:lang w:val="en-ZA"/>
        </w:rPr>
        <w:t xml:space="preserve">The salary gap between Black and White workers </w:t>
      </w:r>
      <w:r w:rsidRPr="00DA0E1D">
        <w:rPr>
          <w:rFonts w:ascii="Arial" w:hAnsi="Arial" w:cs="Arial"/>
          <w:sz w:val="24"/>
          <w:szCs w:val="24"/>
          <w:lang w:val="en-ZA"/>
        </w:rPr>
        <w:t>grew considerably, which added to the enduring economic inequalities that are still visible today.</w:t>
      </w:r>
      <w:r>
        <w:rPr>
          <w:rStyle w:val="FootnoteReference"/>
          <w:rFonts w:ascii="Arial" w:hAnsi="Arial" w:cs="Arial"/>
          <w:sz w:val="24"/>
          <w:szCs w:val="24"/>
          <w:lang w:val="en-ZA"/>
        </w:rPr>
        <w:footnoteReference w:id="2"/>
      </w:r>
    </w:p>
    <w:p w14:paraId="3F309CBE" w14:textId="77777777" w:rsidR="005C0A04" w:rsidRDefault="005C0A04" w:rsidP="005C0A04">
      <w:pPr>
        <w:spacing w:line="360" w:lineRule="auto"/>
        <w:jc w:val="both"/>
        <w:rPr>
          <w:rFonts w:ascii="Arial" w:hAnsi="Arial" w:cs="Arial"/>
          <w:sz w:val="24"/>
          <w:szCs w:val="24"/>
          <w:lang w:val="en-ZA"/>
        </w:rPr>
      </w:pPr>
      <w:r w:rsidRPr="005C0A04">
        <w:rPr>
          <w:rFonts w:ascii="Arial" w:hAnsi="Arial" w:cs="Arial"/>
          <w:sz w:val="24"/>
          <w:szCs w:val="24"/>
          <w:lang w:val="en-ZA"/>
        </w:rPr>
        <w:t>South Africa pioneered the shift from a formal to a substantive notion of equality in 1994 with the emergence of a democratic constitution. Formal equality requires that everyone be treated equally, regardless of prior disadvantage, but substantive equality acknowledges that historically underprivileged groups need specific interventions to guarantee equal chances and results. This approach admits that eliminating discriminatory legislation by itself will not tackle the systemic injustices brought about by the actions of the apartheid government and subsequent laws.</w:t>
      </w:r>
      <w:r>
        <w:rPr>
          <w:rStyle w:val="FootnoteReference"/>
          <w:rFonts w:ascii="Arial" w:hAnsi="Arial" w:cs="Arial"/>
          <w:sz w:val="24"/>
          <w:szCs w:val="24"/>
          <w:lang w:val="en-ZA"/>
        </w:rPr>
        <w:footnoteReference w:id="3"/>
      </w:r>
      <w:r>
        <w:rPr>
          <w:rFonts w:ascii="Arial" w:hAnsi="Arial" w:cs="Arial"/>
          <w:sz w:val="24"/>
          <w:szCs w:val="24"/>
          <w:lang w:val="en-ZA"/>
        </w:rPr>
        <w:t xml:space="preserve"> </w:t>
      </w:r>
      <w:r w:rsidRPr="005C0A04">
        <w:rPr>
          <w:rFonts w:ascii="Arial" w:hAnsi="Arial" w:cs="Arial"/>
          <w:sz w:val="24"/>
          <w:szCs w:val="24"/>
          <w:lang w:val="en-ZA"/>
        </w:rPr>
        <w:t>As stated in the section 9(2)</w:t>
      </w:r>
      <w:r>
        <w:rPr>
          <w:rFonts w:ascii="Arial" w:hAnsi="Arial" w:cs="Arial"/>
          <w:sz w:val="24"/>
          <w:szCs w:val="24"/>
          <w:lang w:val="en-ZA"/>
        </w:rPr>
        <w:t xml:space="preserve"> of the </w:t>
      </w:r>
      <w:r w:rsidRPr="005C0A04">
        <w:rPr>
          <w:rFonts w:ascii="Arial" w:hAnsi="Arial" w:cs="Arial"/>
          <w:i/>
          <w:iCs/>
          <w:sz w:val="24"/>
          <w:szCs w:val="24"/>
          <w:lang w:val="en-ZA"/>
        </w:rPr>
        <w:t>Constitution</w:t>
      </w:r>
      <w:r w:rsidRPr="005C0A04">
        <w:rPr>
          <w:rFonts w:ascii="Arial" w:hAnsi="Arial" w:cs="Arial"/>
          <w:sz w:val="24"/>
          <w:szCs w:val="24"/>
          <w:lang w:val="en-ZA"/>
        </w:rPr>
        <w:t>, substantive equality necessitates proactive steps like affirmative action to eliminate past disadvantages and guarantee that formerly underrepresented groups have fair access to employment opportunities.</w:t>
      </w:r>
      <w:r>
        <w:rPr>
          <w:rFonts w:ascii="Arial" w:hAnsi="Arial" w:cs="Arial"/>
          <w:sz w:val="24"/>
          <w:szCs w:val="24"/>
          <w:lang w:val="en-ZA"/>
        </w:rPr>
        <w:t xml:space="preserve"> </w:t>
      </w:r>
      <w:r w:rsidRPr="005C0A04">
        <w:rPr>
          <w:rFonts w:ascii="Arial" w:hAnsi="Arial" w:cs="Arial"/>
          <w:sz w:val="24"/>
          <w:szCs w:val="24"/>
          <w:lang w:val="en-ZA"/>
        </w:rPr>
        <w:t>In a society where economic disparities are ingrained, this change recognizes that treating everyone equally does not always result in equitable outcomes.</w:t>
      </w:r>
    </w:p>
    <w:p w14:paraId="126920BE" w14:textId="476BAAB3" w:rsidR="00624E70" w:rsidRPr="006973C5" w:rsidRDefault="00023FA2" w:rsidP="00DF6882">
      <w:pPr>
        <w:spacing w:line="360" w:lineRule="auto"/>
        <w:jc w:val="both"/>
        <w:rPr>
          <w:rFonts w:ascii="Arial" w:hAnsi="Arial" w:cs="Arial"/>
          <w:sz w:val="24"/>
          <w:szCs w:val="24"/>
          <w:lang w:val="en-ZA"/>
        </w:rPr>
      </w:pPr>
      <w:r w:rsidRPr="00023FA2">
        <w:rPr>
          <w:rFonts w:ascii="Arial" w:hAnsi="Arial" w:cs="Arial"/>
          <w:sz w:val="24"/>
          <w:szCs w:val="24"/>
          <w:lang w:val="en-ZA"/>
        </w:rPr>
        <w:lastRenderedPageBreak/>
        <w:t>Therefore, the </w:t>
      </w:r>
      <w:r w:rsidRPr="00023FA2">
        <w:rPr>
          <w:rFonts w:ascii="Arial" w:hAnsi="Arial" w:cs="Arial"/>
          <w:i/>
          <w:iCs/>
          <w:sz w:val="24"/>
          <w:szCs w:val="24"/>
          <w:lang w:val="en-ZA"/>
        </w:rPr>
        <w:t>Constitution</w:t>
      </w:r>
      <w:r w:rsidRPr="00023FA2">
        <w:rPr>
          <w:rFonts w:ascii="Arial" w:hAnsi="Arial" w:cs="Arial"/>
          <w:sz w:val="24"/>
          <w:szCs w:val="24"/>
          <w:lang w:val="en-ZA"/>
        </w:rPr>
        <w:t xml:space="preserve"> expressly allows for the introduction of policies that are intended to rectify historical disadvantages, especially in the context of employment. These actions take the shape of affirmative action rules, which mandate that certain employers actively advance equality of opportunity and guarantee that appropriately qualified members of specified groups are fairly represented.</w:t>
      </w:r>
      <w:r>
        <w:rPr>
          <w:rFonts w:ascii="Arial" w:hAnsi="Arial" w:cs="Arial"/>
          <w:sz w:val="24"/>
          <w:szCs w:val="24"/>
          <w:lang w:val="en-ZA"/>
        </w:rPr>
        <w:t xml:space="preserve"> </w:t>
      </w:r>
      <w:r w:rsidR="00CE1959" w:rsidRPr="00CE1959">
        <w:rPr>
          <w:rFonts w:ascii="Arial" w:hAnsi="Arial" w:cs="Arial"/>
          <w:sz w:val="24"/>
          <w:szCs w:val="24"/>
          <w:lang w:val="en-ZA"/>
        </w:rPr>
        <w:t xml:space="preserve">Nonetheless, the implementation of affirmative action has come under legal scrutiny, with both intended and non-beneficiaries contesting employment decisions on occasion. </w:t>
      </w:r>
      <w:proofErr w:type="gramStart"/>
      <w:r w:rsidR="00CE1959" w:rsidRPr="00CE1959">
        <w:rPr>
          <w:rFonts w:ascii="Arial" w:hAnsi="Arial" w:cs="Arial"/>
          <w:sz w:val="24"/>
          <w:szCs w:val="24"/>
          <w:lang w:val="en-ZA"/>
        </w:rPr>
        <w:t>Generally speaking, these</w:t>
      </w:r>
      <w:proofErr w:type="gramEnd"/>
      <w:r w:rsidR="00CE1959" w:rsidRPr="00CE1959">
        <w:rPr>
          <w:rFonts w:ascii="Arial" w:hAnsi="Arial" w:cs="Arial"/>
          <w:sz w:val="24"/>
          <w:szCs w:val="24"/>
          <w:lang w:val="en-ZA"/>
        </w:rPr>
        <w:t xml:space="preserve"> difficulties have emerged in two different situations. First, it has been argued that it is unlawful affirmative action and amounts to unjust, or reverse discrimination when a designated candidate is given precedence over a non-designated applicant and the non-designated candidate is not appointed or promoted. Second, it has been argued that a designated candidate has an automatic entitlement to preferential treatment over a non-designated candidate in cases when they are not appointed or promoted. This raises concerns regarding the appropriate implementation of affirmative action principles.</w:t>
      </w:r>
    </w:p>
    <w:p w14:paraId="3F06E7CF" w14:textId="79ED9139" w:rsidR="00624E70" w:rsidRPr="00DA0E1D" w:rsidRDefault="00F12AE2" w:rsidP="00624E70">
      <w:pPr>
        <w:pStyle w:val="Heading1"/>
        <w:numPr>
          <w:ilvl w:val="1"/>
          <w:numId w:val="4"/>
        </w:numPr>
        <w:rPr>
          <w:rFonts w:eastAsia="Arial" w:cs="Arial"/>
          <w:bCs/>
          <w:kern w:val="0"/>
          <w:szCs w:val="24"/>
          <w14:ligatures w14:val="none"/>
        </w:rPr>
      </w:pPr>
      <w:bookmarkStart w:id="7" w:name="_Toc189739256"/>
      <w:r w:rsidRPr="00DA0E1D">
        <w:rPr>
          <w:rFonts w:eastAsia="Arial" w:cs="Arial"/>
          <w:bCs/>
          <w:kern w:val="0"/>
          <w:szCs w:val="24"/>
          <w14:ligatures w14:val="none"/>
        </w:rPr>
        <w:t>Research problem</w:t>
      </w:r>
      <w:bookmarkEnd w:id="7"/>
    </w:p>
    <w:p w14:paraId="3F4F4300" w14:textId="77777777" w:rsidR="00FB273E" w:rsidRPr="00FB273E" w:rsidRDefault="00DA0357" w:rsidP="00FB273E">
      <w:pPr>
        <w:suppressAutoHyphens/>
        <w:autoSpaceDN w:val="0"/>
        <w:spacing w:line="360" w:lineRule="auto"/>
        <w:jc w:val="both"/>
        <w:rPr>
          <w:rFonts w:ascii="Arial" w:eastAsia="Arial" w:hAnsi="Arial" w:cs="Arial"/>
          <w:kern w:val="0"/>
          <w:sz w:val="24"/>
          <w:szCs w:val="24"/>
          <w:lang w:val="en-ZA"/>
          <w14:ligatures w14:val="none"/>
        </w:rPr>
      </w:pPr>
      <w:r w:rsidRPr="009F38E3">
        <w:rPr>
          <w:rFonts w:ascii="Arial" w:eastAsia="Arial" w:hAnsi="Arial" w:cs="Arial"/>
          <w:kern w:val="0"/>
          <w:sz w:val="24"/>
          <w:szCs w:val="24"/>
          <w14:ligatures w14:val="none"/>
        </w:rPr>
        <w:t>Historical injustices and systematic inequality, especially during the apartheid era, have tainted South Africa's legacy. Even though the country has made great strides towards democracy since the democratic transition in 1994, apartheid's legacy still looms large over it, calling for actions to correct past wrongs. In South Africa, affirmative action has been a crucial tool for addressing past injustices and promoting equality.</w:t>
      </w:r>
      <w:r w:rsidR="006973C5" w:rsidRPr="006973C5">
        <w:rPr>
          <w:rFonts w:ascii="Times New Roman" w:eastAsia="Times New Roman" w:hAnsi="Times New Roman" w:cs="Times New Roman"/>
          <w:kern w:val="0"/>
          <w:sz w:val="24"/>
          <w:szCs w:val="24"/>
          <w:lang w:val="en-ZA" w:eastAsia="en-ZA"/>
          <w14:ligatures w14:val="none"/>
        </w:rPr>
        <w:t xml:space="preserve"> </w:t>
      </w:r>
      <w:r w:rsidR="006973C5" w:rsidRPr="006973C5">
        <w:rPr>
          <w:rFonts w:ascii="Arial" w:eastAsia="Arial" w:hAnsi="Arial" w:cs="Arial"/>
          <w:kern w:val="0"/>
          <w:sz w:val="24"/>
          <w:szCs w:val="24"/>
          <w:lang w:val="en-ZA"/>
          <w14:ligatures w14:val="none"/>
        </w:rPr>
        <w:t>The</w:t>
      </w:r>
      <w:r w:rsidR="006973C5">
        <w:rPr>
          <w:rFonts w:ascii="Arial" w:eastAsia="Arial" w:hAnsi="Arial" w:cs="Arial"/>
          <w:kern w:val="0"/>
          <w:sz w:val="24"/>
          <w:szCs w:val="24"/>
          <w:lang w:val="en-ZA"/>
          <w14:ligatures w14:val="none"/>
        </w:rPr>
        <w:t xml:space="preserve">refore, the </w:t>
      </w:r>
      <w:r w:rsidR="006973C5" w:rsidRPr="006973C5">
        <w:rPr>
          <w:rFonts w:ascii="Arial" w:eastAsia="Arial" w:hAnsi="Arial" w:cs="Arial"/>
          <w:i/>
          <w:iCs/>
          <w:kern w:val="0"/>
          <w:sz w:val="24"/>
          <w:szCs w:val="24"/>
          <w:lang w:val="en-ZA"/>
          <w14:ligatures w14:val="none"/>
        </w:rPr>
        <w:t>Constitution</w:t>
      </w:r>
      <w:r w:rsidR="006973C5" w:rsidRPr="006973C5">
        <w:rPr>
          <w:rFonts w:ascii="Arial" w:eastAsia="Arial" w:hAnsi="Arial" w:cs="Arial"/>
          <w:kern w:val="0"/>
          <w:sz w:val="24"/>
          <w:szCs w:val="24"/>
          <w:lang w:val="en-ZA"/>
          <w14:ligatures w14:val="none"/>
        </w:rPr>
        <w:t xml:space="preserve"> expressly allows for the introduction of policies that are intended to rectify historical disadvantages, especially in the context of employment. These actions take the shape of affirmative action regulations, which mandate that certain employers actively advance equality of opportunity and guarantee that appropriately qualified members of specified groups are fairly represented.</w:t>
      </w:r>
      <w:r w:rsidR="006973C5">
        <w:rPr>
          <w:rFonts w:ascii="Arial" w:eastAsia="Arial" w:hAnsi="Arial" w:cs="Arial"/>
          <w:kern w:val="0"/>
          <w:sz w:val="24"/>
          <w:szCs w:val="24"/>
          <w:lang w:val="en-ZA"/>
          <w14:ligatures w14:val="none"/>
        </w:rPr>
        <w:t xml:space="preserve"> </w:t>
      </w:r>
      <w:r w:rsidR="00FB273E" w:rsidRPr="00FB273E">
        <w:rPr>
          <w:rFonts w:ascii="Arial" w:eastAsia="Arial" w:hAnsi="Arial" w:cs="Arial"/>
          <w:kern w:val="0"/>
          <w:sz w:val="24"/>
          <w:szCs w:val="24"/>
          <w:lang w:val="en-ZA"/>
          <w14:ligatures w14:val="none"/>
        </w:rPr>
        <w:t xml:space="preserve">As a result, affirmative action must be implemented legally failing which, employers risk significant legal and financial repercussions, such as penalties and limitations on their ability to do business. Nevertheless, improper use of affirmative action may also result in legal dilemmas whereby employers may be sued for inappropriately giving preference to applicants who are not members of a designated group or who do not meet the necessary qualifications, for using affirmative action </w:t>
      </w:r>
      <w:r w:rsidR="00FB273E" w:rsidRPr="00FB273E">
        <w:rPr>
          <w:rFonts w:ascii="Arial" w:eastAsia="Arial" w:hAnsi="Arial" w:cs="Arial"/>
          <w:kern w:val="0"/>
          <w:sz w:val="24"/>
          <w:szCs w:val="24"/>
          <w:lang w:val="en-ZA"/>
          <w14:ligatures w14:val="none"/>
        </w:rPr>
        <w:lastRenderedPageBreak/>
        <w:t>when all designated groups are already fairly represented at all occupational levels, or for not following the legal requirements that regulate affirmative action policies.</w:t>
      </w:r>
    </w:p>
    <w:p w14:paraId="0882EADA" w14:textId="77777777" w:rsidR="00637D35" w:rsidRPr="00637D35" w:rsidRDefault="00637D35" w:rsidP="00637D35">
      <w:pPr>
        <w:suppressAutoHyphens/>
        <w:autoSpaceDN w:val="0"/>
        <w:spacing w:line="360" w:lineRule="auto"/>
        <w:jc w:val="both"/>
        <w:rPr>
          <w:rFonts w:ascii="Arial" w:eastAsia="Arial" w:hAnsi="Arial" w:cs="Arial"/>
          <w:kern w:val="0"/>
          <w:sz w:val="24"/>
          <w:szCs w:val="24"/>
          <w:lang w:val="en-ZA"/>
          <w14:ligatures w14:val="none"/>
        </w:rPr>
      </w:pPr>
      <w:proofErr w:type="gramStart"/>
      <w:r w:rsidRPr="00637D35">
        <w:rPr>
          <w:rFonts w:ascii="Arial" w:eastAsia="Arial" w:hAnsi="Arial" w:cs="Arial"/>
          <w:kern w:val="0"/>
          <w:sz w:val="24"/>
          <w:szCs w:val="24"/>
          <w:lang w:val="en-ZA"/>
          <w14:ligatures w14:val="none"/>
        </w:rPr>
        <w:t>In light of</w:t>
      </w:r>
      <w:proofErr w:type="gramEnd"/>
      <w:r w:rsidRPr="00637D35">
        <w:rPr>
          <w:rFonts w:ascii="Arial" w:eastAsia="Arial" w:hAnsi="Arial" w:cs="Arial"/>
          <w:kern w:val="0"/>
          <w:sz w:val="24"/>
          <w:szCs w:val="24"/>
          <w:lang w:val="en-ZA"/>
          <w14:ligatures w14:val="none"/>
        </w:rPr>
        <w:t xml:space="preserve"> these complications, it is crucial to define the legal requirements that employers must take into account when deciding which employees to hire and promote under the affirmative action framework. Determining a specific extent to which hiring and promotion selections must be influenced by affirmative action policies, as well as how these policies must be enforced legally and equitably to guarantee adherence to legislative and constitutional requirements, is critical.</w:t>
      </w:r>
    </w:p>
    <w:p w14:paraId="7E607835" w14:textId="5A52642B" w:rsidR="006973C5" w:rsidRPr="006973C5" w:rsidRDefault="00212F6C" w:rsidP="006973C5">
      <w:pPr>
        <w:suppressAutoHyphens/>
        <w:autoSpaceDN w:val="0"/>
        <w:spacing w:line="360" w:lineRule="auto"/>
        <w:jc w:val="both"/>
        <w:rPr>
          <w:rFonts w:ascii="Arial" w:eastAsia="Arial" w:hAnsi="Arial" w:cs="Arial"/>
          <w:kern w:val="0"/>
          <w:sz w:val="24"/>
          <w:szCs w:val="24"/>
          <w:lang w:val="en-ZA"/>
          <w14:ligatures w14:val="none"/>
        </w:rPr>
      </w:pPr>
      <w:proofErr w:type="gramStart"/>
      <w:r w:rsidRPr="00212F6C">
        <w:rPr>
          <w:rFonts w:ascii="Arial" w:eastAsia="Arial" w:hAnsi="Arial" w:cs="Arial"/>
          <w:kern w:val="0"/>
          <w:sz w:val="24"/>
          <w:szCs w:val="24"/>
          <w:lang w:val="en-ZA"/>
          <w14:ligatures w14:val="none"/>
        </w:rPr>
        <w:t>In order to</w:t>
      </w:r>
      <w:proofErr w:type="gramEnd"/>
      <w:r w:rsidRPr="00212F6C">
        <w:rPr>
          <w:rFonts w:ascii="Arial" w:eastAsia="Arial" w:hAnsi="Arial" w:cs="Arial"/>
          <w:kern w:val="0"/>
          <w:sz w:val="24"/>
          <w:szCs w:val="24"/>
          <w:lang w:val="en-ZA"/>
          <w14:ligatures w14:val="none"/>
        </w:rPr>
        <w:t xml:space="preserve"> ensure that policies are in line with the constitutional values of substantive equality and fairness, the legal limits of affirmative action implementation have been clarified in a substantial manner by the judicial interpretation of affirmative action disputes. Because it directly affects the delicate balance between correcting historical injustices and preventing the emergence of new kinds of discrimination, this continual judicial scrutiny highlights the significance of the discussion. Affirmative action policies are shaped by the constantly changing legal environment, which emphasizes the need for precise, legally valid standards that support both transformation and fair treatment in the workplace.</w:t>
      </w:r>
    </w:p>
    <w:p w14:paraId="284A5D31" w14:textId="77777777" w:rsidR="00DA0357" w:rsidRPr="009F38E3" w:rsidRDefault="00DA0357" w:rsidP="00DA0357">
      <w:pPr>
        <w:tabs>
          <w:tab w:val="left" w:pos="7755"/>
        </w:tabs>
        <w:suppressAutoHyphens/>
        <w:autoSpaceDN w:val="0"/>
        <w:spacing w:line="360" w:lineRule="auto"/>
        <w:jc w:val="both"/>
        <w:rPr>
          <w:rFonts w:ascii="Arial" w:eastAsia="Arial" w:hAnsi="Arial" w:cs="Arial"/>
          <w:kern w:val="0"/>
          <w:sz w:val="24"/>
          <w:szCs w:val="24"/>
          <w14:ligatures w14:val="none"/>
        </w:rPr>
      </w:pPr>
      <w:r w:rsidRPr="009F38E3">
        <w:rPr>
          <w:rFonts w:ascii="Arial" w:eastAsia="Arial" w:hAnsi="Arial" w:cs="Arial"/>
          <w:kern w:val="0"/>
          <w:sz w:val="24"/>
          <w:szCs w:val="24"/>
          <w14:ligatures w14:val="none"/>
        </w:rPr>
        <w:tab/>
      </w:r>
    </w:p>
    <w:p w14:paraId="47E5E463" w14:textId="28A89551" w:rsidR="00DA0357" w:rsidRPr="009F38E3" w:rsidRDefault="00697087" w:rsidP="00EB1E5F">
      <w:pPr>
        <w:pStyle w:val="ListParagraph"/>
        <w:suppressAutoHyphens/>
        <w:autoSpaceDN w:val="0"/>
        <w:spacing w:line="360" w:lineRule="auto"/>
        <w:ind w:left="1531" w:hanging="737"/>
        <w:jc w:val="both"/>
        <w:rPr>
          <w:rFonts w:ascii="Arial" w:eastAsia="Arial" w:hAnsi="Arial" w:cs="Arial"/>
          <w:b/>
          <w:bCs/>
          <w:kern w:val="0"/>
          <w:sz w:val="24"/>
          <w:szCs w:val="24"/>
          <w14:ligatures w14:val="none"/>
        </w:rPr>
      </w:pPr>
      <w:r w:rsidRPr="009F38E3">
        <w:rPr>
          <w:rFonts w:ascii="Arial" w:eastAsia="Arial" w:hAnsi="Arial" w:cs="Arial"/>
          <w:b/>
          <w:bCs/>
          <w:kern w:val="0"/>
          <w:sz w:val="24"/>
          <w:szCs w:val="24"/>
          <w14:ligatures w14:val="none"/>
        </w:rPr>
        <w:t>1.1.</w:t>
      </w:r>
      <w:r w:rsidR="00097526" w:rsidRPr="009F38E3">
        <w:rPr>
          <w:rFonts w:ascii="Arial" w:eastAsia="Arial" w:hAnsi="Arial" w:cs="Arial"/>
          <w:b/>
          <w:bCs/>
          <w:kern w:val="0"/>
          <w:sz w:val="24"/>
          <w:szCs w:val="24"/>
          <w14:ligatures w14:val="none"/>
        </w:rPr>
        <w:t>1</w:t>
      </w:r>
      <w:r w:rsidRPr="009F38E3">
        <w:rPr>
          <w:rFonts w:ascii="Arial" w:eastAsia="Arial" w:hAnsi="Arial" w:cs="Arial"/>
          <w:b/>
          <w:bCs/>
          <w:kern w:val="0"/>
          <w:sz w:val="24"/>
          <w:szCs w:val="24"/>
          <w14:ligatures w14:val="none"/>
        </w:rPr>
        <w:t xml:space="preserve"> </w:t>
      </w:r>
      <w:r w:rsidR="00DA0357" w:rsidRPr="008A357A">
        <w:rPr>
          <w:rStyle w:val="Heading2Char"/>
        </w:rPr>
        <w:t>Affirmative action within the concept of equality and unfair discrimination:</w:t>
      </w:r>
    </w:p>
    <w:p w14:paraId="59777DA9" w14:textId="75D4F32D" w:rsidR="00DA0357" w:rsidRPr="009F38E3" w:rsidRDefault="00DA0357" w:rsidP="00DA0357">
      <w:pPr>
        <w:suppressAutoHyphens/>
        <w:autoSpaceDN w:val="0"/>
        <w:spacing w:line="360" w:lineRule="auto"/>
        <w:jc w:val="both"/>
        <w:rPr>
          <w:rFonts w:ascii="Arial" w:eastAsia="Arial" w:hAnsi="Arial" w:cs="Arial"/>
          <w:kern w:val="0"/>
          <w:sz w:val="24"/>
          <w:szCs w:val="24"/>
          <w14:ligatures w14:val="none"/>
        </w:rPr>
      </w:pPr>
      <w:r w:rsidRPr="009F38E3">
        <w:rPr>
          <w:rFonts w:ascii="Arial" w:eastAsia="Calibri" w:hAnsi="Arial" w:cs="Arial"/>
          <w:kern w:val="0"/>
          <w:sz w:val="24"/>
          <w:szCs w:val="24"/>
          <w14:ligatures w14:val="none"/>
        </w:rPr>
        <w:t xml:space="preserve">"Everyone is equal before the law and has the right to equal protection and benefit of the law," as stated in section 9(1) of the </w:t>
      </w:r>
      <w:r w:rsidRPr="009F38E3">
        <w:rPr>
          <w:rFonts w:ascii="Arial" w:eastAsia="Calibri" w:hAnsi="Arial" w:cs="Arial"/>
          <w:i/>
          <w:iCs/>
          <w:kern w:val="0"/>
          <w:sz w:val="24"/>
          <w:szCs w:val="24"/>
          <w14:ligatures w14:val="none"/>
        </w:rPr>
        <w:t>Constitution</w:t>
      </w:r>
      <w:r w:rsidRPr="009F38E3">
        <w:rPr>
          <w:rFonts w:ascii="Arial" w:eastAsia="Calibri" w:hAnsi="Arial" w:cs="Arial"/>
          <w:kern w:val="0"/>
          <w:sz w:val="24"/>
          <w:szCs w:val="24"/>
          <w14:ligatures w14:val="none"/>
        </w:rPr>
        <w:t>. According to its definition, affirmative action refers to "actions intended to guarantee that suitably qualified members of designated groups have equal employment opportunities and are fairly represented in all occupational categories and levels within the workplace of a designated employer.</w:t>
      </w:r>
      <w:r w:rsidRPr="009F38E3">
        <w:rPr>
          <w:rFonts w:ascii="Arial" w:eastAsia="Calibri" w:hAnsi="Arial" w:cs="Arial"/>
          <w:kern w:val="0"/>
          <w:sz w:val="24"/>
          <w:szCs w:val="24"/>
          <w:vertAlign w:val="superscript"/>
          <w14:ligatures w14:val="none"/>
        </w:rPr>
        <w:footnoteReference w:id="4"/>
      </w:r>
      <w:r w:rsidRPr="009F38E3">
        <w:rPr>
          <w:rFonts w:ascii="Arial" w:eastAsia="Calibri" w:hAnsi="Arial" w:cs="Arial"/>
          <w:kern w:val="0"/>
          <w:sz w:val="24"/>
          <w:szCs w:val="24"/>
          <w14:ligatures w14:val="none"/>
        </w:rPr>
        <w:t xml:space="preserve"> </w:t>
      </w:r>
      <w:r w:rsidRPr="009F38E3">
        <w:rPr>
          <w:rFonts w:ascii="Arial" w:eastAsia="Arial" w:hAnsi="Arial" w:cs="Arial"/>
          <w:kern w:val="0"/>
          <w:sz w:val="24"/>
          <w:szCs w:val="24"/>
          <w14:ligatures w14:val="none"/>
        </w:rPr>
        <w:t xml:space="preserve">According to section 6(2) of the </w:t>
      </w:r>
      <w:r w:rsidRPr="009F38E3">
        <w:rPr>
          <w:rFonts w:ascii="Arial" w:eastAsia="Arial" w:hAnsi="Arial" w:cs="Arial"/>
          <w:i/>
          <w:iCs/>
          <w:kern w:val="0"/>
          <w:sz w:val="24"/>
          <w:szCs w:val="24"/>
          <w14:ligatures w14:val="none"/>
        </w:rPr>
        <w:t>Employment Equity Act</w:t>
      </w:r>
      <w:r w:rsidRPr="009F38E3">
        <w:rPr>
          <w:rFonts w:ascii="Arial" w:eastAsia="Arial" w:hAnsi="Arial" w:cs="Arial"/>
          <w:kern w:val="0"/>
          <w:sz w:val="24"/>
          <w:szCs w:val="24"/>
          <w14:ligatures w14:val="none"/>
        </w:rPr>
        <w:t xml:space="preserve">, implementing affirmative action policies that align with the Act's goals is not considered unfair discrimination. Section 9 (2) of the </w:t>
      </w:r>
      <w:r w:rsidRPr="009F38E3">
        <w:rPr>
          <w:rFonts w:ascii="Arial" w:eastAsia="Arial" w:hAnsi="Arial" w:cs="Arial"/>
          <w:i/>
          <w:iCs/>
          <w:kern w:val="0"/>
          <w:sz w:val="24"/>
          <w:szCs w:val="24"/>
          <w14:ligatures w14:val="none"/>
        </w:rPr>
        <w:t xml:space="preserve">EEA </w:t>
      </w:r>
      <w:r w:rsidRPr="009F38E3">
        <w:rPr>
          <w:rFonts w:ascii="Arial" w:eastAsia="Arial" w:hAnsi="Arial" w:cs="Arial"/>
          <w:kern w:val="0"/>
          <w:sz w:val="24"/>
          <w:szCs w:val="24"/>
          <w14:ligatures w14:val="none"/>
        </w:rPr>
        <w:t xml:space="preserve">states that the complete and equal enjoyment of all rights and freedoms is an integral component of equality; therefore, legislative and other actions intended to defend or advance individuals or groups of </w:t>
      </w:r>
      <w:r w:rsidRPr="009F38E3">
        <w:rPr>
          <w:rFonts w:ascii="Arial" w:eastAsia="Arial" w:hAnsi="Arial" w:cs="Arial"/>
          <w:kern w:val="0"/>
          <w:sz w:val="24"/>
          <w:szCs w:val="24"/>
          <w14:ligatures w14:val="none"/>
        </w:rPr>
        <w:lastRenderedPageBreak/>
        <w:t xml:space="preserve">individuals who are disadvantaged by unjust discrimination may be implemented to advance the goal of equality. </w:t>
      </w:r>
    </w:p>
    <w:p w14:paraId="5B1E3495" w14:textId="6A42A8FE" w:rsidR="00DA0357" w:rsidRPr="009F38E3" w:rsidRDefault="00DA0357" w:rsidP="00DA0357">
      <w:pPr>
        <w:suppressAutoHyphens/>
        <w:autoSpaceDN w:val="0"/>
        <w:spacing w:line="360" w:lineRule="auto"/>
        <w:jc w:val="both"/>
        <w:rPr>
          <w:rFonts w:ascii="Arial" w:eastAsia="Arial" w:hAnsi="Arial" w:cs="Arial"/>
          <w:kern w:val="0"/>
          <w:sz w:val="24"/>
          <w:szCs w:val="24"/>
          <w14:ligatures w14:val="none"/>
        </w:rPr>
      </w:pPr>
      <w:r w:rsidRPr="009F38E3">
        <w:rPr>
          <w:rFonts w:ascii="Arial" w:eastAsia="Arial" w:hAnsi="Arial" w:cs="Arial"/>
          <w:kern w:val="0"/>
          <w:sz w:val="24"/>
          <w:szCs w:val="24"/>
          <w14:ligatures w14:val="none"/>
        </w:rPr>
        <w:t xml:space="preserve">The </w:t>
      </w:r>
      <w:r w:rsidRPr="009F38E3">
        <w:rPr>
          <w:rFonts w:ascii="Arial" w:eastAsia="Arial" w:hAnsi="Arial" w:cs="Arial"/>
          <w:i/>
          <w:iCs/>
          <w:kern w:val="0"/>
          <w:sz w:val="24"/>
          <w:szCs w:val="24"/>
          <w14:ligatures w14:val="none"/>
        </w:rPr>
        <w:t>Constitution</w:t>
      </w:r>
      <w:r w:rsidRPr="009F38E3">
        <w:rPr>
          <w:rFonts w:ascii="Arial" w:eastAsia="Arial" w:hAnsi="Arial" w:cs="Arial"/>
          <w:kern w:val="0"/>
          <w:sz w:val="24"/>
          <w:szCs w:val="24"/>
          <w14:ligatures w14:val="none"/>
        </w:rPr>
        <w:t xml:space="preserve"> states clearly that addressing the impacts of historical inequality is an important goal, but it also stipulates that this must be done in a fair and proportionate way. It was declared in </w:t>
      </w:r>
      <w:bookmarkStart w:id="8" w:name="_Hlk166882583"/>
      <w:r w:rsidRPr="009F38E3">
        <w:rPr>
          <w:rFonts w:ascii="Arial" w:eastAsia="Arial" w:hAnsi="Arial" w:cs="Arial"/>
          <w:i/>
          <w:iCs/>
          <w:kern w:val="0"/>
          <w:sz w:val="24"/>
          <w:szCs w:val="24"/>
          <w14:ligatures w14:val="none"/>
        </w:rPr>
        <w:t>City Council of Pretoria v Walker</w:t>
      </w:r>
      <w:bookmarkEnd w:id="8"/>
      <w:r w:rsidRPr="009F38E3">
        <w:rPr>
          <w:rFonts w:ascii="Arial" w:eastAsia="Arial" w:hAnsi="Arial" w:cs="Arial"/>
          <w:kern w:val="0"/>
          <w:sz w:val="24"/>
          <w:szCs w:val="24"/>
          <w:vertAlign w:val="superscript"/>
          <w14:ligatures w14:val="none"/>
        </w:rPr>
        <w:footnoteReference w:id="5"/>
      </w:r>
      <w:r w:rsidRPr="009F38E3">
        <w:rPr>
          <w:rFonts w:ascii="Arial" w:eastAsia="Arial" w:hAnsi="Arial" w:cs="Arial"/>
          <w:kern w:val="0"/>
          <w:sz w:val="24"/>
          <w:szCs w:val="24"/>
          <w14:ligatures w14:val="none"/>
        </w:rPr>
        <w:t xml:space="preserve"> that “…differential treatment processes which have the legitimate goal of bringing about real equality should not be undertaken in a manner which gratuitously and insensitively offends and marginalizes persons perceived as being members of populations who have historically enjoyed advantage.”</w:t>
      </w:r>
    </w:p>
    <w:p w14:paraId="5553D0F1" w14:textId="466E7AC5" w:rsidR="002852F5" w:rsidRPr="009F38E3" w:rsidRDefault="00DA0357" w:rsidP="00DA0357">
      <w:pPr>
        <w:suppressAutoHyphens/>
        <w:autoSpaceDN w:val="0"/>
        <w:spacing w:line="360" w:lineRule="auto"/>
        <w:jc w:val="both"/>
        <w:rPr>
          <w:rFonts w:ascii="Arial" w:eastAsia="Calibri" w:hAnsi="Arial" w:cs="Arial"/>
          <w:kern w:val="0"/>
          <w:sz w:val="24"/>
          <w:szCs w:val="24"/>
          <w14:ligatures w14:val="none"/>
        </w:rPr>
      </w:pPr>
      <w:r w:rsidRPr="009F38E3">
        <w:rPr>
          <w:rFonts w:ascii="Arial" w:eastAsia="Arial" w:hAnsi="Arial" w:cs="Arial"/>
          <w:kern w:val="0"/>
          <w:sz w:val="24"/>
          <w:szCs w:val="24"/>
          <w14:ligatures w14:val="none"/>
        </w:rPr>
        <w:t>The legal implementation of social reform initiatives such as affirmative action and employment justice, must strike a balance between the need to achieve true equality with the need for national integration, security, and continuity (on an individual and collective level).</w:t>
      </w:r>
      <w:r w:rsidRPr="009F38E3">
        <w:rPr>
          <w:rFonts w:ascii="Arial" w:eastAsia="Calibri" w:hAnsi="Arial" w:cs="Arial"/>
          <w:kern w:val="0"/>
          <w:sz w:val="24"/>
          <w:szCs w:val="24"/>
          <w14:ligatures w14:val="none"/>
        </w:rPr>
        <w:t xml:space="preserve"> In </w:t>
      </w:r>
      <w:r w:rsidRPr="009F38E3">
        <w:rPr>
          <w:rFonts w:ascii="Arial" w:eastAsia="Calibri" w:hAnsi="Arial" w:cs="Arial"/>
          <w:i/>
          <w:iCs/>
          <w:kern w:val="0"/>
          <w:sz w:val="24"/>
          <w:szCs w:val="24"/>
          <w14:ligatures w14:val="none"/>
        </w:rPr>
        <w:t>South African Police Service v Solidarity obo Barnard</w:t>
      </w:r>
      <w:r w:rsidRPr="009F38E3">
        <w:rPr>
          <w:rFonts w:ascii="Arial" w:eastAsia="Calibri" w:hAnsi="Arial" w:cs="Arial"/>
          <w:kern w:val="0"/>
          <w:sz w:val="24"/>
          <w:szCs w:val="24"/>
          <w14:ligatures w14:val="none"/>
        </w:rPr>
        <w:t>,</w:t>
      </w:r>
      <w:r w:rsidRPr="009F38E3">
        <w:rPr>
          <w:rFonts w:ascii="Arial" w:eastAsia="Calibri" w:hAnsi="Arial" w:cs="Arial"/>
          <w:kern w:val="0"/>
          <w:sz w:val="24"/>
          <w:szCs w:val="24"/>
          <w:vertAlign w:val="superscript"/>
          <w14:ligatures w14:val="none"/>
        </w:rPr>
        <w:footnoteReference w:id="6"/>
      </w:r>
      <w:r w:rsidRPr="009F38E3">
        <w:rPr>
          <w:rFonts w:ascii="Arial" w:eastAsia="Calibri" w:hAnsi="Arial" w:cs="Arial"/>
          <w:kern w:val="0"/>
          <w:sz w:val="24"/>
          <w:szCs w:val="24"/>
          <w14:ligatures w14:val="none"/>
        </w:rPr>
        <w:t xml:space="preserve"> the Constitutional Court addressed the issue of reverse discrimination in the context of affirmative action. The court reaffirmed the constitutionality of affirmative action but emphasized that such measures must be reasonable and justifiable.</w:t>
      </w:r>
      <w:r w:rsidRPr="009F38E3">
        <w:rPr>
          <w:rFonts w:ascii="Arial" w:eastAsia="Arial" w:hAnsi="Arial" w:cs="Arial"/>
          <w:kern w:val="0"/>
          <w:sz w:val="24"/>
          <w:szCs w:val="24"/>
          <w14:ligatures w14:val="none"/>
        </w:rPr>
        <w:t xml:space="preserve"> The judiciary will particularly have to reconcile its affirmative action policies with its support for substantive equality and the norms it has established to determine what constitutes unfair discrimination.</w:t>
      </w:r>
      <w:r w:rsidRPr="009F38E3">
        <w:rPr>
          <w:rFonts w:ascii="Arial" w:eastAsia="Arial" w:hAnsi="Arial" w:cs="Arial"/>
          <w:kern w:val="0"/>
          <w:sz w:val="24"/>
          <w:szCs w:val="24"/>
          <w:vertAlign w:val="superscript"/>
          <w14:ligatures w14:val="none"/>
        </w:rPr>
        <w:footnoteReference w:id="7"/>
      </w:r>
      <w:r w:rsidRPr="009F38E3">
        <w:rPr>
          <w:rFonts w:ascii="Arial" w:eastAsia="Arial" w:hAnsi="Arial" w:cs="Arial"/>
          <w:kern w:val="0"/>
          <w:sz w:val="24"/>
          <w:szCs w:val="24"/>
          <w14:ligatures w14:val="none"/>
        </w:rPr>
        <w:t xml:space="preserve"> </w:t>
      </w:r>
    </w:p>
    <w:p w14:paraId="290ED464" w14:textId="11DEE581" w:rsidR="00DA0357" w:rsidRPr="009F38E3" w:rsidRDefault="00697087" w:rsidP="008A357A">
      <w:pPr>
        <w:pStyle w:val="Heading2"/>
        <w:ind w:left="360"/>
        <w:rPr>
          <w:rFonts w:eastAsia="Arial"/>
        </w:rPr>
      </w:pPr>
      <w:bookmarkStart w:id="10" w:name="_Toc189739257"/>
      <w:r w:rsidRPr="009F38E3">
        <w:rPr>
          <w:rFonts w:eastAsia="Arial"/>
        </w:rPr>
        <w:t xml:space="preserve">1.1.2 </w:t>
      </w:r>
      <w:r w:rsidR="00DA0357" w:rsidRPr="009F38E3">
        <w:rPr>
          <w:rFonts w:eastAsia="Arial"/>
        </w:rPr>
        <w:t>The requirements of valid affirmative action:</w:t>
      </w:r>
      <w:bookmarkEnd w:id="10"/>
    </w:p>
    <w:p w14:paraId="701B23A8" w14:textId="7F67A694" w:rsidR="00097526" w:rsidRPr="009F38E3" w:rsidRDefault="00DA0357" w:rsidP="00DA0357">
      <w:pPr>
        <w:suppressAutoHyphens/>
        <w:autoSpaceDN w:val="0"/>
        <w:spacing w:line="360" w:lineRule="auto"/>
        <w:jc w:val="both"/>
        <w:rPr>
          <w:rFonts w:ascii="Arial" w:eastAsia="Arial" w:hAnsi="Arial" w:cs="Arial"/>
          <w:kern w:val="0"/>
          <w:sz w:val="24"/>
          <w:szCs w:val="24"/>
          <w14:ligatures w14:val="none"/>
        </w:rPr>
      </w:pPr>
      <w:r w:rsidRPr="009F38E3">
        <w:rPr>
          <w:rFonts w:ascii="Arial" w:eastAsia="Arial" w:hAnsi="Arial" w:cs="Arial"/>
          <w:kern w:val="0"/>
          <w:sz w:val="24"/>
          <w:szCs w:val="24"/>
          <w14:ligatures w14:val="none"/>
        </w:rPr>
        <w:t>Affirmative action policies are intended to guarantee that suitable members of selected categories are fairly represented in all occupational levels and have equal employment opportunities within a designated employer's workforce.</w:t>
      </w:r>
      <w:r w:rsidRPr="009F38E3">
        <w:rPr>
          <w:rFonts w:ascii="Arial" w:eastAsia="Arial" w:hAnsi="Arial" w:cs="Arial"/>
          <w:kern w:val="0"/>
          <w:sz w:val="24"/>
          <w:szCs w:val="24"/>
          <w:vertAlign w:val="superscript"/>
          <w14:ligatures w14:val="none"/>
        </w:rPr>
        <w:footnoteReference w:id="8"/>
      </w:r>
      <w:r w:rsidRPr="009F38E3">
        <w:rPr>
          <w:rFonts w:ascii="Arial" w:eastAsia="Arial" w:hAnsi="Arial" w:cs="Arial"/>
          <w:kern w:val="0"/>
          <w:sz w:val="24"/>
          <w:szCs w:val="24"/>
          <w14:ligatures w14:val="none"/>
        </w:rPr>
        <w:t xml:space="preserve"> Any one of a person's official qualifications, past education, relevant experience, or the capacity to perform the task  ability to acquire in a reasonable amount of time can all be used to determine if they are appropriately qualified for a position.</w:t>
      </w:r>
      <w:r w:rsidRPr="009F38E3">
        <w:rPr>
          <w:rFonts w:ascii="Arial" w:eastAsia="Arial" w:hAnsi="Arial" w:cs="Arial"/>
          <w:kern w:val="0"/>
          <w:sz w:val="24"/>
          <w:szCs w:val="24"/>
          <w:vertAlign w:val="superscript"/>
          <w14:ligatures w14:val="none"/>
        </w:rPr>
        <w:footnoteReference w:id="9"/>
      </w:r>
      <w:r w:rsidRPr="009F38E3">
        <w:rPr>
          <w:rFonts w:ascii="Arial" w:eastAsia="Arial" w:hAnsi="Arial" w:cs="Arial"/>
          <w:kern w:val="0"/>
          <w:sz w:val="24"/>
          <w:szCs w:val="24"/>
          <w14:ligatures w14:val="none"/>
        </w:rPr>
        <w:t xml:space="preserve"> In addition hereto, employers are not allowed to treat someone unfairly when deciding whether or not they are sufficiently qualified based only on the fact that they lack relevant experience.</w:t>
      </w:r>
      <w:r w:rsidRPr="009F38E3">
        <w:rPr>
          <w:rFonts w:ascii="Arial" w:eastAsia="Arial" w:hAnsi="Arial" w:cs="Arial"/>
          <w:kern w:val="0"/>
          <w:sz w:val="24"/>
          <w:szCs w:val="24"/>
          <w:vertAlign w:val="superscript"/>
          <w14:ligatures w14:val="none"/>
        </w:rPr>
        <w:footnoteReference w:id="10"/>
      </w:r>
      <w:r w:rsidRPr="009F38E3">
        <w:rPr>
          <w:rFonts w:ascii="Arial" w:eastAsia="Arial" w:hAnsi="Arial" w:cs="Arial"/>
          <w:kern w:val="0"/>
          <w:sz w:val="24"/>
          <w:szCs w:val="24"/>
          <w14:ligatures w14:val="none"/>
        </w:rPr>
        <w:t xml:space="preserve"> A designated employer's </w:t>
      </w:r>
      <w:r w:rsidRPr="009F38E3">
        <w:rPr>
          <w:rFonts w:ascii="Arial" w:eastAsia="Arial" w:hAnsi="Arial" w:cs="Arial"/>
          <w:kern w:val="0"/>
          <w:sz w:val="24"/>
          <w:szCs w:val="24"/>
          <w14:ligatures w14:val="none"/>
        </w:rPr>
        <w:lastRenderedPageBreak/>
        <w:t>responsibilities include identifying and removing employment limitations, such as unfair discrimination, that negatively impact members of designated groups; implementing initiatives to promote workplace diversity based on the principles of equal dignity and respect for all individuals; and providing reasonable accommodations for members of designated groups to guarantee that they have equal opportunities and are fairly represented in the employer's workforce.</w:t>
      </w:r>
      <w:r w:rsidRPr="009F38E3">
        <w:rPr>
          <w:rFonts w:ascii="Arial" w:eastAsia="Arial" w:hAnsi="Arial" w:cs="Arial"/>
          <w:kern w:val="0"/>
          <w:sz w:val="24"/>
          <w:szCs w:val="24"/>
          <w:vertAlign w:val="superscript"/>
          <w14:ligatures w14:val="none"/>
        </w:rPr>
        <w:footnoteReference w:id="11"/>
      </w:r>
      <w:r w:rsidRPr="009F38E3">
        <w:rPr>
          <w:rFonts w:ascii="Arial" w:eastAsia="Arial" w:hAnsi="Arial" w:cs="Arial"/>
          <w:kern w:val="0"/>
          <w:sz w:val="24"/>
          <w:szCs w:val="24"/>
          <w14:ligatures w14:val="none"/>
        </w:rPr>
        <w:t xml:space="preserve"> This means that the employer must make any necessary changes to a job or work environment to allow a member of the designated group to participate, advance, or obtain employment. Regarding the legal requirements for legitimate affirmative action, the Act offers minimal guidance and as a result, the difficult equality issues that are typically connected to the execution of affirmative action are left up to be settled by judicial interpretation and Act application.</w:t>
      </w:r>
      <w:r w:rsidRPr="009F38E3">
        <w:rPr>
          <w:rFonts w:ascii="Arial" w:eastAsia="Arial" w:hAnsi="Arial" w:cs="Arial"/>
          <w:kern w:val="0"/>
          <w:sz w:val="24"/>
          <w:szCs w:val="24"/>
          <w:vertAlign w:val="superscript"/>
          <w14:ligatures w14:val="none"/>
        </w:rPr>
        <w:footnoteReference w:id="12"/>
      </w:r>
    </w:p>
    <w:p w14:paraId="0046DD90" w14:textId="411F470A" w:rsidR="00DA0357" w:rsidRPr="009F38E3" w:rsidRDefault="00697087" w:rsidP="008A357A">
      <w:pPr>
        <w:pStyle w:val="Heading2"/>
        <w:ind w:left="360"/>
        <w:rPr>
          <w:rFonts w:eastAsia="Arial"/>
        </w:rPr>
      </w:pPr>
      <w:bookmarkStart w:id="11" w:name="_Toc189739258"/>
      <w:r w:rsidRPr="009F38E3">
        <w:rPr>
          <w:rFonts w:eastAsia="Arial"/>
        </w:rPr>
        <w:t xml:space="preserve">1.1.3 </w:t>
      </w:r>
      <w:r w:rsidR="00DA0357" w:rsidRPr="009F38E3">
        <w:rPr>
          <w:rFonts w:eastAsia="Arial"/>
        </w:rPr>
        <w:t>The right to affirmative action and whether this is automatic:</w:t>
      </w:r>
      <w:bookmarkEnd w:id="11"/>
    </w:p>
    <w:p w14:paraId="39AE815B" w14:textId="77777777" w:rsidR="00DA0357" w:rsidRPr="009F38E3" w:rsidRDefault="00DA0357" w:rsidP="00DA0357">
      <w:pPr>
        <w:suppressAutoHyphens/>
        <w:autoSpaceDN w:val="0"/>
        <w:spacing w:line="360" w:lineRule="auto"/>
        <w:jc w:val="both"/>
        <w:rPr>
          <w:rFonts w:ascii="Arial" w:eastAsia="Arial" w:hAnsi="Arial" w:cs="Arial"/>
          <w:kern w:val="0"/>
          <w:sz w:val="24"/>
          <w:szCs w:val="24"/>
          <w14:ligatures w14:val="none"/>
        </w:rPr>
      </w:pPr>
      <w:r w:rsidRPr="009F38E3">
        <w:rPr>
          <w:rFonts w:ascii="Arial" w:eastAsia="Arial" w:hAnsi="Arial" w:cs="Arial"/>
          <w:kern w:val="0"/>
          <w:sz w:val="24"/>
          <w:szCs w:val="24"/>
          <w14:ligatures w14:val="none"/>
        </w:rPr>
        <w:t>The South African Constitutional Court has been essential in establishing the legal framework pertaining to affirmative action, as seen by significant rulings like</w:t>
      </w:r>
      <w:r w:rsidRPr="009F38E3">
        <w:rPr>
          <w:rFonts w:ascii="Arial" w:eastAsia="Arial" w:hAnsi="Arial" w:cs="Arial"/>
          <w:i/>
          <w:iCs/>
          <w:kern w:val="0"/>
          <w:sz w:val="24"/>
          <w:szCs w:val="24"/>
          <w14:ligatures w14:val="none"/>
        </w:rPr>
        <w:t xml:space="preserve"> Minister of Finance v Van Heerden</w:t>
      </w:r>
      <w:r w:rsidRPr="009F38E3">
        <w:rPr>
          <w:rFonts w:ascii="Arial" w:eastAsia="Arial" w:hAnsi="Arial" w:cs="Arial"/>
          <w:kern w:val="0"/>
          <w:sz w:val="24"/>
          <w:szCs w:val="24"/>
          <w14:ligatures w14:val="none"/>
        </w:rPr>
        <w:t>,</w:t>
      </w:r>
      <w:r w:rsidRPr="009F38E3">
        <w:rPr>
          <w:rFonts w:ascii="Arial" w:eastAsia="Arial" w:hAnsi="Arial" w:cs="Arial"/>
          <w:kern w:val="0"/>
          <w:sz w:val="24"/>
          <w:szCs w:val="24"/>
          <w:vertAlign w:val="superscript"/>
          <w14:ligatures w14:val="none"/>
        </w:rPr>
        <w:footnoteReference w:id="13"/>
      </w:r>
      <w:r w:rsidRPr="009F38E3">
        <w:rPr>
          <w:rFonts w:ascii="Arial" w:eastAsia="Arial" w:hAnsi="Arial" w:cs="Arial"/>
          <w:kern w:val="0"/>
          <w:sz w:val="24"/>
          <w:szCs w:val="24"/>
          <w14:ligatures w14:val="none"/>
        </w:rPr>
        <w:t xml:space="preserve"> which offers direction on how affirmative action legislation should be interpreted and implemented.</w:t>
      </w:r>
    </w:p>
    <w:p w14:paraId="76A541B2" w14:textId="09170783" w:rsidR="00DA0357" w:rsidRPr="009F38E3" w:rsidRDefault="00DA0357" w:rsidP="00DA0357">
      <w:pPr>
        <w:suppressAutoHyphens/>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Arguments over the legitimacy and ramifications of the equal rights principle have emerged, notwithstanding the good intentions. Some contend that the Act might establish an automatic right, making it easier for workers from underprivileged backgrounds to assert entitlements regardless of their merits.</w:t>
      </w:r>
      <w:r w:rsidR="003F1C68" w:rsidRPr="009F38E3">
        <w:rPr>
          <w:rStyle w:val="FootnoteReference"/>
          <w:rFonts w:ascii="Arial" w:eastAsia="Calibri" w:hAnsi="Arial" w:cs="Arial"/>
          <w:kern w:val="0"/>
          <w:sz w:val="24"/>
          <w:szCs w:val="24"/>
          <w14:ligatures w14:val="none"/>
        </w:rPr>
        <w:footnoteReference w:id="14"/>
      </w:r>
      <w:r w:rsidR="003F1C68" w:rsidRPr="009F38E3">
        <w:rPr>
          <w:rFonts w:ascii="Arial" w:eastAsia="Calibri" w:hAnsi="Arial" w:cs="Arial"/>
          <w:kern w:val="0"/>
          <w:sz w:val="24"/>
          <w:szCs w:val="24"/>
          <w14:ligatures w14:val="none"/>
        </w:rPr>
        <w:t xml:space="preserve"> </w:t>
      </w:r>
      <w:r w:rsidRPr="009F38E3">
        <w:rPr>
          <w:rFonts w:ascii="Arial" w:eastAsia="Calibri" w:hAnsi="Arial" w:cs="Arial"/>
          <w:kern w:val="0"/>
          <w:sz w:val="24"/>
          <w:szCs w:val="24"/>
          <w14:ligatures w14:val="none"/>
        </w:rPr>
        <w:t xml:space="preserve">The Constitutional Court’s perspective dictated to the contrary when it was established that affirmative action measures must not perpetuate past unfair discrimination; affirmative action measures should not constitute an advance on individual entitlement but should </w:t>
      </w:r>
      <w:r w:rsidR="00683D77" w:rsidRPr="009F38E3">
        <w:rPr>
          <w:rFonts w:ascii="Arial" w:eastAsia="Calibri" w:hAnsi="Arial" w:cs="Arial"/>
          <w:kern w:val="0"/>
          <w:sz w:val="24"/>
          <w:szCs w:val="24"/>
          <w14:ligatures w14:val="none"/>
        </w:rPr>
        <w:t>instil</w:t>
      </w:r>
      <w:r w:rsidRPr="009F38E3">
        <w:rPr>
          <w:rFonts w:ascii="Arial" w:eastAsia="Calibri" w:hAnsi="Arial" w:cs="Arial"/>
          <w:kern w:val="0"/>
          <w:sz w:val="24"/>
          <w:szCs w:val="24"/>
          <w14:ligatures w14:val="none"/>
        </w:rPr>
        <w:t xml:space="preserve"> systematic transformation.</w:t>
      </w:r>
      <w:r w:rsidRPr="009F38E3">
        <w:rPr>
          <w:rFonts w:ascii="Arial" w:eastAsia="Calibri" w:hAnsi="Arial" w:cs="Arial"/>
          <w:kern w:val="0"/>
          <w:sz w:val="24"/>
          <w:szCs w:val="24"/>
          <w:vertAlign w:val="superscript"/>
          <w14:ligatures w14:val="none"/>
        </w:rPr>
        <w:footnoteReference w:id="15"/>
      </w:r>
      <w:r w:rsidRPr="009F38E3">
        <w:rPr>
          <w:rFonts w:ascii="Arial" w:eastAsia="Calibri" w:hAnsi="Arial" w:cs="Arial"/>
          <w:kern w:val="0"/>
          <w:sz w:val="24"/>
          <w:szCs w:val="24"/>
          <w14:ligatures w14:val="none"/>
        </w:rPr>
        <w:t xml:space="preserve"> </w:t>
      </w:r>
    </w:p>
    <w:p w14:paraId="3CCF87CD" w14:textId="033F843F" w:rsidR="002852F5" w:rsidRPr="009F38E3" w:rsidRDefault="00DA0357" w:rsidP="00DA0357">
      <w:pPr>
        <w:suppressAutoHyphens/>
        <w:autoSpaceDN w:val="0"/>
        <w:spacing w:line="360" w:lineRule="auto"/>
        <w:jc w:val="both"/>
        <w:rPr>
          <w:rFonts w:ascii="Arial" w:eastAsia="Arial" w:hAnsi="Arial" w:cs="Arial"/>
          <w:kern w:val="0"/>
          <w:sz w:val="24"/>
          <w:szCs w:val="24"/>
          <w14:ligatures w14:val="none"/>
        </w:rPr>
      </w:pPr>
      <w:r w:rsidRPr="009F38E3">
        <w:rPr>
          <w:rFonts w:ascii="Arial" w:eastAsia="Arial" w:hAnsi="Arial" w:cs="Arial"/>
          <w:kern w:val="0"/>
          <w:sz w:val="24"/>
          <w:szCs w:val="24"/>
          <w14:ligatures w14:val="none"/>
        </w:rPr>
        <w:t xml:space="preserve">Addressing historical injustices and improving equality in South Africa need the implementation of affirmative action. But justice, proportionality, and constitutional validity must be the guiding principles in its execution. </w:t>
      </w:r>
      <w:proofErr w:type="gramStart"/>
      <w:r w:rsidRPr="009F38E3">
        <w:rPr>
          <w:rFonts w:ascii="Arial" w:eastAsia="Arial" w:hAnsi="Arial" w:cs="Arial"/>
          <w:kern w:val="0"/>
          <w:sz w:val="24"/>
          <w:szCs w:val="24"/>
          <w14:ligatures w14:val="none"/>
        </w:rPr>
        <w:t>In order to</w:t>
      </w:r>
      <w:proofErr w:type="gramEnd"/>
      <w:r w:rsidRPr="009F38E3">
        <w:rPr>
          <w:rFonts w:ascii="Arial" w:eastAsia="Arial" w:hAnsi="Arial" w:cs="Arial"/>
          <w:kern w:val="0"/>
          <w:sz w:val="24"/>
          <w:szCs w:val="24"/>
          <w14:ligatures w14:val="none"/>
        </w:rPr>
        <w:t xml:space="preserve"> better understand </w:t>
      </w:r>
      <w:r w:rsidRPr="009F38E3">
        <w:rPr>
          <w:rFonts w:ascii="Arial" w:eastAsia="Arial" w:hAnsi="Arial" w:cs="Arial"/>
          <w:kern w:val="0"/>
          <w:sz w:val="24"/>
          <w:szCs w:val="24"/>
          <w14:ligatures w14:val="none"/>
        </w:rPr>
        <w:lastRenderedPageBreak/>
        <w:t xml:space="preserve">the role of affirmative action (AA) in the ongoing fight for justice and equality in South Africa, this thesis will look at the historical background of inequality, the conceptual framework of AA within the idea of equality, the requirements for valid AA, and the right to affirmative action. </w:t>
      </w:r>
    </w:p>
    <w:p w14:paraId="00F13D06" w14:textId="4C4632A8" w:rsidR="00DA0357" w:rsidRPr="009F38E3" w:rsidRDefault="00697087" w:rsidP="008A357A">
      <w:pPr>
        <w:pStyle w:val="Heading1"/>
        <w:rPr>
          <w:rFonts w:eastAsia="Calibri"/>
        </w:rPr>
      </w:pPr>
      <w:bookmarkStart w:id="13" w:name="_Toc189739259"/>
      <w:r w:rsidRPr="009F38E3">
        <w:rPr>
          <w:rFonts w:eastAsia="Calibri"/>
        </w:rPr>
        <w:t>1.2</w:t>
      </w:r>
      <w:r w:rsidR="00DA0357" w:rsidRPr="009F38E3">
        <w:rPr>
          <w:rFonts w:eastAsia="Calibri"/>
        </w:rPr>
        <w:t xml:space="preserve"> Research questions</w:t>
      </w:r>
      <w:bookmarkEnd w:id="13"/>
      <w:r w:rsidR="00DA0357" w:rsidRPr="009F38E3">
        <w:rPr>
          <w:rFonts w:eastAsia="Calibri"/>
        </w:rPr>
        <w:t xml:space="preserve"> </w:t>
      </w:r>
    </w:p>
    <w:p w14:paraId="282741CA" w14:textId="4063E5F9" w:rsidR="00EA52D2" w:rsidRPr="00EA52D2" w:rsidRDefault="00EA52D2" w:rsidP="00DA0357">
      <w:pPr>
        <w:autoSpaceDN w:val="0"/>
        <w:spacing w:line="360" w:lineRule="auto"/>
        <w:jc w:val="both"/>
        <w:rPr>
          <w:rFonts w:ascii="Arial" w:eastAsia="Calibri" w:hAnsi="Arial" w:cs="Arial"/>
          <w:kern w:val="0"/>
          <w:sz w:val="24"/>
          <w:szCs w:val="24"/>
          <w:lang w:val="en-US"/>
          <w14:ligatures w14:val="none"/>
        </w:rPr>
      </w:pPr>
      <w:r w:rsidRPr="00EA52D2">
        <w:rPr>
          <w:rFonts w:ascii="Arial" w:eastAsia="Calibri" w:hAnsi="Arial" w:cs="Arial"/>
          <w:kern w:val="0"/>
          <w:sz w:val="24"/>
          <w:szCs w:val="24"/>
          <w:lang w:val="en-US"/>
          <w14:ligatures w14:val="none"/>
        </w:rPr>
        <w:t>In what manner and to which extent should affirmative action inform the employer’s decision to (not) appoint or promote a candidate?</w:t>
      </w:r>
    </w:p>
    <w:p w14:paraId="4ED1121C" w14:textId="4D7BF9B4" w:rsidR="00DA0357" w:rsidRPr="009F38E3" w:rsidRDefault="00DA0357" w:rsidP="00DA0357">
      <w:pPr>
        <w:autoSpaceDN w:val="0"/>
        <w:spacing w:line="360" w:lineRule="auto"/>
        <w:jc w:val="both"/>
        <w:rPr>
          <w:rFonts w:ascii="Arial" w:eastAsia="Calibri" w:hAnsi="Arial" w:cs="Arial"/>
          <w:b/>
          <w:bCs/>
          <w:i/>
          <w:iCs/>
          <w:kern w:val="0"/>
          <w:sz w:val="24"/>
          <w:szCs w:val="24"/>
          <w14:ligatures w14:val="none"/>
        </w:rPr>
      </w:pPr>
      <w:r w:rsidRPr="009F38E3">
        <w:rPr>
          <w:rFonts w:ascii="Arial" w:eastAsia="Calibri" w:hAnsi="Arial" w:cs="Arial"/>
          <w:b/>
          <w:bCs/>
          <w:i/>
          <w:iCs/>
          <w:kern w:val="0"/>
          <w:sz w:val="24"/>
          <w:szCs w:val="24"/>
          <w14:ligatures w14:val="none"/>
        </w:rPr>
        <w:t>Sub-questions</w:t>
      </w:r>
    </w:p>
    <w:p w14:paraId="45B08EAB" w14:textId="4E62997E" w:rsidR="00DA0357" w:rsidRPr="00205FBE" w:rsidRDefault="00697087" w:rsidP="008A357A">
      <w:pPr>
        <w:pStyle w:val="Heading2"/>
        <w:rPr>
          <w:rFonts w:eastAsia="Calibri"/>
          <w:b w:val="0"/>
          <w:bCs/>
        </w:rPr>
      </w:pPr>
      <w:bookmarkStart w:id="14" w:name="_Toc189739260"/>
      <w:r w:rsidRPr="00205FBE">
        <w:rPr>
          <w:rFonts w:eastAsia="Calibri"/>
          <w:b w:val="0"/>
          <w:bCs/>
        </w:rPr>
        <w:t>1.2.1</w:t>
      </w:r>
      <w:r w:rsidR="00DA0357" w:rsidRPr="00205FBE">
        <w:rPr>
          <w:rFonts w:eastAsia="Calibri"/>
          <w:b w:val="0"/>
          <w:bCs/>
        </w:rPr>
        <w:t xml:space="preserve"> </w:t>
      </w:r>
      <w:bookmarkStart w:id="15" w:name="_Hlk163209330"/>
      <w:r w:rsidR="00EA52D2" w:rsidRPr="00EA52D2">
        <w:rPr>
          <w:rFonts w:eastAsia="Calibri"/>
          <w:b w:val="0"/>
          <w:bCs/>
          <w:lang w:val="en-US"/>
        </w:rPr>
        <w:t>To properly understand the purpose and context of affirmative action, as an action to address the injustices of the past and to promote equality in the workplace, what are the historical and legal foundations of affirmative action?</w:t>
      </w:r>
      <w:bookmarkEnd w:id="14"/>
    </w:p>
    <w:p w14:paraId="23933140" w14:textId="19CAF85B" w:rsidR="008A357A" w:rsidRPr="00EA52D2" w:rsidRDefault="00697087" w:rsidP="00EA52D2">
      <w:pPr>
        <w:pStyle w:val="Heading2"/>
        <w:rPr>
          <w:rFonts w:eastAsia="Calibri"/>
          <w:b w:val="0"/>
          <w:bCs/>
        </w:rPr>
      </w:pPr>
      <w:bookmarkStart w:id="16" w:name="_Hlk166098891"/>
      <w:bookmarkStart w:id="17" w:name="_Toc189739261"/>
      <w:bookmarkEnd w:id="15"/>
      <w:r w:rsidRPr="00205FBE">
        <w:rPr>
          <w:rFonts w:eastAsia="Calibri"/>
          <w:b w:val="0"/>
          <w:bCs/>
        </w:rPr>
        <w:t>1.2.2</w:t>
      </w:r>
      <w:r w:rsidR="00DA0357" w:rsidRPr="00205FBE">
        <w:rPr>
          <w:rFonts w:eastAsia="Calibri"/>
          <w:b w:val="0"/>
          <w:bCs/>
        </w:rPr>
        <w:t xml:space="preserve"> </w:t>
      </w:r>
      <w:r w:rsidR="00EA52D2" w:rsidRPr="00EA52D2">
        <w:rPr>
          <w:rFonts w:eastAsia="Calibri"/>
          <w:b w:val="0"/>
          <w:bCs/>
          <w:lang w:val="en-US"/>
        </w:rPr>
        <w:t>What are the requirements an employer must comply with to ensure that the (non) implementation of affirmative action is valid and lawful?</w:t>
      </w:r>
      <w:bookmarkEnd w:id="16"/>
      <w:bookmarkEnd w:id="17"/>
    </w:p>
    <w:p w14:paraId="11E56CF4" w14:textId="075C3151" w:rsidR="00DA0357" w:rsidRPr="009F38E3" w:rsidRDefault="00697087" w:rsidP="008A357A">
      <w:pPr>
        <w:pStyle w:val="Heading1"/>
        <w:rPr>
          <w:rFonts w:eastAsia="Calibri"/>
        </w:rPr>
      </w:pPr>
      <w:bookmarkStart w:id="18" w:name="_Toc189739262"/>
      <w:r w:rsidRPr="009F38E3">
        <w:rPr>
          <w:rFonts w:eastAsia="Calibri"/>
        </w:rPr>
        <w:t>1.3</w:t>
      </w:r>
      <w:r w:rsidR="00DA0357" w:rsidRPr="009F38E3">
        <w:rPr>
          <w:rFonts w:eastAsia="Calibri"/>
        </w:rPr>
        <w:t xml:space="preserve"> Motivation / rationale (background and limitations)</w:t>
      </w:r>
      <w:bookmarkEnd w:id="18"/>
    </w:p>
    <w:p w14:paraId="442EA86C" w14:textId="77777777" w:rsidR="00097526" w:rsidRPr="009F38E3" w:rsidRDefault="00097526" w:rsidP="002852F5">
      <w:pPr>
        <w:pStyle w:val="ListParagraph"/>
        <w:autoSpaceDN w:val="0"/>
        <w:spacing w:line="360" w:lineRule="auto"/>
        <w:ind w:left="360"/>
        <w:jc w:val="both"/>
        <w:rPr>
          <w:rFonts w:ascii="Arial" w:eastAsia="Calibri" w:hAnsi="Arial" w:cs="Arial"/>
          <w:b/>
          <w:bCs/>
          <w:kern w:val="0"/>
          <w:sz w:val="24"/>
          <w:szCs w:val="24"/>
          <w14:ligatures w14:val="none"/>
        </w:rPr>
      </w:pPr>
    </w:p>
    <w:p w14:paraId="29918F67" w14:textId="4C1B08D5" w:rsidR="00DA0357" w:rsidRPr="009F38E3" w:rsidRDefault="00697087" w:rsidP="00CB0751">
      <w:pPr>
        <w:pStyle w:val="Heading2"/>
        <w:ind w:left="360"/>
        <w:rPr>
          <w:rFonts w:eastAsia="Calibri"/>
        </w:rPr>
      </w:pPr>
      <w:bookmarkStart w:id="19" w:name="_Toc189739263"/>
      <w:r w:rsidRPr="009F38E3">
        <w:rPr>
          <w:rFonts w:eastAsia="Calibri"/>
        </w:rPr>
        <w:t xml:space="preserve">1.3.1 </w:t>
      </w:r>
      <w:r w:rsidR="00DA0357" w:rsidRPr="009F38E3">
        <w:rPr>
          <w:rFonts w:eastAsia="Calibri"/>
        </w:rPr>
        <w:t>What are the historical origins and legal foundations of affirmative action in South Africa?</w:t>
      </w:r>
      <w:bookmarkEnd w:id="19"/>
    </w:p>
    <w:p w14:paraId="50373630"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In South Africa, affirmative action is a vital component of the country's efforts to promote socio-economic equality and to address historical injustices. Resurgent from the devastation of apartheid, affirmative action was envisioned as a revolutionary instrument to demolish the systemic racism and prejudice that had afflicted the nation for many years. But when affirmative action laws have been put into place, concerns have surfaced about the implementation of affirmative action and how much automatic privileges they grant to those who qualify. </w:t>
      </w:r>
    </w:p>
    <w:p w14:paraId="7126AC1F"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For </w:t>
      </w:r>
      <w:proofErr w:type="gramStart"/>
      <w:r w:rsidRPr="009F38E3">
        <w:rPr>
          <w:rFonts w:ascii="Arial" w:eastAsia="Calibri" w:hAnsi="Arial" w:cs="Arial"/>
          <w:kern w:val="0"/>
          <w:sz w:val="24"/>
          <w:szCs w:val="24"/>
          <w14:ligatures w14:val="none"/>
        </w:rPr>
        <w:t>a number of</w:t>
      </w:r>
      <w:proofErr w:type="gramEnd"/>
      <w:r w:rsidRPr="009F38E3">
        <w:rPr>
          <w:rFonts w:ascii="Arial" w:eastAsia="Calibri" w:hAnsi="Arial" w:cs="Arial"/>
          <w:kern w:val="0"/>
          <w:sz w:val="24"/>
          <w:szCs w:val="24"/>
          <w14:ligatures w14:val="none"/>
        </w:rPr>
        <w:t xml:space="preserve"> reasons, it is essential to investigate the historical roots and legal underpinnings of affirmative action in South Africa. First and foremost, it is critical to comprehend the historical background </w:t>
      </w:r>
      <w:proofErr w:type="gramStart"/>
      <w:r w:rsidRPr="009F38E3">
        <w:rPr>
          <w:rFonts w:ascii="Arial" w:eastAsia="Calibri" w:hAnsi="Arial" w:cs="Arial"/>
          <w:kern w:val="0"/>
          <w:sz w:val="24"/>
          <w:szCs w:val="24"/>
          <w14:ligatures w14:val="none"/>
        </w:rPr>
        <w:t>in order to</w:t>
      </w:r>
      <w:proofErr w:type="gramEnd"/>
      <w:r w:rsidRPr="009F38E3">
        <w:rPr>
          <w:rFonts w:ascii="Arial" w:eastAsia="Calibri" w:hAnsi="Arial" w:cs="Arial"/>
          <w:kern w:val="0"/>
          <w:sz w:val="24"/>
          <w:szCs w:val="24"/>
          <w14:ligatures w14:val="none"/>
        </w:rPr>
        <w:t xml:space="preserve"> place the current requirement for affirmative action laws and their execution in perspective. The systemic discrimination and disenfranchisement of non-white communities throughout South Africa's apartheid </w:t>
      </w:r>
      <w:r w:rsidRPr="009F38E3">
        <w:rPr>
          <w:rFonts w:ascii="Arial" w:eastAsia="Calibri" w:hAnsi="Arial" w:cs="Arial"/>
          <w:kern w:val="0"/>
          <w:sz w:val="24"/>
          <w:szCs w:val="24"/>
          <w14:ligatures w14:val="none"/>
        </w:rPr>
        <w:lastRenderedPageBreak/>
        <w:t xml:space="preserve">era highlights the critical need for reform and change in </w:t>
      </w:r>
      <w:proofErr w:type="gramStart"/>
      <w:r w:rsidRPr="009F38E3">
        <w:rPr>
          <w:rFonts w:ascii="Arial" w:eastAsia="Calibri" w:hAnsi="Arial" w:cs="Arial"/>
          <w:kern w:val="0"/>
          <w:sz w:val="24"/>
          <w:szCs w:val="24"/>
          <w14:ligatures w14:val="none"/>
        </w:rPr>
        <w:t>a number of</w:t>
      </w:r>
      <w:proofErr w:type="gramEnd"/>
      <w:r w:rsidRPr="009F38E3">
        <w:rPr>
          <w:rFonts w:ascii="Arial" w:eastAsia="Calibri" w:hAnsi="Arial" w:cs="Arial"/>
          <w:kern w:val="0"/>
          <w:sz w:val="24"/>
          <w:szCs w:val="24"/>
          <w14:ligatures w14:val="none"/>
        </w:rPr>
        <w:t xml:space="preserve"> areas, including work, education, and economic empowerment.</w:t>
      </w:r>
    </w:p>
    <w:p w14:paraId="73A6158C"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In addition, studying affirmative action's historical and legal foundations helps us comprehend its limits, goals, and scope in the context of equality jurisprudence. The constitutionality, proportionality, and efficacy of affirmative action policies are clarified by this examination.</w:t>
      </w:r>
    </w:p>
    <w:p w14:paraId="4E9BF2BB" w14:textId="40E07EA7" w:rsidR="00097526"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To summarize, learning more about the historical background and legal underpinnings of affirmative action in South Africa is essential for doing scholarly research and analysing policy in the areas of equality, social justice, and transformation. </w:t>
      </w:r>
      <w:proofErr w:type="gramStart"/>
      <w:r w:rsidRPr="009F38E3">
        <w:rPr>
          <w:rFonts w:ascii="Arial" w:eastAsia="Calibri" w:hAnsi="Arial" w:cs="Arial"/>
          <w:kern w:val="0"/>
          <w:sz w:val="24"/>
          <w:szCs w:val="24"/>
          <w14:ligatures w14:val="none"/>
        </w:rPr>
        <w:t>In order to</w:t>
      </w:r>
      <w:proofErr w:type="gramEnd"/>
      <w:r w:rsidRPr="009F38E3">
        <w:rPr>
          <w:rFonts w:ascii="Arial" w:eastAsia="Calibri" w:hAnsi="Arial" w:cs="Arial"/>
          <w:kern w:val="0"/>
          <w:sz w:val="24"/>
          <w:szCs w:val="24"/>
          <w14:ligatures w14:val="none"/>
        </w:rPr>
        <w:t xml:space="preserve"> advance a more inclusive and equitable society in South Africa and beyond, this research endeavour aims to contribute to informed discourse and evidence-based decision-making by clarifying the intricate interactions between historical legacies, legal frameworks, and socio-economic imperatives.</w:t>
      </w:r>
    </w:p>
    <w:p w14:paraId="7F42EA8D" w14:textId="1F3777B2" w:rsidR="00DA0357" w:rsidRPr="009F38E3" w:rsidRDefault="00697087" w:rsidP="00CB0751">
      <w:pPr>
        <w:pStyle w:val="Heading2"/>
        <w:ind w:left="360"/>
        <w:rPr>
          <w:rFonts w:eastAsia="Calibri"/>
        </w:rPr>
      </w:pPr>
      <w:bookmarkStart w:id="20" w:name="_Toc189739264"/>
      <w:r w:rsidRPr="009F38E3">
        <w:rPr>
          <w:rFonts w:eastAsia="Calibri"/>
        </w:rPr>
        <w:t xml:space="preserve">1.3.2 </w:t>
      </w:r>
      <w:r w:rsidR="00DA0357" w:rsidRPr="009F38E3">
        <w:rPr>
          <w:rFonts w:eastAsia="Calibri"/>
        </w:rPr>
        <w:t>How does affirmative action fit within the concept of substantive equality?</w:t>
      </w:r>
      <w:bookmarkEnd w:id="20"/>
    </w:p>
    <w:p w14:paraId="452D2812"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To comprehend affirmative action's function and importance within legislative frameworks intended to alleviate systemic disparities, it is imperative to investigate </w:t>
      </w:r>
      <w:proofErr w:type="gramStart"/>
      <w:r w:rsidRPr="009F38E3">
        <w:rPr>
          <w:rFonts w:ascii="Arial" w:eastAsia="Calibri" w:hAnsi="Arial" w:cs="Arial"/>
          <w:kern w:val="0"/>
          <w:sz w:val="24"/>
          <w:szCs w:val="24"/>
          <w14:ligatures w14:val="none"/>
        </w:rPr>
        <w:t>whether or not</w:t>
      </w:r>
      <w:proofErr w:type="gramEnd"/>
      <w:r w:rsidRPr="009F38E3">
        <w:rPr>
          <w:rFonts w:ascii="Arial" w:eastAsia="Calibri" w:hAnsi="Arial" w:cs="Arial"/>
          <w:kern w:val="0"/>
          <w:sz w:val="24"/>
          <w:szCs w:val="24"/>
          <w14:ligatures w14:val="none"/>
        </w:rPr>
        <w:t xml:space="preserve"> it is in line with the idea of substantive equality. In addition to formal equality before the law, substantive equality emphasizes achieving equality in substantive outcomes and opportunities. It is a fundamental principle of justice and human rights. Within this framework, affirmative action is revealed as a tool intended to rectify past injustices, eliminate systemic obstacles, and advance true equality of opportunity for historically marginalized communities.</w:t>
      </w:r>
    </w:p>
    <w:p w14:paraId="70671653"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The </w:t>
      </w:r>
      <w:r w:rsidRPr="009F38E3">
        <w:rPr>
          <w:rFonts w:ascii="Arial" w:eastAsia="Calibri" w:hAnsi="Arial" w:cs="Arial"/>
          <w:i/>
          <w:iCs/>
          <w:kern w:val="0"/>
          <w:sz w:val="24"/>
          <w:szCs w:val="24"/>
          <w14:ligatures w14:val="none"/>
        </w:rPr>
        <w:t>Constitution,</w:t>
      </w:r>
      <w:r w:rsidRPr="009F38E3">
        <w:rPr>
          <w:rFonts w:ascii="Arial" w:eastAsia="Calibri" w:hAnsi="Arial" w:cs="Arial"/>
          <w:kern w:val="0"/>
          <w:sz w:val="24"/>
          <w:szCs w:val="24"/>
          <w:vertAlign w:val="superscript"/>
          <w14:ligatures w14:val="none"/>
        </w:rPr>
        <w:footnoteReference w:id="16"/>
      </w:r>
      <w:r w:rsidRPr="009F38E3">
        <w:rPr>
          <w:rFonts w:ascii="Arial" w:eastAsia="Calibri" w:hAnsi="Arial" w:cs="Arial"/>
          <w:kern w:val="0"/>
          <w:sz w:val="24"/>
          <w:szCs w:val="24"/>
          <w14:ligatures w14:val="none"/>
        </w:rPr>
        <w:t xml:space="preserve"> which expressly forbids discrimination and requires the advancement of equality, provides the legal basis for affirmative action in this country. Compared to formal equality, substantive equality differs significantly. Specifically, it acknowledges the degree to which social and historical status, including race and gender, determines a person's chances in relation to a group, as opposed to the formal notion that is focused on the individual.</w:t>
      </w:r>
      <w:r w:rsidRPr="009F38E3">
        <w:rPr>
          <w:rFonts w:ascii="Arial" w:eastAsia="Calibri" w:hAnsi="Arial" w:cs="Arial"/>
          <w:kern w:val="0"/>
          <w:sz w:val="24"/>
          <w:szCs w:val="24"/>
          <w:vertAlign w:val="superscript"/>
          <w14:ligatures w14:val="none"/>
        </w:rPr>
        <w:footnoteReference w:id="17"/>
      </w:r>
      <w:r w:rsidRPr="009F38E3">
        <w:rPr>
          <w:rFonts w:ascii="Arial" w:eastAsia="Calibri" w:hAnsi="Arial" w:cs="Arial"/>
          <w:kern w:val="0"/>
          <w:sz w:val="24"/>
          <w:szCs w:val="24"/>
          <w14:ligatures w14:val="none"/>
        </w:rPr>
        <w:t xml:space="preserve"> It follows that substantive equality acknowledges that acts of discrimination against some groups, like women and Black </w:t>
      </w:r>
      <w:r w:rsidRPr="009F38E3">
        <w:rPr>
          <w:rFonts w:ascii="Arial" w:eastAsia="Calibri" w:hAnsi="Arial" w:cs="Arial"/>
          <w:kern w:val="0"/>
          <w:sz w:val="24"/>
          <w:szCs w:val="24"/>
          <w14:ligatures w14:val="none"/>
        </w:rPr>
        <w:lastRenderedPageBreak/>
        <w:t>people, are not isolated incidents but rather are a component of larger patterns of behaviour.</w:t>
      </w:r>
      <w:r w:rsidRPr="009F38E3">
        <w:rPr>
          <w:rFonts w:ascii="Arial" w:eastAsia="Calibri" w:hAnsi="Arial" w:cs="Arial"/>
          <w:kern w:val="0"/>
          <w:sz w:val="24"/>
          <w:szCs w:val="24"/>
          <w:vertAlign w:val="superscript"/>
          <w14:ligatures w14:val="none"/>
        </w:rPr>
        <w:footnoteReference w:id="18"/>
      </w:r>
      <w:r w:rsidRPr="009F38E3">
        <w:rPr>
          <w:rFonts w:ascii="Arial" w:eastAsia="Calibri" w:hAnsi="Arial" w:cs="Arial"/>
          <w:kern w:val="0"/>
          <w:sz w:val="24"/>
          <w:szCs w:val="24"/>
          <w14:ligatures w14:val="none"/>
        </w:rPr>
        <w:t xml:space="preserve"> Thirdly, strong affirmative action measures are necessary because the outlawing of unjust discrimination is not enough to bring about true equality in a society that has historically been oppressed.</w:t>
      </w:r>
      <w:r w:rsidRPr="009F38E3">
        <w:rPr>
          <w:rFonts w:ascii="Arial" w:eastAsia="Calibri" w:hAnsi="Arial" w:cs="Arial"/>
          <w:kern w:val="0"/>
          <w:sz w:val="24"/>
          <w:szCs w:val="24"/>
          <w:vertAlign w:val="superscript"/>
          <w14:ligatures w14:val="none"/>
        </w:rPr>
        <w:footnoteReference w:id="19"/>
      </w:r>
      <w:r w:rsidRPr="009F38E3">
        <w:rPr>
          <w:rFonts w:ascii="Arial" w:eastAsia="Calibri" w:hAnsi="Arial" w:cs="Arial"/>
          <w:kern w:val="0"/>
          <w:sz w:val="24"/>
          <w:szCs w:val="24"/>
          <w14:ligatures w14:val="none"/>
        </w:rPr>
        <w:t xml:space="preserve"> In light of the aforementioned, employers are no longer free to select or promote anyone they deem qualified; instead, their choices are constrained by the </w:t>
      </w:r>
      <w:r w:rsidRPr="009F38E3">
        <w:rPr>
          <w:rFonts w:ascii="Arial" w:eastAsia="Calibri" w:hAnsi="Arial" w:cs="Arial"/>
          <w:i/>
          <w:iCs/>
          <w:kern w:val="0"/>
          <w:sz w:val="24"/>
          <w:szCs w:val="24"/>
          <w14:ligatures w14:val="none"/>
        </w:rPr>
        <w:t>LRA</w:t>
      </w:r>
      <w:r w:rsidRPr="009F38E3">
        <w:rPr>
          <w:rFonts w:ascii="Arial" w:eastAsia="Calibri" w:hAnsi="Arial" w:cs="Arial"/>
          <w:kern w:val="0"/>
          <w:sz w:val="24"/>
          <w:szCs w:val="24"/>
          <w14:ligatures w14:val="none"/>
        </w:rPr>
        <w:t>.</w:t>
      </w:r>
      <w:r w:rsidRPr="009F38E3">
        <w:rPr>
          <w:rFonts w:ascii="Arial" w:eastAsia="Calibri" w:hAnsi="Arial" w:cs="Arial"/>
          <w:kern w:val="0"/>
          <w:sz w:val="24"/>
          <w:szCs w:val="24"/>
          <w:vertAlign w:val="superscript"/>
          <w14:ligatures w14:val="none"/>
        </w:rPr>
        <w:footnoteReference w:id="20"/>
      </w:r>
      <w:r w:rsidRPr="009F38E3">
        <w:rPr>
          <w:rFonts w:ascii="Arial" w:eastAsia="Calibri" w:hAnsi="Arial" w:cs="Arial"/>
          <w:kern w:val="0"/>
          <w:sz w:val="24"/>
          <w:szCs w:val="24"/>
          <w14:ligatures w14:val="none"/>
        </w:rPr>
        <w:t xml:space="preserve"> </w:t>
      </w:r>
    </w:p>
    <w:p w14:paraId="3DD05B8C" w14:textId="016DF5EB"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The case of </w:t>
      </w:r>
      <w:bookmarkStart w:id="24" w:name="_Hlk163142607"/>
      <w:proofErr w:type="spellStart"/>
      <w:r w:rsidRPr="009F38E3">
        <w:rPr>
          <w:rFonts w:ascii="Arial" w:eastAsia="Calibri" w:hAnsi="Arial" w:cs="Arial"/>
          <w:i/>
          <w:iCs/>
          <w:kern w:val="0"/>
          <w:sz w:val="24"/>
          <w:szCs w:val="24"/>
          <w14:ligatures w14:val="none"/>
        </w:rPr>
        <w:t>Stoman</w:t>
      </w:r>
      <w:proofErr w:type="spellEnd"/>
      <w:r w:rsidRPr="009F38E3">
        <w:rPr>
          <w:rFonts w:ascii="Arial" w:eastAsia="Calibri" w:hAnsi="Arial" w:cs="Arial"/>
          <w:i/>
          <w:iCs/>
          <w:kern w:val="0"/>
          <w:sz w:val="24"/>
          <w:szCs w:val="24"/>
          <w14:ligatures w14:val="none"/>
        </w:rPr>
        <w:t xml:space="preserve"> v </w:t>
      </w:r>
      <w:r w:rsidR="00717506" w:rsidRPr="009F38E3">
        <w:rPr>
          <w:rFonts w:ascii="Arial" w:eastAsia="Calibri" w:hAnsi="Arial" w:cs="Arial"/>
          <w:i/>
          <w:iCs/>
          <w:kern w:val="0"/>
          <w:sz w:val="24"/>
          <w:szCs w:val="24"/>
          <w14:ligatures w14:val="none"/>
        </w:rPr>
        <w:t>Minister</w:t>
      </w:r>
      <w:r w:rsidRPr="009F38E3">
        <w:rPr>
          <w:rFonts w:ascii="Arial" w:eastAsia="Calibri" w:hAnsi="Arial" w:cs="Arial"/>
          <w:i/>
          <w:iCs/>
          <w:kern w:val="0"/>
          <w:sz w:val="24"/>
          <w:szCs w:val="24"/>
          <w14:ligatures w14:val="none"/>
        </w:rPr>
        <w:t xml:space="preserve"> of Safety and Security</w:t>
      </w:r>
      <w:bookmarkEnd w:id="24"/>
      <w:r w:rsidRPr="009F38E3">
        <w:rPr>
          <w:rFonts w:ascii="Arial" w:eastAsia="Calibri" w:hAnsi="Arial" w:cs="Arial"/>
          <w:kern w:val="0"/>
          <w:sz w:val="24"/>
          <w:szCs w:val="24"/>
          <w:vertAlign w:val="superscript"/>
          <w14:ligatures w14:val="none"/>
        </w:rPr>
        <w:footnoteReference w:id="21"/>
      </w:r>
      <w:r w:rsidRPr="009F38E3">
        <w:rPr>
          <w:rFonts w:ascii="Arial" w:eastAsia="Calibri" w:hAnsi="Arial" w:cs="Arial"/>
          <w:kern w:val="0"/>
          <w:sz w:val="24"/>
          <w:szCs w:val="24"/>
          <w14:ligatures w14:val="none"/>
        </w:rPr>
        <w:t xml:space="preserve"> established that, </w:t>
      </w:r>
      <w:proofErr w:type="gramStart"/>
      <w:r w:rsidRPr="009F38E3">
        <w:rPr>
          <w:rFonts w:ascii="Arial" w:eastAsia="Calibri" w:hAnsi="Arial" w:cs="Arial"/>
          <w:kern w:val="0"/>
          <w:sz w:val="24"/>
          <w:szCs w:val="24"/>
          <w14:ligatures w14:val="none"/>
        </w:rPr>
        <w:t>in order to</w:t>
      </w:r>
      <w:proofErr w:type="gramEnd"/>
      <w:r w:rsidRPr="009F38E3">
        <w:rPr>
          <w:rFonts w:ascii="Arial" w:eastAsia="Calibri" w:hAnsi="Arial" w:cs="Arial"/>
          <w:kern w:val="0"/>
          <w:sz w:val="24"/>
          <w:szCs w:val="24"/>
          <w14:ligatures w14:val="none"/>
        </w:rPr>
        <w:t xml:space="preserve"> rationally achieve the ideal of equality, it is necessary to strike a balance between efficiency and representativity. Additionally, it is necessary to guarantee that appropriately qualified individuals fill affirmative action positions. Nevertheless, it is irrational to neglect to designate a person who is appropriately qualified.</w:t>
      </w:r>
    </w:p>
    <w:p w14:paraId="7D54EB30"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Notwithstanding the stated constitutional and legislative support for affirmative action, there are still debates and legal issues surrounding it. The conflict between the equal treatment principle and more distributive definitions of equality has resulted in a deluge of judicial challenges against affirmative action in South African courts in recent years. In order to achieve a more equitable distribution of welfare or resources among citizens who may require it, and in certain cases, different treatment based on those very same characteristics, the courts must then resolve the tension between, on the one hand, the goal of ensuring equal treatment of all citizens regardless of certain characteristics like race or sex and, on the other hand, an aim to achieve that very equal distribution.</w:t>
      </w:r>
      <w:r w:rsidRPr="009F38E3">
        <w:rPr>
          <w:rFonts w:ascii="Arial" w:eastAsia="Calibri" w:hAnsi="Arial" w:cs="Arial"/>
          <w:kern w:val="0"/>
          <w:sz w:val="24"/>
          <w:szCs w:val="24"/>
          <w:vertAlign w:val="superscript"/>
          <w14:ligatures w14:val="none"/>
        </w:rPr>
        <w:footnoteReference w:id="22"/>
      </w:r>
      <w:r w:rsidRPr="009F38E3">
        <w:rPr>
          <w:rFonts w:ascii="Arial" w:eastAsia="Calibri" w:hAnsi="Arial" w:cs="Arial"/>
          <w:kern w:val="0"/>
          <w:sz w:val="24"/>
          <w:szCs w:val="24"/>
          <w14:ligatures w14:val="none"/>
        </w:rPr>
        <w:t xml:space="preserve"> </w:t>
      </w:r>
    </w:p>
    <w:p w14:paraId="72668088" w14:textId="4FA9D1BF" w:rsidR="00097526"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Thus, investigating the relationship between substantive equality and affirmative action adds to the current discussions about the extent and constraints of equality jurisprudence </w:t>
      </w:r>
      <w:proofErr w:type="gramStart"/>
      <w:r w:rsidRPr="009F38E3">
        <w:rPr>
          <w:rFonts w:ascii="Arial" w:eastAsia="Calibri" w:hAnsi="Arial" w:cs="Arial"/>
          <w:kern w:val="0"/>
          <w:sz w:val="24"/>
          <w:szCs w:val="24"/>
          <w14:ligatures w14:val="none"/>
        </w:rPr>
        <w:t>with regard to</w:t>
      </w:r>
      <w:proofErr w:type="gramEnd"/>
      <w:r w:rsidRPr="009F38E3">
        <w:rPr>
          <w:rFonts w:ascii="Arial" w:eastAsia="Calibri" w:hAnsi="Arial" w:cs="Arial"/>
          <w:kern w:val="0"/>
          <w:sz w:val="24"/>
          <w:szCs w:val="24"/>
          <w14:ligatures w14:val="none"/>
        </w:rPr>
        <w:t xml:space="preserve"> addressing overlapping forms of discrimination including socioeconomic status, gender, and race. This study thus aims at evaluating the inclusion and multifaceted value of affirming action initiatives in furthering the rights and interests of marginalized and vulnerable groups by critically examining the interdependence of inequality and injustice.</w:t>
      </w:r>
    </w:p>
    <w:p w14:paraId="5EA4D8A2" w14:textId="2B1361E0" w:rsidR="00DA0357" w:rsidRPr="009F38E3" w:rsidRDefault="00697087" w:rsidP="00CB0751">
      <w:pPr>
        <w:pStyle w:val="Heading2"/>
        <w:ind w:left="360"/>
        <w:rPr>
          <w:rFonts w:eastAsia="Calibri"/>
        </w:rPr>
      </w:pPr>
      <w:bookmarkStart w:id="25" w:name="_Toc189739265"/>
      <w:r w:rsidRPr="009F38E3">
        <w:rPr>
          <w:rFonts w:eastAsia="Calibri"/>
        </w:rPr>
        <w:lastRenderedPageBreak/>
        <w:t xml:space="preserve">1.3.3 </w:t>
      </w:r>
      <w:r w:rsidR="00DA0357" w:rsidRPr="009F38E3">
        <w:rPr>
          <w:rFonts w:eastAsia="Calibri"/>
        </w:rPr>
        <w:t>What are the requirements for a valid and legal affirmative action?</w:t>
      </w:r>
      <w:bookmarkEnd w:id="25"/>
    </w:p>
    <w:p w14:paraId="75179A1C"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proofErr w:type="gramStart"/>
      <w:r w:rsidRPr="009F38E3">
        <w:rPr>
          <w:rFonts w:ascii="Arial" w:eastAsia="Calibri" w:hAnsi="Arial" w:cs="Arial"/>
          <w:kern w:val="0"/>
          <w:sz w:val="24"/>
          <w:szCs w:val="24"/>
          <w14:ligatures w14:val="none"/>
        </w:rPr>
        <w:t>In order to</w:t>
      </w:r>
      <w:proofErr w:type="gramEnd"/>
      <w:r w:rsidRPr="009F38E3">
        <w:rPr>
          <w:rFonts w:ascii="Arial" w:eastAsia="Calibri" w:hAnsi="Arial" w:cs="Arial"/>
          <w:kern w:val="0"/>
          <w:sz w:val="24"/>
          <w:szCs w:val="24"/>
          <w14:ligatures w14:val="none"/>
        </w:rPr>
        <w:t xml:space="preserve"> clarify the legal guidelines and norms governing the application of affirmative action policies within the context of equality and non-discrimination, it is imperative that the conditions for a legitimate and lawful affirmative action be investigated. Establishing precise criteria and standards is essential to guaranteeing the constitutionality, legitimacy, and efficacy of affirmative action policies in addressing historical injustices and advancing substantive equality, since these policies involve differential treatment based on factors like race, gender, or socio-economic status.</w:t>
      </w:r>
    </w:p>
    <w:p w14:paraId="25802D84"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Determining who the real beneficiaries of affirmative action are, presents a dilemma for employers, therefore.</w:t>
      </w:r>
      <w:r w:rsidRPr="009F38E3">
        <w:rPr>
          <w:rFonts w:ascii="Arial" w:eastAsia="Calibri" w:hAnsi="Arial" w:cs="Arial"/>
          <w:kern w:val="0"/>
          <w:sz w:val="24"/>
          <w:szCs w:val="24"/>
          <w:vertAlign w:val="superscript"/>
          <w14:ligatures w14:val="none"/>
        </w:rPr>
        <w:footnoteReference w:id="23"/>
      </w:r>
      <w:r w:rsidRPr="009F38E3">
        <w:rPr>
          <w:rFonts w:ascii="Arial" w:eastAsia="Calibri" w:hAnsi="Arial" w:cs="Arial"/>
          <w:kern w:val="0"/>
          <w:sz w:val="24"/>
          <w:szCs w:val="24"/>
          <w14:ligatures w14:val="none"/>
        </w:rPr>
        <w:t xml:space="preserve"> Two schools of thought exist in this regard. The first maintains that an individual might be considered a previously disadvantaged person merely by virtue of belonging to a specific group.</w:t>
      </w:r>
      <w:r w:rsidRPr="009F38E3">
        <w:rPr>
          <w:rFonts w:ascii="Arial" w:eastAsia="Calibri" w:hAnsi="Arial" w:cs="Arial"/>
          <w:kern w:val="0"/>
          <w:sz w:val="24"/>
          <w:szCs w:val="24"/>
          <w:vertAlign w:val="superscript"/>
          <w14:ligatures w14:val="none"/>
        </w:rPr>
        <w:footnoteReference w:id="24"/>
      </w:r>
      <w:r w:rsidRPr="009F38E3">
        <w:rPr>
          <w:rFonts w:ascii="Arial" w:eastAsia="Calibri" w:hAnsi="Arial" w:cs="Arial"/>
          <w:kern w:val="0"/>
          <w:sz w:val="24"/>
          <w:szCs w:val="24"/>
          <w14:ligatures w14:val="none"/>
        </w:rPr>
        <w:t xml:space="preserve"> The opposing viewpoint maintains that an individual must have suffered a personal disadvantage in order to qualify as an affirmative action recipient.</w:t>
      </w:r>
      <w:r w:rsidRPr="009F38E3">
        <w:rPr>
          <w:rFonts w:ascii="Arial" w:eastAsia="Calibri" w:hAnsi="Arial" w:cs="Arial"/>
          <w:kern w:val="0"/>
          <w:sz w:val="24"/>
          <w:szCs w:val="24"/>
          <w:vertAlign w:val="superscript"/>
          <w14:ligatures w14:val="none"/>
        </w:rPr>
        <w:footnoteReference w:id="25"/>
      </w:r>
      <w:r w:rsidRPr="009F38E3">
        <w:rPr>
          <w:rFonts w:ascii="Arial" w:eastAsia="Calibri" w:hAnsi="Arial" w:cs="Arial"/>
          <w:kern w:val="0"/>
          <w:sz w:val="24"/>
          <w:szCs w:val="24"/>
          <w14:ligatures w14:val="none"/>
        </w:rPr>
        <w:t xml:space="preserve"> Making sure the recipients they have chosen are adequately competent or have the potential to receive the necessary training to become sufficiently qualified for the position is the second difficulty facing companies. Ensuring that the genuine beneficiaries identified can be a “right complement” for both retaining a workforce that is reflective of South Africa and achieving the objective of generating a skilled workforce represents the employer’s third difficulty.</w:t>
      </w:r>
      <w:r w:rsidRPr="009F38E3">
        <w:rPr>
          <w:rFonts w:ascii="Arial" w:eastAsia="Calibri" w:hAnsi="Arial" w:cs="Arial"/>
          <w:kern w:val="0"/>
          <w:sz w:val="24"/>
          <w:szCs w:val="24"/>
          <w:vertAlign w:val="superscript"/>
          <w14:ligatures w14:val="none"/>
        </w:rPr>
        <w:footnoteReference w:id="26"/>
      </w:r>
      <w:r w:rsidRPr="009F38E3">
        <w:rPr>
          <w:rFonts w:ascii="Arial" w:eastAsia="Calibri" w:hAnsi="Arial" w:cs="Arial"/>
          <w:kern w:val="0"/>
          <w:sz w:val="24"/>
          <w:szCs w:val="24"/>
          <w14:ligatures w14:val="none"/>
        </w:rPr>
        <w:t xml:space="preserve"> This is especially true for the public sector, where the difficulty lies not only in building a representative workforce but also in identifying the right designated employee who meets the necessary qualifications to keep the workforce productive and the department functioning effectively.</w:t>
      </w:r>
      <w:r w:rsidRPr="009F38E3">
        <w:rPr>
          <w:rFonts w:ascii="Arial" w:eastAsia="Calibri" w:hAnsi="Arial" w:cs="Arial"/>
          <w:kern w:val="0"/>
          <w:sz w:val="24"/>
          <w:szCs w:val="24"/>
          <w:vertAlign w:val="superscript"/>
          <w14:ligatures w14:val="none"/>
        </w:rPr>
        <w:footnoteReference w:id="27"/>
      </w:r>
    </w:p>
    <w:p w14:paraId="415EF8D8"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In a historic affirmative action case, the Labour Court determined that the South African Police Services’ (SAPS) inequitable discrimination occurred when the agency failed to appoint Captain Barnard, a white woman, to the position of Superintendent of the Complaints Investigation Unit when there was no other candidate for the position.</w:t>
      </w:r>
      <w:r w:rsidRPr="009F38E3">
        <w:rPr>
          <w:rFonts w:ascii="Arial" w:eastAsia="Calibri" w:hAnsi="Arial" w:cs="Arial"/>
          <w:kern w:val="0"/>
          <w:sz w:val="24"/>
          <w:szCs w:val="24"/>
          <w:vertAlign w:val="superscript"/>
          <w14:ligatures w14:val="none"/>
        </w:rPr>
        <w:footnoteReference w:id="28"/>
      </w:r>
    </w:p>
    <w:p w14:paraId="737D52C7" w14:textId="3DAD7D61"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 xml:space="preserve">As stated in </w:t>
      </w:r>
      <w:bookmarkStart w:id="27" w:name="_Hlk163142025"/>
      <w:r w:rsidRPr="009F38E3">
        <w:rPr>
          <w:rFonts w:ascii="Arial" w:eastAsia="Calibri" w:hAnsi="Arial" w:cs="Arial"/>
          <w:i/>
          <w:iCs/>
          <w:kern w:val="0"/>
          <w:sz w:val="24"/>
          <w:szCs w:val="24"/>
          <w14:ligatures w14:val="none"/>
        </w:rPr>
        <w:t>Abbott v Bargaining Council for the Motor Industry (Western Cape)</w:t>
      </w:r>
      <w:bookmarkEnd w:id="27"/>
      <w:r w:rsidRPr="009F38E3">
        <w:rPr>
          <w:rFonts w:ascii="Arial" w:eastAsia="Calibri" w:hAnsi="Arial" w:cs="Arial"/>
          <w:kern w:val="0"/>
          <w:sz w:val="24"/>
          <w:szCs w:val="24"/>
          <w14:ligatures w14:val="none"/>
        </w:rPr>
        <w:t>,</w:t>
      </w:r>
      <w:r w:rsidRPr="009F38E3">
        <w:rPr>
          <w:rFonts w:ascii="Arial" w:eastAsia="Calibri" w:hAnsi="Arial" w:cs="Arial"/>
          <w:kern w:val="0"/>
          <w:sz w:val="24"/>
          <w:szCs w:val="24"/>
          <w:vertAlign w:val="superscript"/>
          <w14:ligatures w14:val="none"/>
        </w:rPr>
        <w:footnoteReference w:id="29"/>
      </w:r>
      <w:r w:rsidRPr="009F38E3">
        <w:rPr>
          <w:rFonts w:ascii="Arial" w:eastAsia="Calibri" w:hAnsi="Arial" w:cs="Arial"/>
          <w:kern w:val="0"/>
          <w:sz w:val="24"/>
          <w:szCs w:val="24"/>
          <w14:ligatures w14:val="none"/>
        </w:rPr>
        <w:t xml:space="preserve"> affirmative action is not only a sword in the hands of designated employees but also a shield in the hands of employers facing lawsuits from irate non-designated workers who were passed over for promotions in favo</w:t>
      </w:r>
      <w:r w:rsidR="00EA52D2">
        <w:rPr>
          <w:rFonts w:ascii="Arial" w:eastAsia="Calibri" w:hAnsi="Arial" w:cs="Arial"/>
          <w:kern w:val="0"/>
          <w:sz w:val="24"/>
          <w:szCs w:val="24"/>
          <w14:ligatures w14:val="none"/>
        </w:rPr>
        <w:t>u</w:t>
      </w:r>
      <w:r w:rsidRPr="009F38E3">
        <w:rPr>
          <w:rFonts w:ascii="Arial" w:eastAsia="Calibri" w:hAnsi="Arial" w:cs="Arial"/>
          <w:kern w:val="0"/>
          <w:sz w:val="24"/>
          <w:szCs w:val="24"/>
          <w14:ligatures w14:val="none"/>
        </w:rPr>
        <w:t xml:space="preserve">r of employees from specific groups.  However, it is now evident from the recent Labour Court ruling in the </w:t>
      </w:r>
      <w:r w:rsidRPr="009F38E3">
        <w:rPr>
          <w:rFonts w:ascii="Arial" w:eastAsia="Calibri" w:hAnsi="Arial" w:cs="Arial"/>
          <w:i/>
          <w:iCs/>
          <w:kern w:val="0"/>
          <w:sz w:val="24"/>
          <w:szCs w:val="24"/>
          <w14:ligatures w14:val="none"/>
        </w:rPr>
        <w:t>Barnard</w:t>
      </w:r>
      <w:r w:rsidRPr="009F38E3">
        <w:rPr>
          <w:rFonts w:ascii="Arial" w:eastAsia="Calibri" w:hAnsi="Arial" w:cs="Arial"/>
          <w:kern w:val="0"/>
          <w:sz w:val="24"/>
          <w:szCs w:val="24"/>
          <w14:ligatures w14:val="none"/>
        </w:rPr>
        <w:t xml:space="preserve"> case that employers are not able to invoke affirmative action as a complete </w:t>
      </w:r>
      <w:r w:rsidR="00EA52D2" w:rsidRPr="009F38E3">
        <w:rPr>
          <w:rFonts w:ascii="Arial" w:eastAsia="Calibri" w:hAnsi="Arial" w:cs="Arial"/>
          <w:kern w:val="0"/>
          <w:sz w:val="24"/>
          <w:szCs w:val="24"/>
          <w14:ligatures w14:val="none"/>
        </w:rPr>
        <w:t>defence</w:t>
      </w:r>
      <w:r w:rsidRPr="009F38E3">
        <w:rPr>
          <w:rFonts w:ascii="Arial" w:eastAsia="Calibri" w:hAnsi="Arial" w:cs="Arial"/>
          <w:kern w:val="0"/>
          <w:sz w:val="24"/>
          <w:szCs w:val="24"/>
          <w14:ligatures w14:val="none"/>
        </w:rPr>
        <w:t>.</w:t>
      </w:r>
      <w:r w:rsidRPr="009F38E3">
        <w:rPr>
          <w:rFonts w:ascii="Arial" w:eastAsia="Calibri" w:hAnsi="Arial" w:cs="Arial"/>
          <w:kern w:val="0"/>
          <w:sz w:val="24"/>
          <w:szCs w:val="24"/>
          <w:vertAlign w:val="superscript"/>
          <w14:ligatures w14:val="none"/>
        </w:rPr>
        <w:footnoteReference w:id="30"/>
      </w:r>
      <w:r w:rsidRPr="009F38E3">
        <w:rPr>
          <w:rFonts w:ascii="Arial" w:eastAsia="Calibri" w:hAnsi="Arial" w:cs="Arial"/>
          <w:kern w:val="0"/>
          <w:sz w:val="24"/>
          <w:szCs w:val="24"/>
          <w14:ligatures w14:val="none"/>
        </w:rPr>
        <w:t xml:space="preserve"> Additionally, employers are not permitted to apply or carry out the graphical objectives established by an employment equality policy in a stringent way without taking into account the general principles of fairness as well as the distinctive circumstances of those who may suffer unfavourable effects from the policy's adoption.</w:t>
      </w:r>
      <w:r w:rsidRPr="009F38E3">
        <w:rPr>
          <w:rFonts w:ascii="Arial" w:eastAsia="Calibri" w:hAnsi="Arial" w:cs="Arial"/>
          <w:kern w:val="0"/>
          <w:sz w:val="24"/>
          <w:szCs w:val="24"/>
          <w:vertAlign w:val="superscript"/>
          <w14:ligatures w14:val="none"/>
        </w:rPr>
        <w:footnoteReference w:id="31"/>
      </w:r>
      <w:r w:rsidRPr="009F38E3">
        <w:rPr>
          <w:rFonts w:ascii="Arial" w:eastAsia="Calibri" w:hAnsi="Arial" w:cs="Arial"/>
          <w:kern w:val="0"/>
          <w:sz w:val="24"/>
          <w:szCs w:val="24"/>
          <w14:ligatures w14:val="none"/>
        </w:rPr>
        <w:t xml:space="preserve">  </w:t>
      </w:r>
    </w:p>
    <w:p w14:paraId="3487945E" w14:textId="31CEA90C"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Examining what makes affirmative action legitimate and lawful adds to the continuing discussions over the constitutionality and proportionality of affirmative action policies, especially as they relate to the extent, duration, and effects on impacted persons and groups. Thus, this study aims to negotiate the challenges associated with putting affirmative action into practice. </w:t>
      </w:r>
    </w:p>
    <w:p w14:paraId="5053BBB4" w14:textId="5731EFF0" w:rsidR="00DA0357" w:rsidRPr="009F38E3" w:rsidRDefault="00697087" w:rsidP="00CB0751">
      <w:pPr>
        <w:pStyle w:val="Heading2"/>
        <w:ind w:left="360"/>
        <w:rPr>
          <w:rFonts w:eastAsia="Calibri"/>
        </w:rPr>
      </w:pPr>
      <w:bookmarkStart w:id="31" w:name="_Toc189739266"/>
      <w:r w:rsidRPr="009F38E3">
        <w:rPr>
          <w:rFonts w:eastAsia="Calibri"/>
        </w:rPr>
        <w:t xml:space="preserve">1.3.4 </w:t>
      </w:r>
      <w:r w:rsidR="00DA0357" w:rsidRPr="009F38E3">
        <w:rPr>
          <w:rFonts w:eastAsia="Calibri"/>
        </w:rPr>
        <w:t>Do people have a right (automatic) to affirmative action?</w:t>
      </w:r>
      <w:bookmarkEnd w:id="31"/>
    </w:p>
    <w:p w14:paraId="3754D543" w14:textId="77777777" w:rsidR="00DA0357" w:rsidRPr="009F38E3" w:rsidRDefault="00DA0357" w:rsidP="00DA0357">
      <w:pPr>
        <w:autoSpaceDN w:val="0"/>
        <w:spacing w:line="360" w:lineRule="auto"/>
        <w:jc w:val="both"/>
        <w:rPr>
          <w:rFonts w:ascii="Arial" w:eastAsia="Calibri" w:hAnsi="Arial" w:cs="Arial"/>
          <w:kern w:val="0"/>
          <w:sz w:val="24"/>
          <w:szCs w:val="24"/>
          <w:u w:val="single"/>
          <w14:ligatures w14:val="none"/>
        </w:rPr>
      </w:pPr>
      <w:r w:rsidRPr="009F38E3">
        <w:rPr>
          <w:rFonts w:ascii="Arial" w:eastAsia="Calibri" w:hAnsi="Arial" w:cs="Arial"/>
          <w:kern w:val="0"/>
          <w:sz w:val="24"/>
          <w:szCs w:val="24"/>
          <w14:ligatures w14:val="none"/>
        </w:rPr>
        <w:t xml:space="preserve">Equality jurisprudence requires that the question of </w:t>
      </w:r>
      <w:proofErr w:type="gramStart"/>
      <w:r w:rsidRPr="009F38E3">
        <w:rPr>
          <w:rFonts w:ascii="Arial" w:eastAsia="Calibri" w:hAnsi="Arial" w:cs="Arial"/>
          <w:kern w:val="0"/>
          <w:sz w:val="24"/>
          <w:szCs w:val="24"/>
          <w14:ligatures w14:val="none"/>
        </w:rPr>
        <w:t>whether or not</w:t>
      </w:r>
      <w:proofErr w:type="gramEnd"/>
      <w:r w:rsidRPr="009F38E3">
        <w:rPr>
          <w:rFonts w:ascii="Arial" w:eastAsia="Calibri" w:hAnsi="Arial" w:cs="Arial"/>
          <w:kern w:val="0"/>
          <w:sz w:val="24"/>
          <w:szCs w:val="24"/>
          <w14:ligatures w14:val="none"/>
        </w:rPr>
        <w:t xml:space="preserve"> persons have an inalienable right to affirmative action be answered in order to make sense of the legal rights and obligations related to affirmative action programs. Clarifying the boundaries and circumstances under which people may rightfully assert the advantages or protections provided by affirmative action policies is crucial since affirmative action involves giving people preferential treatment based on attributes like gender, colour, or socioeconomic position.</w:t>
      </w:r>
    </w:p>
    <w:p w14:paraId="4C864242"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In South Africa, affirmative action is a sophisticated and multidimensional strategy for redressing past injustices and advancing equality. Legislative laws give affirmative action policies a basis, but there are still concerns about whether beneficiaries will automatically acquire rights. </w:t>
      </w:r>
    </w:p>
    <w:p w14:paraId="55A8AC6D"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According to McGregor,</w:t>
      </w:r>
      <w:r w:rsidRPr="009F38E3">
        <w:rPr>
          <w:rFonts w:ascii="Arial" w:eastAsia="Calibri" w:hAnsi="Arial" w:cs="Arial"/>
          <w:kern w:val="0"/>
          <w:sz w:val="24"/>
          <w:szCs w:val="24"/>
          <w:vertAlign w:val="superscript"/>
          <w14:ligatures w14:val="none"/>
        </w:rPr>
        <w:footnoteReference w:id="32"/>
      </w:r>
      <w:r w:rsidRPr="009F38E3">
        <w:rPr>
          <w:rFonts w:ascii="Arial" w:eastAsia="Calibri" w:hAnsi="Arial" w:cs="Arial"/>
          <w:kern w:val="0"/>
          <w:sz w:val="24"/>
          <w:szCs w:val="24"/>
          <w14:ligatures w14:val="none"/>
        </w:rPr>
        <w:t xml:space="preserve"> it is inescapable that the ideas of representation and efficiency cannot be divided or put against one another. Every single case must be considered in the context of its unique circumstances. This was made abundantly clear in the </w:t>
      </w:r>
      <w:r w:rsidRPr="009F38E3">
        <w:rPr>
          <w:rFonts w:ascii="Arial" w:eastAsia="Calibri" w:hAnsi="Arial" w:cs="Arial"/>
          <w:i/>
          <w:iCs/>
          <w:kern w:val="0"/>
          <w:sz w:val="24"/>
          <w:szCs w:val="24"/>
          <w14:ligatures w14:val="none"/>
        </w:rPr>
        <w:t>Coetzer v Minister of Safety and Security</w:t>
      </w:r>
      <w:r w:rsidRPr="009F38E3">
        <w:rPr>
          <w:rFonts w:ascii="Arial" w:eastAsia="Calibri" w:hAnsi="Arial" w:cs="Arial"/>
          <w:kern w:val="0"/>
          <w:sz w:val="24"/>
          <w:szCs w:val="24"/>
          <w:vertAlign w:val="superscript"/>
          <w14:ligatures w14:val="none"/>
        </w:rPr>
        <w:footnoteReference w:id="33"/>
      </w:r>
      <w:r w:rsidRPr="009F38E3">
        <w:rPr>
          <w:rFonts w:ascii="Arial" w:eastAsia="Calibri" w:hAnsi="Arial" w:cs="Arial"/>
          <w:kern w:val="0"/>
          <w:sz w:val="24"/>
          <w:szCs w:val="24"/>
          <w14:ligatures w14:val="none"/>
        </w:rPr>
        <w:t xml:space="preserve"> case where representation was deemed to take a backseat to efficiency because the services provided were vital, and the only people who were competent did not belong to the disadvantaged group. In </w:t>
      </w:r>
      <w:r w:rsidRPr="009F38E3">
        <w:rPr>
          <w:rFonts w:ascii="Arial" w:eastAsia="Calibri" w:hAnsi="Arial" w:cs="Arial"/>
          <w:i/>
          <w:iCs/>
          <w:kern w:val="0"/>
          <w:sz w:val="24"/>
          <w:szCs w:val="24"/>
          <w14:ligatures w14:val="none"/>
        </w:rPr>
        <w:t>Dudley v City of Cape Town</w:t>
      </w:r>
      <w:r w:rsidRPr="009F38E3">
        <w:rPr>
          <w:rFonts w:ascii="Arial" w:eastAsia="Calibri" w:hAnsi="Arial" w:cs="Arial"/>
          <w:kern w:val="0"/>
          <w:sz w:val="24"/>
          <w:szCs w:val="24"/>
          <w:vertAlign w:val="superscript"/>
          <w14:ligatures w14:val="none"/>
        </w:rPr>
        <w:footnoteReference w:id="34"/>
      </w:r>
      <w:r w:rsidRPr="009F38E3">
        <w:rPr>
          <w:rFonts w:ascii="Arial" w:eastAsia="Calibri" w:hAnsi="Arial" w:cs="Arial"/>
          <w:kern w:val="0"/>
          <w:sz w:val="24"/>
          <w:szCs w:val="24"/>
          <w14:ligatures w14:val="none"/>
        </w:rPr>
        <w:t xml:space="preserve">, the court determined that there is no actionable claim for preferential treatment by an individual employee from a specified group and that the </w:t>
      </w:r>
      <w:r w:rsidRPr="009F38E3">
        <w:rPr>
          <w:rFonts w:ascii="Arial" w:eastAsia="Calibri" w:hAnsi="Arial" w:cs="Arial"/>
          <w:i/>
          <w:iCs/>
          <w:kern w:val="0"/>
          <w:sz w:val="24"/>
          <w:szCs w:val="24"/>
          <w14:ligatures w14:val="none"/>
        </w:rPr>
        <w:t>EEA</w:t>
      </w:r>
      <w:r w:rsidRPr="009F38E3">
        <w:rPr>
          <w:rFonts w:ascii="Arial" w:eastAsia="Calibri" w:hAnsi="Arial" w:cs="Arial"/>
          <w:kern w:val="0"/>
          <w:sz w:val="24"/>
          <w:szCs w:val="24"/>
          <w14:ligatures w14:val="none"/>
        </w:rPr>
        <w:t xml:space="preserve"> does not grant an independent individual a right to affirmative action.</w:t>
      </w:r>
    </w:p>
    <w:p w14:paraId="42EBB241" w14:textId="77777777" w:rsidR="00DA0357" w:rsidRPr="009F38E3" w:rsidRDefault="00DA0357" w:rsidP="00DA0357">
      <w:pPr>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This study attempts to add to a more sophisticated knowledge of affirmative action's consequences on automatic rights in South Africa by investigating the legislative framework, historical background, and current obstacles associated with the practice. </w:t>
      </w:r>
      <w:proofErr w:type="gramStart"/>
      <w:r w:rsidRPr="009F38E3">
        <w:rPr>
          <w:rFonts w:ascii="Arial" w:eastAsia="Calibri" w:hAnsi="Arial" w:cs="Arial"/>
          <w:kern w:val="0"/>
          <w:sz w:val="24"/>
          <w:szCs w:val="24"/>
          <w14:ligatures w14:val="none"/>
        </w:rPr>
        <w:t>In order to</w:t>
      </w:r>
      <w:proofErr w:type="gramEnd"/>
      <w:r w:rsidRPr="009F38E3">
        <w:rPr>
          <w:rFonts w:ascii="Arial" w:eastAsia="Calibri" w:hAnsi="Arial" w:cs="Arial"/>
          <w:kern w:val="0"/>
          <w:sz w:val="24"/>
          <w:szCs w:val="24"/>
          <w14:ligatures w14:val="none"/>
        </w:rPr>
        <w:t xml:space="preserve"> guarantee that affirmative action plays a role as a catalyst for social development and justice in South Africa going ahead, it is necessary to cultivate communication, encourage responsibility, and implement evidence-based strategies.</w:t>
      </w:r>
    </w:p>
    <w:p w14:paraId="5D2DF000" w14:textId="29195C7B" w:rsidR="00DA0357" w:rsidRPr="009F38E3" w:rsidRDefault="00DA0357" w:rsidP="00EA52D2">
      <w:pPr>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The topic's delicacy and intricacy may present challenges for the investigation. The availability of legislative papers and case law may place restrictions on legal analysis. In addition, different sources may interpret affirmative action and automatic rights differently, producing conflicting viewpoints that may be difficult to resolve.</w:t>
      </w:r>
    </w:p>
    <w:p w14:paraId="465D1647" w14:textId="0B1AF2F4" w:rsidR="00DA0357" w:rsidRPr="009F38E3" w:rsidRDefault="00BB26DB" w:rsidP="00CB0751">
      <w:pPr>
        <w:pStyle w:val="Heading1"/>
        <w:rPr>
          <w:rFonts w:eastAsia="Calibri"/>
        </w:rPr>
      </w:pPr>
      <w:bookmarkStart w:id="33" w:name="_Toc189739267"/>
      <w:r w:rsidRPr="009F38E3">
        <w:rPr>
          <w:rFonts w:eastAsia="Calibri"/>
        </w:rPr>
        <w:t>1.5 Method</w:t>
      </w:r>
      <w:r w:rsidR="00DA0357" w:rsidRPr="009F38E3">
        <w:rPr>
          <w:rFonts w:eastAsia="Calibri"/>
        </w:rPr>
        <w:t xml:space="preserve"> / approach</w:t>
      </w:r>
      <w:bookmarkEnd w:id="33"/>
    </w:p>
    <w:p w14:paraId="7C45D5F1" w14:textId="77777777" w:rsidR="00E019C3" w:rsidRPr="00E019C3" w:rsidRDefault="00E019C3" w:rsidP="00E019C3">
      <w:pPr>
        <w:autoSpaceDN w:val="0"/>
        <w:spacing w:line="360" w:lineRule="auto"/>
        <w:jc w:val="both"/>
        <w:rPr>
          <w:rFonts w:ascii="Arial" w:eastAsia="Calibri" w:hAnsi="Arial" w:cs="Arial"/>
          <w:kern w:val="0"/>
          <w:sz w:val="24"/>
          <w:szCs w:val="24"/>
          <w:lang w:val="en-ZA"/>
          <w14:ligatures w14:val="none"/>
        </w:rPr>
      </w:pPr>
      <w:r w:rsidRPr="00E019C3">
        <w:rPr>
          <w:rFonts w:ascii="Arial" w:eastAsia="Calibri" w:hAnsi="Arial" w:cs="Arial"/>
          <w:kern w:val="0"/>
          <w:sz w:val="24"/>
          <w:szCs w:val="24"/>
          <w:lang w:val="en-ZA"/>
          <w14:ligatures w14:val="none"/>
        </w:rPr>
        <w:t xml:space="preserve">The desktop research technique employed throughout this research entails a methodical assessment and analysis of an assortment of published literature, legislation, and decisions made by courts. Therefore, as opposed to gathering empirical data through surveys, interviews, or expeditions, the desktop methodology is a qualitative research approach that depends on secondary sources including academic papers, legal precedent, legislation, and policy guidelines. A thorough examination of the laws governing affirmative action in South Africa is made possible </w:t>
      </w:r>
      <w:r w:rsidRPr="00E019C3">
        <w:rPr>
          <w:rFonts w:ascii="Arial" w:eastAsia="Calibri" w:hAnsi="Arial" w:cs="Arial"/>
          <w:kern w:val="0"/>
          <w:sz w:val="24"/>
          <w:szCs w:val="24"/>
          <w:lang w:val="en-ZA"/>
          <w14:ligatures w14:val="none"/>
        </w:rPr>
        <w:lastRenderedPageBreak/>
        <w:t>by this methodology, which also guarantees a thorough comprehension of its implementation and judicial interpretation.</w:t>
      </w:r>
    </w:p>
    <w:p w14:paraId="0113DC9C" w14:textId="77777777" w:rsidR="00350117" w:rsidRPr="00350117" w:rsidRDefault="00350117" w:rsidP="00350117">
      <w:pPr>
        <w:autoSpaceDN w:val="0"/>
        <w:spacing w:line="360" w:lineRule="auto"/>
        <w:jc w:val="both"/>
        <w:rPr>
          <w:rFonts w:ascii="Arial" w:eastAsia="Calibri" w:hAnsi="Arial" w:cs="Arial"/>
          <w:kern w:val="0"/>
          <w:sz w:val="24"/>
          <w:szCs w:val="24"/>
          <w:lang w:val="en-ZA"/>
          <w14:ligatures w14:val="none"/>
        </w:rPr>
      </w:pPr>
      <w:r w:rsidRPr="00350117">
        <w:rPr>
          <w:rFonts w:ascii="Arial" w:eastAsia="Calibri" w:hAnsi="Arial" w:cs="Arial"/>
          <w:kern w:val="0"/>
          <w:sz w:val="24"/>
          <w:szCs w:val="24"/>
          <w:lang w:val="en-ZA"/>
          <w14:ligatures w14:val="none"/>
        </w:rPr>
        <w:t xml:space="preserve">Desktop research is especially well-suited for this research since it concentrates on the textual and legal examination of reliable sources, in contrast to comparative approaches that include cross-jurisdictional analysis or empirical methodologies that depend on data gathering. </w:t>
      </w:r>
      <w:proofErr w:type="gramStart"/>
      <w:r w:rsidRPr="00350117">
        <w:rPr>
          <w:rFonts w:ascii="Arial" w:eastAsia="Calibri" w:hAnsi="Arial" w:cs="Arial"/>
          <w:kern w:val="0"/>
          <w:sz w:val="24"/>
          <w:szCs w:val="24"/>
          <w:lang w:val="en-ZA"/>
          <w14:ligatures w14:val="none"/>
        </w:rPr>
        <w:t>In order to</w:t>
      </w:r>
      <w:proofErr w:type="gramEnd"/>
      <w:r w:rsidRPr="00350117">
        <w:rPr>
          <w:rFonts w:ascii="Arial" w:eastAsia="Calibri" w:hAnsi="Arial" w:cs="Arial"/>
          <w:kern w:val="0"/>
          <w:sz w:val="24"/>
          <w:szCs w:val="24"/>
          <w:lang w:val="en-ZA"/>
          <w14:ligatures w14:val="none"/>
        </w:rPr>
        <w:t xml:space="preserve"> discover patterns and principles in affirmative action jurisprudence, the desktop methodology enables a thorough and organized assessment of legal materials, as the study intends to investigate statutory provisions, regulatory frameworks, and judicial decisions.</w:t>
      </w:r>
    </w:p>
    <w:p w14:paraId="4DD5E7E4" w14:textId="42A13257" w:rsidR="00350117" w:rsidRPr="00350117" w:rsidRDefault="00350117" w:rsidP="00350117">
      <w:pPr>
        <w:autoSpaceDN w:val="0"/>
        <w:spacing w:line="360" w:lineRule="auto"/>
        <w:jc w:val="both"/>
        <w:rPr>
          <w:rFonts w:ascii="Arial" w:eastAsia="Calibri" w:hAnsi="Arial" w:cs="Arial"/>
          <w:kern w:val="0"/>
          <w:sz w:val="24"/>
          <w:szCs w:val="24"/>
          <w:lang w:val="en-ZA"/>
          <w14:ligatures w14:val="none"/>
        </w:rPr>
      </w:pPr>
      <w:r w:rsidRPr="00350117">
        <w:rPr>
          <w:rFonts w:ascii="Arial" w:eastAsia="Calibri" w:hAnsi="Arial" w:cs="Arial"/>
          <w:kern w:val="0"/>
          <w:sz w:val="24"/>
          <w:szCs w:val="24"/>
          <w:lang w:val="en-ZA"/>
          <w14:ligatures w14:val="none"/>
        </w:rPr>
        <w:t xml:space="preserve">The </w:t>
      </w:r>
      <w:r w:rsidRPr="00350117">
        <w:rPr>
          <w:rFonts w:ascii="Arial" w:eastAsia="Calibri" w:hAnsi="Arial" w:cs="Arial"/>
          <w:i/>
          <w:iCs/>
          <w:kern w:val="0"/>
          <w:sz w:val="24"/>
          <w:szCs w:val="24"/>
          <w:lang w:val="en-ZA"/>
          <w14:ligatures w14:val="none"/>
        </w:rPr>
        <w:t>Employment Equity Act</w:t>
      </w:r>
      <w:r w:rsidRPr="00350117">
        <w:rPr>
          <w:rFonts w:ascii="Arial" w:eastAsia="Calibri" w:hAnsi="Arial" w:cs="Arial"/>
          <w:kern w:val="0"/>
          <w:sz w:val="24"/>
          <w:szCs w:val="24"/>
          <w:lang w:val="en-ZA"/>
          <w14:ligatures w14:val="none"/>
        </w:rPr>
        <w:t>,</w:t>
      </w:r>
      <w:r>
        <w:rPr>
          <w:rStyle w:val="FootnoteReference"/>
          <w:rFonts w:ascii="Arial" w:eastAsia="Calibri" w:hAnsi="Arial" w:cs="Arial"/>
          <w:kern w:val="0"/>
          <w:sz w:val="24"/>
          <w:szCs w:val="24"/>
          <w:lang w:val="en-ZA"/>
          <w14:ligatures w14:val="none"/>
        </w:rPr>
        <w:footnoteReference w:id="35"/>
      </w:r>
      <w:r w:rsidRPr="00350117">
        <w:rPr>
          <w:rFonts w:ascii="Arial" w:eastAsia="Calibri" w:hAnsi="Arial" w:cs="Arial"/>
          <w:kern w:val="0"/>
          <w:sz w:val="24"/>
          <w:szCs w:val="24"/>
          <w:lang w:val="en-ZA"/>
          <w14:ligatures w14:val="none"/>
        </w:rPr>
        <w:t xml:space="preserve"> the </w:t>
      </w:r>
      <w:r w:rsidRPr="00350117">
        <w:rPr>
          <w:rFonts w:ascii="Arial" w:eastAsia="Calibri" w:hAnsi="Arial" w:cs="Arial"/>
          <w:i/>
          <w:iCs/>
          <w:kern w:val="0"/>
          <w:sz w:val="24"/>
          <w:szCs w:val="24"/>
          <w:lang w:val="en-ZA"/>
          <w14:ligatures w14:val="none"/>
        </w:rPr>
        <w:t>Broad-Based Black Economic Empowerment Act</w:t>
      </w:r>
      <w:r w:rsidRPr="00350117">
        <w:rPr>
          <w:rFonts w:ascii="Arial" w:eastAsia="Calibri" w:hAnsi="Arial" w:cs="Arial"/>
          <w:kern w:val="0"/>
          <w:sz w:val="24"/>
          <w:szCs w:val="24"/>
          <w:lang w:val="en-ZA"/>
          <w14:ligatures w14:val="none"/>
        </w:rPr>
        <w:t>,</w:t>
      </w:r>
      <w:r w:rsidR="00F62EA9">
        <w:rPr>
          <w:rStyle w:val="FootnoteReference"/>
          <w:rFonts w:ascii="Arial" w:eastAsia="Calibri" w:hAnsi="Arial" w:cs="Arial"/>
          <w:kern w:val="0"/>
          <w:sz w:val="24"/>
          <w:szCs w:val="24"/>
          <w:lang w:val="en-ZA"/>
          <w14:ligatures w14:val="none"/>
        </w:rPr>
        <w:footnoteReference w:id="36"/>
      </w:r>
      <w:r w:rsidRPr="00350117">
        <w:rPr>
          <w:rFonts w:ascii="Arial" w:eastAsia="Calibri" w:hAnsi="Arial" w:cs="Arial"/>
          <w:kern w:val="0"/>
          <w:sz w:val="24"/>
          <w:szCs w:val="24"/>
          <w:lang w:val="en-ZA"/>
          <w14:ligatures w14:val="none"/>
        </w:rPr>
        <w:t xml:space="preserve"> and the</w:t>
      </w:r>
      <w:r>
        <w:rPr>
          <w:rFonts w:ascii="Arial" w:eastAsia="Calibri" w:hAnsi="Arial" w:cs="Arial"/>
          <w:kern w:val="0"/>
          <w:sz w:val="24"/>
          <w:szCs w:val="24"/>
          <w:lang w:val="en-ZA"/>
          <w14:ligatures w14:val="none"/>
        </w:rPr>
        <w:t xml:space="preserve"> </w:t>
      </w:r>
      <w:r w:rsidRPr="00350117">
        <w:rPr>
          <w:rFonts w:ascii="Arial" w:eastAsia="Calibri" w:hAnsi="Arial" w:cs="Arial"/>
          <w:i/>
          <w:iCs/>
          <w:kern w:val="0"/>
          <w:sz w:val="24"/>
          <w:szCs w:val="24"/>
          <w:lang w:val="en-ZA"/>
          <w14:ligatures w14:val="none"/>
        </w:rPr>
        <w:t>Constitution</w:t>
      </w:r>
      <w:r>
        <w:rPr>
          <w:rStyle w:val="FootnoteReference"/>
          <w:rFonts w:ascii="Arial" w:eastAsia="Calibri" w:hAnsi="Arial" w:cs="Arial"/>
          <w:i/>
          <w:iCs/>
          <w:kern w:val="0"/>
          <w:sz w:val="24"/>
          <w:szCs w:val="24"/>
          <w:lang w:val="en-ZA"/>
          <w14:ligatures w14:val="none"/>
        </w:rPr>
        <w:footnoteReference w:id="37"/>
      </w:r>
      <w:r w:rsidRPr="00350117">
        <w:rPr>
          <w:rFonts w:ascii="Arial" w:eastAsia="Calibri" w:hAnsi="Arial" w:cs="Arial"/>
          <w:kern w:val="0"/>
          <w:sz w:val="24"/>
          <w:szCs w:val="24"/>
          <w:lang w:val="en-ZA"/>
          <w14:ligatures w14:val="none"/>
        </w:rPr>
        <w:t xml:space="preserve"> which serve as the legal cornerstones of affirmative action policies are the main sources used in this study. The analysis of pertinent case law will also look at how the judiciary has interpreted affirmative action policies and how that has affected hiring decisions. To find trends in legal reasoning and evaluate how well affirmative action laws adhere to constitutional principles, the study will use textual analysis of legislative texts and judicial decisions.</w:t>
      </w:r>
    </w:p>
    <w:p w14:paraId="1D5B62D2" w14:textId="5FF8A668" w:rsidR="00850C35" w:rsidRPr="00285C49" w:rsidRDefault="00F62EA9" w:rsidP="00285C49">
      <w:pPr>
        <w:autoSpaceDN w:val="0"/>
        <w:spacing w:line="360" w:lineRule="auto"/>
        <w:jc w:val="both"/>
        <w:rPr>
          <w:rFonts w:ascii="Arial" w:eastAsia="Calibri" w:hAnsi="Arial" w:cs="Arial"/>
          <w:kern w:val="0"/>
          <w:sz w:val="24"/>
          <w:szCs w:val="24"/>
          <w:lang w:val="en-ZA"/>
          <w14:ligatures w14:val="none"/>
        </w:rPr>
      </w:pPr>
      <w:r w:rsidRPr="00F62EA9">
        <w:rPr>
          <w:rFonts w:ascii="Arial" w:eastAsia="Calibri" w:hAnsi="Arial" w:cs="Arial"/>
          <w:kern w:val="0"/>
          <w:sz w:val="24"/>
          <w:szCs w:val="24"/>
          <w:lang w:val="en-ZA"/>
          <w14:ligatures w14:val="none"/>
        </w:rPr>
        <w:t>Chapter 2, which gives a summary of the history of affirmative action, is more of a contextual underpinning than a methodological framework. Although it charts the development of employment equity regulations, it supplements the more comprehensive legal analysis carried out in later chapters rather than serving as an independent research methodology.</w:t>
      </w:r>
    </w:p>
    <w:p w14:paraId="62E64DA5" w14:textId="093AA571" w:rsidR="00DA0357" w:rsidRPr="009F38E3" w:rsidRDefault="00BB26DB" w:rsidP="00CB0751">
      <w:pPr>
        <w:pStyle w:val="Heading1"/>
        <w:rPr>
          <w:rFonts w:eastAsia="Calibri"/>
        </w:rPr>
      </w:pPr>
      <w:bookmarkStart w:id="34" w:name="_Toc189739268"/>
      <w:r w:rsidRPr="00850C35">
        <w:rPr>
          <w:rFonts w:eastAsia="Calibri"/>
        </w:rPr>
        <w:t>1.6 Chapter outlines</w:t>
      </w:r>
      <w:bookmarkEnd w:id="34"/>
    </w:p>
    <w:p w14:paraId="54FF9673" w14:textId="09466410" w:rsidR="00285C49" w:rsidRDefault="002E6B8C" w:rsidP="00850C35">
      <w:pPr>
        <w:spacing w:line="360" w:lineRule="auto"/>
        <w:jc w:val="both"/>
        <w:rPr>
          <w:rFonts w:ascii="Arial" w:hAnsi="Arial" w:cs="Arial"/>
          <w:b/>
          <w:bCs/>
          <w:sz w:val="24"/>
          <w:szCs w:val="24"/>
        </w:rPr>
      </w:pPr>
      <w:r w:rsidRPr="00850C35">
        <w:rPr>
          <w:rFonts w:ascii="Arial" w:hAnsi="Arial" w:cs="Arial"/>
          <w:b/>
          <w:bCs/>
          <w:sz w:val="24"/>
          <w:szCs w:val="24"/>
        </w:rPr>
        <w:t xml:space="preserve">Chapter </w:t>
      </w:r>
      <w:proofErr w:type="gramStart"/>
      <w:r w:rsidRPr="00850C35">
        <w:rPr>
          <w:rFonts w:ascii="Arial" w:hAnsi="Arial" w:cs="Arial"/>
          <w:b/>
          <w:bCs/>
          <w:sz w:val="24"/>
          <w:szCs w:val="24"/>
        </w:rPr>
        <w:t>2</w:t>
      </w:r>
      <w:r w:rsidR="00285C49">
        <w:rPr>
          <w:rFonts w:ascii="Arial" w:hAnsi="Arial" w:cs="Arial"/>
          <w:b/>
          <w:bCs/>
          <w:sz w:val="24"/>
          <w:szCs w:val="24"/>
        </w:rPr>
        <w:t>:The</w:t>
      </w:r>
      <w:proofErr w:type="gramEnd"/>
      <w:r w:rsidR="00285C49">
        <w:rPr>
          <w:rFonts w:ascii="Arial" w:hAnsi="Arial" w:cs="Arial"/>
          <w:b/>
          <w:bCs/>
          <w:sz w:val="24"/>
          <w:szCs w:val="24"/>
        </w:rPr>
        <w:t xml:space="preserve"> historical origins and legal foundations of affirmative action in South Africa</w:t>
      </w:r>
    </w:p>
    <w:p w14:paraId="5193F4D1" w14:textId="4258B3DB" w:rsidR="002E6B8C" w:rsidRPr="00850C35" w:rsidRDefault="00285C49" w:rsidP="00850C35">
      <w:pPr>
        <w:spacing w:line="360" w:lineRule="auto"/>
        <w:jc w:val="both"/>
        <w:rPr>
          <w:rFonts w:ascii="Arial" w:hAnsi="Arial" w:cs="Arial"/>
          <w:sz w:val="24"/>
          <w:szCs w:val="24"/>
          <w:lang w:val="en-ZA"/>
        </w:rPr>
      </w:pPr>
      <w:r>
        <w:rPr>
          <w:rFonts w:ascii="Arial" w:hAnsi="Arial" w:cs="Arial"/>
          <w:sz w:val="24"/>
          <w:szCs w:val="24"/>
        </w:rPr>
        <w:t>This chapter</w:t>
      </w:r>
      <w:r w:rsidR="002E6B8C" w:rsidRPr="00850C35">
        <w:rPr>
          <w:rFonts w:ascii="Arial" w:hAnsi="Arial" w:cs="Arial"/>
          <w:sz w:val="24"/>
          <w:szCs w:val="24"/>
          <w:lang w:val="en-ZA"/>
        </w:rPr>
        <w:t xml:space="preserve"> examines t</w:t>
      </w:r>
      <w:r w:rsidR="002E6B8C" w:rsidRPr="00850C35">
        <w:rPr>
          <w:rFonts w:ascii="Arial" w:hAnsi="Arial" w:cs="Arial"/>
          <w:sz w:val="24"/>
          <w:szCs w:val="24"/>
          <w:lang w:val="en-ZA"/>
        </w:rPr>
        <w:t xml:space="preserve">he historical and legal underpinnings of affirmative action which also traces the origins of workplace inequality through colonialism and statutes from the apartheid era, including the Job Reservation rules and the Master and Servant laws. </w:t>
      </w:r>
      <w:proofErr w:type="gramStart"/>
      <w:r w:rsidR="002E6B8C" w:rsidRPr="00850C35">
        <w:rPr>
          <w:rFonts w:ascii="Arial" w:hAnsi="Arial" w:cs="Arial"/>
          <w:sz w:val="24"/>
          <w:szCs w:val="24"/>
          <w:lang w:val="en-ZA"/>
        </w:rPr>
        <w:t>In order to</w:t>
      </w:r>
      <w:proofErr w:type="gramEnd"/>
      <w:r w:rsidR="002E6B8C" w:rsidRPr="00850C35">
        <w:rPr>
          <w:rFonts w:ascii="Arial" w:hAnsi="Arial" w:cs="Arial"/>
          <w:sz w:val="24"/>
          <w:szCs w:val="24"/>
          <w:lang w:val="en-ZA"/>
        </w:rPr>
        <w:t xml:space="preserve"> address structural inequities, the chapter also assesses post-</w:t>
      </w:r>
      <w:r w:rsidR="002E6B8C" w:rsidRPr="00850C35">
        <w:rPr>
          <w:rFonts w:ascii="Arial" w:hAnsi="Arial" w:cs="Arial"/>
          <w:sz w:val="24"/>
          <w:szCs w:val="24"/>
          <w:lang w:val="en-ZA"/>
        </w:rPr>
        <w:lastRenderedPageBreak/>
        <w:t xml:space="preserve">constitutional legislation initiatives such as the </w:t>
      </w:r>
      <w:r w:rsidR="002E6B8C" w:rsidRPr="00850C35">
        <w:rPr>
          <w:rFonts w:ascii="Arial" w:hAnsi="Arial" w:cs="Arial"/>
          <w:i/>
          <w:iCs/>
          <w:sz w:val="24"/>
          <w:szCs w:val="24"/>
          <w:lang w:val="en-ZA"/>
        </w:rPr>
        <w:t>Employment Equity Act</w:t>
      </w:r>
      <w:r w:rsidR="002E6B8C" w:rsidRPr="00850C35">
        <w:rPr>
          <w:rFonts w:ascii="Arial" w:hAnsi="Arial" w:cs="Arial"/>
          <w:sz w:val="24"/>
          <w:szCs w:val="24"/>
          <w:lang w:val="en-ZA"/>
        </w:rPr>
        <w:t xml:space="preserve"> and the </w:t>
      </w:r>
      <w:r w:rsidR="002E6B8C" w:rsidRPr="00850C35">
        <w:rPr>
          <w:rFonts w:ascii="Arial" w:hAnsi="Arial" w:cs="Arial"/>
          <w:i/>
          <w:iCs/>
          <w:sz w:val="24"/>
          <w:szCs w:val="24"/>
          <w:lang w:val="en-ZA"/>
        </w:rPr>
        <w:t>Broad-Based Black Economic Empowerment Act</w:t>
      </w:r>
      <w:r w:rsidR="002E6B8C" w:rsidRPr="00850C35">
        <w:rPr>
          <w:rFonts w:ascii="Arial" w:hAnsi="Arial" w:cs="Arial"/>
          <w:sz w:val="24"/>
          <w:szCs w:val="24"/>
          <w:lang w:val="en-ZA"/>
        </w:rPr>
        <w:t>. By making a distinction between formal and substantive equality, it highlights the latter as the cornerstone of affirmative action and its function in attaining fair results as opposed to merely equal treatment.</w:t>
      </w:r>
    </w:p>
    <w:p w14:paraId="43C84726" w14:textId="6ACA38DF" w:rsidR="00285C49" w:rsidRDefault="002E6B8C" w:rsidP="00850C35">
      <w:pPr>
        <w:spacing w:line="360" w:lineRule="auto"/>
        <w:jc w:val="both"/>
        <w:rPr>
          <w:rFonts w:ascii="Arial" w:hAnsi="Arial" w:cs="Arial"/>
          <w:b/>
          <w:bCs/>
          <w:sz w:val="24"/>
          <w:szCs w:val="24"/>
          <w:lang w:val="en-ZA"/>
        </w:rPr>
      </w:pPr>
      <w:r w:rsidRPr="00850C35">
        <w:rPr>
          <w:rFonts w:ascii="Arial" w:hAnsi="Arial" w:cs="Arial"/>
          <w:b/>
          <w:bCs/>
          <w:sz w:val="24"/>
          <w:szCs w:val="24"/>
          <w:lang w:val="en-ZA"/>
        </w:rPr>
        <w:t>Chapter 3</w:t>
      </w:r>
      <w:r w:rsidR="00285C49">
        <w:rPr>
          <w:rFonts w:ascii="Arial" w:hAnsi="Arial" w:cs="Arial"/>
          <w:b/>
          <w:bCs/>
          <w:sz w:val="24"/>
          <w:szCs w:val="24"/>
          <w:lang w:val="en-ZA"/>
        </w:rPr>
        <w:t>: Legal requirements for the implementation and non-implementation of affirmative action: Ensuring lawful compliance by employers</w:t>
      </w:r>
    </w:p>
    <w:p w14:paraId="46AFD0CC" w14:textId="36B1A47B" w:rsidR="002E6B8C" w:rsidRPr="00850C35" w:rsidRDefault="00285C49" w:rsidP="00850C35">
      <w:pPr>
        <w:spacing w:line="360" w:lineRule="auto"/>
        <w:jc w:val="both"/>
        <w:rPr>
          <w:rFonts w:ascii="Arial" w:hAnsi="Arial" w:cs="Arial"/>
          <w:sz w:val="24"/>
          <w:szCs w:val="24"/>
          <w:lang w:val="en-ZA"/>
        </w:rPr>
      </w:pPr>
      <w:r>
        <w:rPr>
          <w:rFonts w:ascii="Arial" w:hAnsi="Arial" w:cs="Arial"/>
          <w:sz w:val="24"/>
          <w:szCs w:val="24"/>
          <w:lang w:val="en-ZA"/>
        </w:rPr>
        <w:t>This chapter</w:t>
      </w:r>
      <w:r w:rsidR="002E6B8C" w:rsidRPr="00850C35">
        <w:rPr>
          <w:rFonts w:ascii="Arial" w:hAnsi="Arial" w:cs="Arial"/>
          <w:sz w:val="24"/>
          <w:szCs w:val="24"/>
          <w:lang w:val="en-ZA"/>
        </w:rPr>
        <w:t xml:space="preserve"> examines t</w:t>
      </w:r>
      <w:r w:rsidR="002E6B8C" w:rsidRPr="00850C35">
        <w:rPr>
          <w:rFonts w:ascii="Arial" w:hAnsi="Arial" w:cs="Arial"/>
          <w:sz w:val="24"/>
          <w:szCs w:val="24"/>
          <w:lang w:val="en-ZA"/>
        </w:rPr>
        <w:t xml:space="preserve">he legislative prerequisites for implementing affirmative action, which also outlines the duties employers have under the Employment equality Act, such as consultation, creating employment equality plans, and promoting equitable representation. The chapter examines the judicial norms of reason, proportionality, and justice that guarantee affirmative action policies are consistent with constitutional precepts. Challenges including defining "suitably qualified" candidates, separating illegal quotas from numerical targets, and striking a balance between group-based preferences and individual merit are also covered. We examine important instances such as </w:t>
      </w:r>
      <w:r w:rsidR="002E6B8C" w:rsidRPr="00850C35">
        <w:rPr>
          <w:rFonts w:ascii="Arial" w:hAnsi="Arial" w:cs="Arial"/>
          <w:i/>
          <w:iCs/>
          <w:sz w:val="24"/>
          <w:szCs w:val="24"/>
          <w:lang w:val="en-ZA"/>
        </w:rPr>
        <w:t>South African Police Service v Solidarity obo Barnard</w:t>
      </w:r>
      <w:r w:rsidR="002E6B8C" w:rsidRPr="00850C35">
        <w:rPr>
          <w:rFonts w:ascii="Arial" w:hAnsi="Arial" w:cs="Arial"/>
          <w:sz w:val="24"/>
          <w:szCs w:val="24"/>
          <w:lang w:val="en-ZA"/>
        </w:rPr>
        <w:t xml:space="preserve"> to show how courts interpret and protect affirmative action policies.</w:t>
      </w:r>
    </w:p>
    <w:p w14:paraId="03233184" w14:textId="38E65A86" w:rsidR="00285C49" w:rsidRDefault="007F1881" w:rsidP="007F1881">
      <w:pPr>
        <w:spacing w:line="360" w:lineRule="auto"/>
        <w:jc w:val="both"/>
        <w:rPr>
          <w:rFonts w:ascii="Arial" w:hAnsi="Arial" w:cs="Arial"/>
          <w:b/>
          <w:bCs/>
          <w:sz w:val="24"/>
          <w:szCs w:val="24"/>
          <w:lang w:val="en-ZA"/>
        </w:rPr>
      </w:pPr>
      <w:r w:rsidRPr="007F1881">
        <w:rPr>
          <w:rFonts w:ascii="Arial" w:hAnsi="Arial" w:cs="Arial"/>
          <w:b/>
          <w:bCs/>
          <w:sz w:val="24"/>
          <w:szCs w:val="24"/>
          <w:lang w:val="en-ZA"/>
        </w:rPr>
        <w:t>Chapter 4</w:t>
      </w:r>
      <w:r w:rsidR="00285C49">
        <w:rPr>
          <w:rFonts w:ascii="Arial" w:hAnsi="Arial" w:cs="Arial"/>
          <w:b/>
          <w:bCs/>
          <w:sz w:val="24"/>
          <w:szCs w:val="24"/>
          <w:lang w:val="en-ZA"/>
        </w:rPr>
        <w:t>: Conclusion and recommendations</w:t>
      </w:r>
    </w:p>
    <w:p w14:paraId="226AB9D5" w14:textId="2FD965B9" w:rsidR="007F1881" w:rsidRPr="007F1881" w:rsidRDefault="00285C49" w:rsidP="007F1881">
      <w:pPr>
        <w:spacing w:line="360" w:lineRule="auto"/>
        <w:jc w:val="both"/>
        <w:rPr>
          <w:rFonts w:ascii="Arial" w:hAnsi="Arial" w:cs="Arial"/>
          <w:sz w:val="24"/>
          <w:szCs w:val="24"/>
          <w:lang w:val="en-ZA"/>
        </w:rPr>
      </w:pPr>
      <w:r w:rsidRPr="00285C49">
        <w:rPr>
          <w:rFonts w:ascii="Arial" w:hAnsi="Arial" w:cs="Arial"/>
          <w:sz w:val="24"/>
          <w:szCs w:val="24"/>
          <w:lang w:val="en-ZA"/>
        </w:rPr>
        <w:t>This chapter</w:t>
      </w:r>
      <w:r w:rsidR="007F1881" w:rsidRPr="007F1881">
        <w:rPr>
          <w:rFonts w:ascii="Arial" w:hAnsi="Arial" w:cs="Arial"/>
          <w:sz w:val="24"/>
          <w:szCs w:val="24"/>
          <w:lang w:val="en-ZA"/>
        </w:rPr>
        <w:t xml:space="preserve"> summarizes the outcomes of the research and restates affirmative action's constitutionally required function as a means of addressing past injustices and advancing substantive equality. The chapter further reemphasizes the significance of judicial scrutiny </w:t>
      </w:r>
      <w:proofErr w:type="gramStart"/>
      <w:r w:rsidR="007F1881" w:rsidRPr="007F1881">
        <w:rPr>
          <w:rFonts w:ascii="Arial" w:hAnsi="Arial" w:cs="Arial"/>
          <w:sz w:val="24"/>
          <w:szCs w:val="24"/>
          <w:lang w:val="en-ZA"/>
        </w:rPr>
        <w:t>in order to</w:t>
      </w:r>
      <w:proofErr w:type="gramEnd"/>
      <w:r w:rsidR="007F1881" w:rsidRPr="007F1881">
        <w:rPr>
          <w:rFonts w:ascii="Arial" w:hAnsi="Arial" w:cs="Arial"/>
          <w:sz w:val="24"/>
          <w:szCs w:val="24"/>
          <w:lang w:val="en-ZA"/>
        </w:rPr>
        <w:t xml:space="preserve"> preserve proportionality, equity, and avoid reverse discrimination. </w:t>
      </w:r>
      <w:proofErr w:type="gramStart"/>
      <w:r w:rsidR="007F1881" w:rsidRPr="007F1881">
        <w:rPr>
          <w:rFonts w:ascii="Arial" w:hAnsi="Arial" w:cs="Arial"/>
          <w:sz w:val="24"/>
          <w:szCs w:val="24"/>
          <w:lang w:val="en-ZA"/>
        </w:rPr>
        <w:t>In order to</w:t>
      </w:r>
      <w:proofErr w:type="gramEnd"/>
      <w:r w:rsidR="007F1881" w:rsidRPr="007F1881">
        <w:rPr>
          <w:rFonts w:ascii="Arial" w:hAnsi="Arial" w:cs="Arial"/>
          <w:sz w:val="24"/>
          <w:szCs w:val="24"/>
          <w:lang w:val="en-ZA"/>
        </w:rPr>
        <w:t xml:space="preserve"> accomplish transformative aims, it provides employers and legislators with useful guidelines, such as maintaining transparency, reviewing affirmative action policies on a regular basis, and adhering to constitutional principles. </w:t>
      </w:r>
    </w:p>
    <w:p w14:paraId="2F3A7F6F" w14:textId="77777777" w:rsidR="002E6B8C" w:rsidRPr="002E6B8C" w:rsidRDefault="002E6B8C" w:rsidP="002E6B8C">
      <w:pPr>
        <w:spacing w:line="360" w:lineRule="auto"/>
        <w:jc w:val="both"/>
        <w:rPr>
          <w:rFonts w:ascii="Arial" w:hAnsi="Arial" w:cs="Arial"/>
          <w:sz w:val="24"/>
          <w:szCs w:val="24"/>
          <w:lang w:val="en-ZA"/>
        </w:rPr>
      </w:pPr>
    </w:p>
    <w:p w14:paraId="577D51ED" w14:textId="3AEAC0FE" w:rsidR="00664603" w:rsidRPr="00CB0751" w:rsidRDefault="00664603" w:rsidP="00CB0751">
      <w:pPr>
        <w:pStyle w:val="Heading1"/>
        <w:jc w:val="center"/>
        <w:rPr>
          <w:rFonts w:eastAsia="Calibri"/>
          <w:kern w:val="0"/>
          <w:sz w:val="28"/>
          <w:szCs w:val="28"/>
          <w14:ligatures w14:val="none"/>
        </w:rPr>
      </w:pPr>
      <w:r w:rsidRPr="009F38E3">
        <w:rPr>
          <w:rFonts w:eastAsia="Calibri"/>
          <w:kern w:val="0"/>
          <w:szCs w:val="24"/>
          <w14:ligatures w14:val="none"/>
        </w:rPr>
        <w:br w:type="page"/>
      </w:r>
      <w:bookmarkStart w:id="35" w:name="_Toc189739269"/>
      <w:r w:rsidRPr="00CB0751">
        <w:rPr>
          <w:sz w:val="28"/>
          <w:szCs w:val="28"/>
        </w:rPr>
        <w:lastRenderedPageBreak/>
        <w:t>CHAPTER 2</w:t>
      </w:r>
      <w:bookmarkEnd w:id="35"/>
    </w:p>
    <w:p w14:paraId="4E40D0AE" w14:textId="303B1A28" w:rsidR="00664603" w:rsidRPr="00CB0751" w:rsidRDefault="00570552" w:rsidP="00CB0751">
      <w:pPr>
        <w:pStyle w:val="Heading1"/>
        <w:jc w:val="center"/>
        <w:rPr>
          <w:sz w:val="28"/>
          <w:szCs w:val="28"/>
        </w:rPr>
      </w:pPr>
      <w:bookmarkStart w:id="36" w:name="_Toc189739270"/>
      <w:r w:rsidRPr="00CB0751">
        <w:rPr>
          <w:sz w:val="28"/>
          <w:szCs w:val="28"/>
        </w:rPr>
        <w:t>THE HISTORICAL ORIGINS AND LEGAL FOUNDATIONS OF AFFIRMATIVE ACTION IN SOUTH AFRICA</w:t>
      </w:r>
      <w:bookmarkEnd w:id="36"/>
    </w:p>
    <w:p w14:paraId="2792764F" w14:textId="77777777" w:rsidR="00664603" w:rsidRPr="009F38E3" w:rsidRDefault="00664603" w:rsidP="00CB0751">
      <w:pPr>
        <w:pStyle w:val="Heading1"/>
      </w:pPr>
      <w:bookmarkStart w:id="37" w:name="_Toc189739271"/>
      <w:r w:rsidRPr="009F38E3">
        <w:t>2.1 Introduction</w:t>
      </w:r>
      <w:bookmarkEnd w:id="37"/>
    </w:p>
    <w:p w14:paraId="38D17909"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Affirmative action in South Africa has its roots in the country's history of systemic oppression, discrimination, and exclusion, which pervaded all parts of society, particularly the labour market. During the colonial and apartheid eras, legislative and institutional frameworks actively excluded Black, Indian, and Coloured South Africans, as well as women of all races, resulting in a deeply uneven labour market. Policies such as job reservation, salary discrimination, and exclusion from </w:t>
      </w:r>
      <w:proofErr w:type="gramStart"/>
      <w:r w:rsidRPr="009F38E3">
        <w:rPr>
          <w:rFonts w:ascii="Arial" w:hAnsi="Arial" w:cs="Arial"/>
          <w:sz w:val="24"/>
          <w:szCs w:val="24"/>
        </w:rPr>
        <w:t>particular areas</w:t>
      </w:r>
      <w:proofErr w:type="gramEnd"/>
      <w:r w:rsidRPr="009F38E3">
        <w:rPr>
          <w:rFonts w:ascii="Arial" w:hAnsi="Arial" w:cs="Arial"/>
          <w:sz w:val="24"/>
          <w:szCs w:val="24"/>
        </w:rPr>
        <w:t xml:space="preserve"> of employment restricted access to opportunities based on race and gender, resulting in a profoundly segregated workforce.</w:t>
      </w:r>
    </w:p>
    <w:p w14:paraId="571D1AEC" w14:textId="2A128C71"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Under apartheid, legislation such as the </w:t>
      </w:r>
      <w:r w:rsidRPr="009F38E3">
        <w:rPr>
          <w:rFonts w:ascii="Arial" w:hAnsi="Arial" w:cs="Arial"/>
          <w:i/>
          <w:iCs/>
          <w:sz w:val="24"/>
          <w:szCs w:val="24"/>
        </w:rPr>
        <w:t>Industrial Conciliation Act</w:t>
      </w:r>
      <w:r w:rsidRPr="009F38E3">
        <w:rPr>
          <w:rFonts w:ascii="Arial" w:hAnsi="Arial" w:cs="Arial"/>
          <w:i/>
          <w:iCs/>
          <w:sz w:val="24"/>
          <w:szCs w:val="24"/>
          <w:vertAlign w:val="superscript"/>
        </w:rPr>
        <w:footnoteReference w:id="38"/>
      </w:r>
      <w:r w:rsidRPr="009F38E3">
        <w:rPr>
          <w:rFonts w:ascii="Arial" w:hAnsi="Arial" w:cs="Arial"/>
          <w:sz w:val="24"/>
          <w:szCs w:val="24"/>
        </w:rPr>
        <w:t xml:space="preserve"> explicitly prohibited Black South Africans from skilled employment, reserving them for white workers and creating a racial hierarchy that perpetuated white economic power. This was exacerbated by the </w:t>
      </w:r>
      <w:r w:rsidRPr="009F38E3">
        <w:rPr>
          <w:rFonts w:ascii="Arial" w:hAnsi="Arial" w:cs="Arial"/>
          <w:i/>
          <w:iCs/>
          <w:sz w:val="24"/>
          <w:szCs w:val="24"/>
        </w:rPr>
        <w:t xml:space="preserve">Colour Bar </w:t>
      </w:r>
      <w:r w:rsidR="00635F48" w:rsidRPr="009F38E3">
        <w:rPr>
          <w:rFonts w:ascii="Arial" w:hAnsi="Arial" w:cs="Arial"/>
          <w:i/>
          <w:iCs/>
          <w:sz w:val="24"/>
          <w:szCs w:val="24"/>
        </w:rPr>
        <w:t>Policy</w:t>
      </w:r>
      <w:r w:rsidRPr="009F38E3">
        <w:rPr>
          <w:rFonts w:ascii="Arial" w:hAnsi="Arial" w:cs="Arial"/>
          <w:sz w:val="24"/>
          <w:szCs w:val="24"/>
        </w:rPr>
        <w:t>,</w:t>
      </w:r>
      <w:r w:rsidRPr="009F38E3">
        <w:rPr>
          <w:rFonts w:ascii="Arial" w:hAnsi="Arial" w:cs="Arial"/>
          <w:sz w:val="24"/>
          <w:szCs w:val="24"/>
          <w:vertAlign w:val="superscript"/>
        </w:rPr>
        <w:footnoteReference w:id="39"/>
      </w:r>
      <w:r w:rsidRPr="009F38E3">
        <w:rPr>
          <w:rFonts w:ascii="Arial" w:hAnsi="Arial" w:cs="Arial"/>
          <w:sz w:val="24"/>
          <w:szCs w:val="24"/>
        </w:rPr>
        <w:t xml:space="preserve"> which limited Black people's access to high-paying jobs and essentially codified a racial division of labour. Gender inequality was entrenched alongside racial restrictions, as women were frequently relegated to low-wage and hazardous jobs, notably in the domestic and informal sectors. </w:t>
      </w:r>
    </w:p>
    <w:p w14:paraId="6AD0EA19" w14:textId="00C0F3C4" w:rsidR="00664603" w:rsidRPr="00BA6AF4" w:rsidRDefault="00432970" w:rsidP="00664603">
      <w:pPr>
        <w:spacing w:line="360" w:lineRule="auto"/>
        <w:jc w:val="both"/>
        <w:rPr>
          <w:rFonts w:ascii="Arial" w:hAnsi="Arial" w:cs="Arial"/>
          <w:sz w:val="24"/>
          <w:szCs w:val="24"/>
          <w:lang w:val="en-ZA"/>
        </w:rPr>
      </w:pPr>
      <w:r w:rsidRPr="00432970">
        <w:rPr>
          <w:rFonts w:ascii="Arial" w:hAnsi="Arial" w:cs="Arial"/>
          <w:sz w:val="24"/>
          <w:szCs w:val="24"/>
          <w:lang w:val="en-ZA"/>
        </w:rPr>
        <w:t xml:space="preserve">This </w:t>
      </w:r>
      <w:r>
        <w:rPr>
          <w:rFonts w:ascii="Arial" w:hAnsi="Arial" w:cs="Arial"/>
          <w:sz w:val="24"/>
          <w:szCs w:val="24"/>
          <w:lang w:val="en-ZA"/>
        </w:rPr>
        <w:t>chapter</w:t>
      </w:r>
      <w:r w:rsidRPr="00432970">
        <w:rPr>
          <w:rFonts w:ascii="Arial" w:hAnsi="Arial" w:cs="Arial"/>
          <w:sz w:val="24"/>
          <w:szCs w:val="24"/>
          <w:lang w:val="en-ZA"/>
        </w:rPr>
        <w:t xml:space="preserve"> will look at how employment laws and regulations evolved prior to South Africa's democratic transition. It will examine how racial discrimination in the workplace was institutionalized by colonial and apartheid-era regulations, particularly the effects of the Job Reservation System and the </w:t>
      </w:r>
      <w:r w:rsidRPr="00432970">
        <w:rPr>
          <w:rFonts w:ascii="Arial" w:hAnsi="Arial" w:cs="Arial"/>
          <w:i/>
          <w:iCs/>
          <w:sz w:val="24"/>
          <w:szCs w:val="24"/>
          <w:lang w:val="en-ZA"/>
        </w:rPr>
        <w:t>Mines and Works Act</w:t>
      </w:r>
      <w:r w:rsidRPr="00432970">
        <w:rPr>
          <w:rFonts w:ascii="Arial" w:hAnsi="Arial" w:cs="Arial"/>
          <w:sz w:val="24"/>
          <w:szCs w:val="24"/>
          <w:lang w:val="en-ZA"/>
        </w:rPr>
        <w:t xml:space="preserve"> of 1911.</w:t>
      </w:r>
      <w:r w:rsidR="00D84E9B">
        <w:rPr>
          <w:rFonts w:ascii="Arial" w:hAnsi="Arial" w:cs="Arial"/>
          <w:sz w:val="24"/>
          <w:szCs w:val="24"/>
          <w:lang w:val="en-ZA"/>
        </w:rPr>
        <w:t xml:space="preserve"> </w:t>
      </w:r>
      <w:r w:rsidR="00D84E9B" w:rsidRPr="00D84E9B">
        <w:rPr>
          <w:rFonts w:ascii="Arial" w:hAnsi="Arial" w:cs="Arial"/>
          <w:sz w:val="24"/>
          <w:szCs w:val="24"/>
          <w:lang w:val="en-ZA"/>
        </w:rPr>
        <w:t xml:space="preserve">Furthermore, the chapter will examine how employment regulations changed following the ratification of the </w:t>
      </w:r>
      <w:r w:rsidR="00D84E9B" w:rsidRPr="00D84E9B">
        <w:rPr>
          <w:rFonts w:ascii="Arial" w:hAnsi="Arial" w:cs="Arial"/>
          <w:i/>
          <w:iCs/>
          <w:sz w:val="24"/>
          <w:szCs w:val="24"/>
          <w:lang w:val="en-ZA"/>
        </w:rPr>
        <w:t>Constitution</w:t>
      </w:r>
      <w:r w:rsidR="00D84E9B" w:rsidRPr="00D84E9B">
        <w:rPr>
          <w:rFonts w:ascii="Arial" w:hAnsi="Arial" w:cs="Arial"/>
          <w:sz w:val="24"/>
          <w:szCs w:val="24"/>
          <w:lang w:val="en-ZA"/>
        </w:rPr>
        <w:t xml:space="preserve">. It will examine the significance of laws, such as the </w:t>
      </w:r>
      <w:r w:rsidR="00D84E9B" w:rsidRPr="00D84E9B">
        <w:rPr>
          <w:rFonts w:ascii="Arial" w:hAnsi="Arial" w:cs="Arial"/>
          <w:i/>
          <w:iCs/>
          <w:sz w:val="24"/>
          <w:szCs w:val="24"/>
          <w:lang w:val="en-ZA"/>
        </w:rPr>
        <w:t>Employment Equity Act</w:t>
      </w:r>
      <w:r w:rsidR="00D84E9B" w:rsidRPr="00D84E9B">
        <w:rPr>
          <w:rFonts w:ascii="Arial" w:hAnsi="Arial" w:cs="Arial"/>
          <w:sz w:val="24"/>
          <w:szCs w:val="24"/>
          <w:lang w:val="en-ZA"/>
        </w:rPr>
        <w:t xml:space="preserve"> and the </w:t>
      </w:r>
      <w:r w:rsidR="00D84E9B" w:rsidRPr="00D84E9B">
        <w:rPr>
          <w:rFonts w:ascii="Arial" w:hAnsi="Arial" w:cs="Arial"/>
          <w:i/>
          <w:iCs/>
          <w:sz w:val="24"/>
          <w:szCs w:val="24"/>
          <w:lang w:val="en-ZA"/>
        </w:rPr>
        <w:t>Broad-Based Black Economic Empowerment Act</w:t>
      </w:r>
      <w:r w:rsidR="00D84E9B" w:rsidRPr="00D84E9B">
        <w:rPr>
          <w:rFonts w:ascii="Arial" w:hAnsi="Arial" w:cs="Arial"/>
          <w:sz w:val="24"/>
          <w:szCs w:val="24"/>
          <w:lang w:val="en-ZA"/>
        </w:rPr>
        <w:t xml:space="preserve">, which were introduced and put into effect as strategies to address past labour injustices. </w:t>
      </w:r>
      <w:r w:rsidR="00023106">
        <w:rPr>
          <w:rFonts w:ascii="Arial" w:hAnsi="Arial" w:cs="Arial"/>
          <w:sz w:val="24"/>
          <w:szCs w:val="24"/>
          <w:lang w:val="en-ZA"/>
        </w:rPr>
        <w:t>Lastly, t</w:t>
      </w:r>
      <w:r w:rsidR="00023106" w:rsidRPr="00023106">
        <w:rPr>
          <w:rFonts w:ascii="Arial" w:hAnsi="Arial" w:cs="Arial"/>
          <w:sz w:val="24"/>
          <w:szCs w:val="24"/>
          <w:lang w:val="en-ZA"/>
        </w:rPr>
        <w:t xml:space="preserve">his chapter examines the constitutional basis of equality and how </w:t>
      </w:r>
      <w:r w:rsidR="00023106" w:rsidRPr="00023106">
        <w:rPr>
          <w:rFonts w:ascii="Arial" w:hAnsi="Arial" w:cs="Arial"/>
          <w:sz w:val="24"/>
          <w:szCs w:val="24"/>
          <w:lang w:val="en-ZA"/>
        </w:rPr>
        <w:lastRenderedPageBreak/>
        <w:t xml:space="preserve">employers should understand and apply affirmative action. It looks at the various aspects of equality, such as equality of outcome, dignity, opportunity, and treatment, as crucial factors to </w:t>
      </w:r>
      <w:proofErr w:type="gramStart"/>
      <w:r w:rsidR="00023106" w:rsidRPr="00023106">
        <w:rPr>
          <w:rFonts w:ascii="Arial" w:hAnsi="Arial" w:cs="Arial"/>
          <w:sz w:val="24"/>
          <w:szCs w:val="24"/>
          <w:lang w:val="en-ZA"/>
        </w:rPr>
        <w:t>take into account</w:t>
      </w:r>
      <w:proofErr w:type="gramEnd"/>
      <w:r w:rsidR="00023106" w:rsidRPr="00023106">
        <w:rPr>
          <w:rFonts w:ascii="Arial" w:hAnsi="Arial" w:cs="Arial"/>
          <w:sz w:val="24"/>
          <w:szCs w:val="24"/>
          <w:lang w:val="en-ZA"/>
        </w:rPr>
        <w:t xml:space="preserve"> when creating just and legally acceptable employment equity policies. It also makes a distinction between substantive and formal equality, highlighting the fact that the latter is the real foundation of affirmative action. Along with offering advice on how to properly apply affirmative action policies in hiring and promotions, the chapter evaluates how substantive equality influences the standards for legitimate affirmative action.</w:t>
      </w:r>
    </w:p>
    <w:p w14:paraId="6BB1C075" w14:textId="65AE6E9C" w:rsidR="00664603" w:rsidRPr="009F38E3" w:rsidRDefault="00664603" w:rsidP="00CB0751">
      <w:pPr>
        <w:pStyle w:val="Heading1"/>
      </w:pPr>
      <w:bookmarkStart w:id="38" w:name="_Toc189739272"/>
      <w:r w:rsidRPr="009F38E3">
        <w:t xml:space="preserve">2.2 The historical </w:t>
      </w:r>
      <w:r w:rsidR="000A18C0">
        <w:t>foundations of workplace inequality before the constitutional order</w:t>
      </w:r>
      <w:bookmarkEnd w:id="38"/>
    </w:p>
    <w:p w14:paraId="1D31409E" w14:textId="77777777" w:rsidR="00664603" w:rsidRPr="009F38E3" w:rsidRDefault="00664603" w:rsidP="00CB0751">
      <w:pPr>
        <w:pStyle w:val="Heading2"/>
        <w:ind w:left="360"/>
      </w:pPr>
      <w:bookmarkStart w:id="39" w:name="_Toc189739273"/>
      <w:r w:rsidRPr="009F38E3">
        <w:t>2.2.1 Slavery</w:t>
      </w:r>
      <w:bookmarkEnd w:id="39"/>
    </w:p>
    <w:p w14:paraId="0588A779" w14:textId="15DDBF30"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Slavery played an important part in building racial and economic inequalities in the Cape Colony, where it was the dominant source of labour until its abolition in 1834</w:t>
      </w:r>
      <w:r w:rsidRPr="009F38E3">
        <w:t xml:space="preserve"> </w:t>
      </w:r>
      <w:r w:rsidRPr="009F38E3">
        <w:rPr>
          <w:rFonts w:ascii="Arial" w:hAnsi="Arial" w:cs="Arial"/>
          <w:sz w:val="24"/>
          <w:szCs w:val="24"/>
        </w:rPr>
        <w:t xml:space="preserve">through the </w:t>
      </w:r>
      <w:r w:rsidRPr="009F38E3">
        <w:rPr>
          <w:rFonts w:ascii="Arial" w:hAnsi="Arial" w:cs="Arial"/>
          <w:i/>
          <w:iCs/>
          <w:sz w:val="24"/>
          <w:szCs w:val="24"/>
        </w:rPr>
        <w:t>Slavery Abolition Act</w:t>
      </w:r>
      <w:r w:rsidRPr="009F38E3">
        <w:rPr>
          <w:rFonts w:ascii="Arial" w:hAnsi="Arial" w:cs="Arial"/>
          <w:sz w:val="24"/>
          <w:szCs w:val="24"/>
        </w:rPr>
        <w:t xml:space="preserve"> 1833 of the British Empire. Slavery in the Cape, introduced by Dutch immigrants in the 17th century, was defined by the forced labour of enslaved people from East Africa, Madagascar, and East India.</w:t>
      </w:r>
      <w:r w:rsidRPr="009F38E3">
        <w:rPr>
          <w:rFonts w:ascii="Arial" w:hAnsi="Arial" w:cs="Arial"/>
          <w:sz w:val="24"/>
          <w:szCs w:val="24"/>
          <w:vertAlign w:val="superscript"/>
        </w:rPr>
        <w:footnoteReference w:id="40"/>
      </w:r>
      <w:r w:rsidRPr="009F38E3">
        <w:rPr>
          <w:rFonts w:ascii="Arial" w:hAnsi="Arial" w:cs="Arial"/>
          <w:sz w:val="24"/>
          <w:szCs w:val="24"/>
        </w:rPr>
        <w:t xml:space="preserve"> The Cape Colony's development of a racially discriminatory employment structure was not a mistake; instead, it was crucial to the colony's economic goals and social order. The enslaved populations were purposefully suppressed by the colonial authorities, who assigned them to unskilled and semi-skilled positions, preventing any accumulation of wealth or position that may disrupt the colony's racial hierarchy.</w:t>
      </w:r>
      <w:r w:rsidRPr="009F38E3">
        <w:rPr>
          <w:rFonts w:ascii="Arial" w:hAnsi="Arial" w:cs="Arial"/>
          <w:sz w:val="24"/>
          <w:szCs w:val="24"/>
          <w:vertAlign w:val="superscript"/>
        </w:rPr>
        <w:footnoteReference w:id="41"/>
      </w:r>
    </w:p>
    <w:p w14:paraId="668D77AA" w14:textId="76FC4FC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legislative system governing slavery in the Cape was precisely crafted to enforce this racial hierarchy. For example, the </w:t>
      </w:r>
      <w:proofErr w:type="spellStart"/>
      <w:r w:rsidRPr="009F38E3">
        <w:rPr>
          <w:rFonts w:ascii="Arial" w:hAnsi="Arial" w:cs="Arial"/>
          <w:i/>
          <w:iCs/>
          <w:sz w:val="24"/>
          <w:szCs w:val="24"/>
        </w:rPr>
        <w:t>Placaaten</w:t>
      </w:r>
      <w:proofErr w:type="spellEnd"/>
      <w:r w:rsidRPr="009F38E3">
        <w:rPr>
          <w:rFonts w:ascii="Arial" w:hAnsi="Arial" w:cs="Arial"/>
          <w:sz w:val="24"/>
          <w:szCs w:val="24"/>
        </w:rPr>
        <w:t>, a series of legislative edicts issued by the VOC, severely limited enslaved people's rights, liberties, and mobility. Enslaved people were barred from holding property, having official marriages, or moving freely within the colony, cementing their status as property rather than humans.</w:t>
      </w:r>
      <w:r w:rsidRPr="009F38E3">
        <w:rPr>
          <w:rFonts w:ascii="Arial" w:hAnsi="Arial" w:cs="Arial"/>
          <w:sz w:val="24"/>
          <w:szCs w:val="24"/>
          <w:vertAlign w:val="superscript"/>
        </w:rPr>
        <w:footnoteReference w:id="42"/>
      </w:r>
      <w:r w:rsidRPr="009F38E3">
        <w:rPr>
          <w:rFonts w:ascii="Arial" w:hAnsi="Arial" w:cs="Arial"/>
          <w:sz w:val="24"/>
          <w:szCs w:val="24"/>
        </w:rPr>
        <w:t xml:space="preserve"> </w:t>
      </w:r>
    </w:p>
    <w:p w14:paraId="6A62F1D1"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Colonial authority exploited not just foreign slaves, but also indigenous people. Although Khoisan and Xhosa men were not technically enslaved, colonizers often employed coercive and oppressive methods of labour to subjugate them. They worked </w:t>
      </w:r>
      <w:r w:rsidRPr="009F38E3">
        <w:rPr>
          <w:rFonts w:ascii="Arial" w:hAnsi="Arial" w:cs="Arial"/>
          <w:sz w:val="24"/>
          <w:szCs w:val="24"/>
        </w:rPr>
        <w:lastRenderedPageBreak/>
        <w:t>as herders, manual labourers, and agricultural workers under oppressive and racially prompted conditions.</w:t>
      </w:r>
      <w:r w:rsidRPr="009F38E3">
        <w:rPr>
          <w:rFonts w:ascii="Arial" w:hAnsi="Arial" w:cs="Arial"/>
          <w:sz w:val="24"/>
          <w:szCs w:val="24"/>
          <w:vertAlign w:val="superscript"/>
        </w:rPr>
        <w:footnoteReference w:id="43"/>
      </w:r>
      <w:r w:rsidRPr="009F38E3">
        <w:rPr>
          <w:rFonts w:ascii="Arial" w:hAnsi="Arial" w:cs="Arial"/>
          <w:sz w:val="24"/>
          <w:szCs w:val="24"/>
        </w:rPr>
        <w:t xml:space="preserve"> In terms of the economic impact on Khoisan communities, this exploitation was analogous to slavery, with legislative procedures such as the </w:t>
      </w:r>
      <w:r w:rsidRPr="009F38E3">
        <w:rPr>
          <w:rFonts w:ascii="Arial" w:hAnsi="Arial" w:cs="Arial"/>
          <w:i/>
          <w:iCs/>
          <w:sz w:val="24"/>
          <w:szCs w:val="24"/>
        </w:rPr>
        <w:t xml:space="preserve">Hottentot Proclamation </w:t>
      </w:r>
      <w:r w:rsidRPr="009F38E3">
        <w:rPr>
          <w:rFonts w:ascii="Arial" w:hAnsi="Arial" w:cs="Arial"/>
          <w:sz w:val="24"/>
          <w:szCs w:val="24"/>
        </w:rPr>
        <w:t>of 1809 restricting movement and autonomy. This legislation, which forced Khoisan citizens to wear permits identifying their employers, was an early type of pass law that foretold apartheid restrictions on Black South African workers.</w:t>
      </w:r>
      <w:r w:rsidRPr="009F38E3">
        <w:rPr>
          <w:rFonts w:ascii="Arial" w:hAnsi="Arial" w:cs="Arial"/>
          <w:sz w:val="24"/>
          <w:szCs w:val="24"/>
          <w:vertAlign w:val="superscript"/>
        </w:rPr>
        <w:footnoteReference w:id="44"/>
      </w:r>
    </w:p>
    <w:p w14:paraId="6E646425" w14:textId="59773855"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 xml:space="preserve">Hottentot Proclamation </w:t>
      </w:r>
      <w:r w:rsidRPr="009F38E3">
        <w:rPr>
          <w:rFonts w:ascii="Arial" w:hAnsi="Arial" w:cs="Arial"/>
          <w:sz w:val="24"/>
          <w:szCs w:val="24"/>
        </w:rPr>
        <w:t>not only suppressed the Khoisan struggle, but also placed them into a semi-bonded labour arrangement, aiding their enslavement to colonial immigrants.</w:t>
      </w:r>
      <w:r w:rsidRPr="009F38E3">
        <w:rPr>
          <w:rFonts w:ascii="Arial" w:hAnsi="Arial" w:cs="Arial"/>
          <w:sz w:val="24"/>
          <w:szCs w:val="24"/>
          <w:vertAlign w:val="superscript"/>
        </w:rPr>
        <w:footnoteReference w:id="45"/>
      </w:r>
      <w:r w:rsidRPr="009F38E3">
        <w:rPr>
          <w:rFonts w:ascii="Arial" w:hAnsi="Arial" w:cs="Arial"/>
          <w:sz w:val="24"/>
          <w:szCs w:val="24"/>
        </w:rPr>
        <w:t xml:space="preserve"> Slavery was legally abolished in 1834, but it did not substantially alter the racial and economic hierarchy that governed labour in the colony. Although slavery was abolished, many former slaves and indigenous people lacking land, skills, and financial resources remained dependent on British employers, incarcerated in low-wage unsafe jobs.</w:t>
      </w:r>
      <w:r w:rsidRPr="009F38E3">
        <w:rPr>
          <w:rFonts w:ascii="Arial" w:hAnsi="Arial" w:cs="Arial"/>
          <w:sz w:val="24"/>
          <w:szCs w:val="24"/>
          <w:vertAlign w:val="superscript"/>
        </w:rPr>
        <w:footnoteReference w:id="46"/>
      </w:r>
      <w:r w:rsidRPr="009F38E3">
        <w:rPr>
          <w:rFonts w:ascii="Arial" w:hAnsi="Arial" w:cs="Arial"/>
          <w:sz w:val="24"/>
          <w:szCs w:val="24"/>
        </w:rPr>
        <w:t> </w:t>
      </w:r>
    </w:p>
    <w:p w14:paraId="1C62CBDD" w14:textId="16E28231" w:rsidR="00664603" w:rsidRPr="009F38E3" w:rsidRDefault="00664603" w:rsidP="00CB0751">
      <w:pPr>
        <w:pStyle w:val="Heading2"/>
        <w:ind w:left="1037" w:hanging="680"/>
      </w:pPr>
      <w:bookmarkStart w:id="43" w:name="_Toc189739274"/>
      <w:r w:rsidRPr="009F38E3">
        <w:t>2.2.2 South Africa</w:t>
      </w:r>
      <w:r w:rsidR="00635F48" w:rsidRPr="009F38E3">
        <w:t xml:space="preserve">’s Master and Servant law (in reaction to </w:t>
      </w:r>
      <w:r w:rsidRPr="009F38E3">
        <w:t>post-slavery abolition</w:t>
      </w:r>
      <w:r w:rsidR="00635F48" w:rsidRPr="009F38E3">
        <w:t>)</w:t>
      </w:r>
      <w:bookmarkEnd w:id="43"/>
    </w:p>
    <w:p w14:paraId="1533B0D5" w14:textId="66AFCBD5"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Following the abolition of slavery in 1834, colonial authorities in South Africa faced the difficulty of providing a steady, low-cost labour supply for industries such as agriculture and mining. In reaction, they enacted Master and Servant laws that put harsh limitations on Black labourers, effectively managing labour supply while resembling many aspects of slavery. The implementation of these regulations signalled a dramatic shift in labour legislation, as evidenced by </w:t>
      </w:r>
      <w:r w:rsidRPr="009F38E3">
        <w:rPr>
          <w:rFonts w:ascii="Arial" w:hAnsi="Arial" w:cs="Arial"/>
          <w:i/>
          <w:iCs/>
          <w:sz w:val="24"/>
          <w:szCs w:val="24"/>
        </w:rPr>
        <w:t xml:space="preserve">Act </w:t>
      </w:r>
      <w:r w:rsidRPr="009F38E3">
        <w:rPr>
          <w:rFonts w:ascii="Arial" w:hAnsi="Arial" w:cs="Arial"/>
          <w:sz w:val="24"/>
          <w:szCs w:val="24"/>
        </w:rPr>
        <w:t>15 of 1856 in the Cape Colony, which institutionalized employer-worker relationships, mandated full compliance from workers, and enabled severe measures, such as imprisonment, for</w:t>
      </w:r>
      <w:r w:rsidR="00635F48" w:rsidRPr="009F38E3">
        <w:rPr>
          <w:rFonts w:ascii="Arial" w:hAnsi="Arial" w:cs="Arial"/>
          <w:sz w:val="24"/>
          <w:szCs w:val="24"/>
        </w:rPr>
        <w:t xml:space="preserve"> a</w:t>
      </w:r>
      <w:r w:rsidRPr="009F38E3">
        <w:rPr>
          <w:rFonts w:ascii="Arial" w:hAnsi="Arial" w:cs="Arial"/>
          <w:sz w:val="24"/>
          <w:szCs w:val="24"/>
        </w:rPr>
        <w:t xml:space="preserve"> breach of contract.</w:t>
      </w:r>
      <w:r w:rsidRPr="009F38E3">
        <w:rPr>
          <w:rFonts w:ascii="Arial" w:hAnsi="Arial" w:cs="Arial"/>
          <w:sz w:val="24"/>
          <w:szCs w:val="24"/>
          <w:vertAlign w:val="superscript"/>
        </w:rPr>
        <w:footnoteReference w:id="47"/>
      </w:r>
      <w:r w:rsidRPr="009F38E3">
        <w:rPr>
          <w:rFonts w:ascii="Arial" w:hAnsi="Arial" w:cs="Arial"/>
          <w:sz w:val="24"/>
          <w:szCs w:val="24"/>
        </w:rPr>
        <w:t xml:space="preserve"> This </w:t>
      </w:r>
      <w:r w:rsidR="00635F48" w:rsidRPr="009F38E3">
        <w:rPr>
          <w:rFonts w:ascii="Arial" w:hAnsi="Arial" w:cs="Arial"/>
          <w:sz w:val="24"/>
          <w:szCs w:val="24"/>
        </w:rPr>
        <w:t>A</w:t>
      </w:r>
      <w:r w:rsidRPr="009F38E3">
        <w:rPr>
          <w:rFonts w:ascii="Arial" w:hAnsi="Arial" w:cs="Arial"/>
          <w:sz w:val="24"/>
          <w:szCs w:val="24"/>
        </w:rPr>
        <w:t>ct established a racial hierarchy in the labour market, severely limiting Black workers' rights and prolonging their social and economic marginalization. The laws emphasized employers' rights and extended substantial control over workers' movements and personal liberties, limiting Black South African socioeconomic growth well into the twentieth century.</w:t>
      </w:r>
      <w:r w:rsidRPr="009F38E3">
        <w:rPr>
          <w:rFonts w:ascii="Arial" w:hAnsi="Arial" w:cs="Arial"/>
          <w:sz w:val="24"/>
          <w:szCs w:val="24"/>
          <w:vertAlign w:val="superscript"/>
        </w:rPr>
        <w:footnoteReference w:id="48"/>
      </w:r>
    </w:p>
    <w:p w14:paraId="7B13A328" w14:textId="49B67E45"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lastRenderedPageBreak/>
        <w:t xml:space="preserve">The </w:t>
      </w:r>
      <w:r w:rsidRPr="009F38E3">
        <w:rPr>
          <w:rFonts w:ascii="Arial" w:hAnsi="Arial" w:cs="Arial"/>
          <w:i/>
          <w:iCs/>
          <w:sz w:val="24"/>
          <w:szCs w:val="24"/>
        </w:rPr>
        <w:t>Ordinance 2</w:t>
      </w:r>
      <w:r w:rsidRPr="009F38E3">
        <w:rPr>
          <w:rFonts w:ascii="Arial" w:hAnsi="Arial" w:cs="Arial"/>
          <w:sz w:val="24"/>
          <w:szCs w:val="24"/>
        </w:rPr>
        <w:t xml:space="preserve"> of 1850 in Natal</w:t>
      </w:r>
      <w:r w:rsidR="00635F48" w:rsidRPr="009F38E3">
        <w:rPr>
          <w:rFonts w:ascii="Arial" w:hAnsi="Arial" w:cs="Arial"/>
          <w:sz w:val="24"/>
          <w:szCs w:val="24"/>
        </w:rPr>
        <w:t xml:space="preserve"> aggravated inequality between races in that Black labourers in Natal were subject to harsh pass regulations that limited their rights and capacity of movement and required them to carry proof of identity, therefore</w:t>
      </w:r>
      <w:r w:rsidRPr="009F38E3">
        <w:rPr>
          <w:rFonts w:ascii="Arial" w:hAnsi="Arial" w:cs="Arial"/>
          <w:sz w:val="24"/>
          <w:szCs w:val="24"/>
        </w:rPr>
        <w:t>, binding them to specific employers. These passes foreshadowed the more comprehensive pass laws of the apartheid era, which sought to restrict the geographic distribution and movement of the Black population at work between districts.</w:t>
      </w:r>
      <w:r w:rsidRPr="009F38E3">
        <w:rPr>
          <w:rFonts w:ascii="Arial" w:hAnsi="Arial" w:cs="Arial"/>
          <w:sz w:val="24"/>
          <w:szCs w:val="24"/>
          <w:vertAlign w:val="superscript"/>
        </w:rPr>
        <w:footnoteReference w:id="49"/>
      </w:r>
      <w:r w:rsidRPr="009F38E3">
        <w:rPr>
          <w:rFonts w:ascii="Arial" w:hAnsi="Arial" w:cs="Arial"/>
          <w:sz w:val="24"/>
          <w:szCs w:val="24"/>
        </w:rPr>
        <w:t xml:space="preserve"> The pass system in Natal, as outlined in the Ordinance, was crucial in prohibiting Black labourers from traveling freely in search of better salaries or working conditions, effectively limiting opportunities for advancement in society.</w:t>
      </w:r>
      <w:r w:rsidRPr="009F38E3">
        <w:rPr>
          <w:rFonts w:ascii="Arial" w:hAnsi="Arial" w:cs="Arial"/>
          <w:sz w:val="24"/>
          <w:szCs w:val="24"/>
          <w:vertAlign w:val="superscript"/>
        </w:rPr>
        <w:footnoteReference w:id="50"/>
      </w:r>
      <w:r w:rsidRPr="009F38E3">
        <w:rPr>
          <w:rFonts w:ascii="Arial" w:hAnsi="Arial" w:cs="Arial"/>
          <w:sz w:val="24"/>
          <w:szCs w:val="24"/>
        </w:rPr>
        <w:t xml:space="preserve"> </w:t>
      </w:r>
    </w:p>
    <w:p w14:paraId="0576E4B4" w14:textId="0035DFD5" w:rsidR="00664603" w:rsidRPr="009F38E3" w:rsidRDefault="00664603" w:rsidP="00664603">
      <w:pPr>
        <w:spacing w:line="360" w:lineRule="auto"/>
        <w:jc w:val="both"/>
        <w:rPr>
          <w:rFonts w:ascii="Arial" w:hAnsi="Arial" w:cs="Arial"/>
          <w:sz w:val="24"/>
          <w:szCs w:val="24"/>
        </w:rPr>
      </w:pPr>
      <w:r w:rsidRPr="009F38E3">
        <w:rPr>
          <w:rFonts w:ascii="Arial" w:hAnsi="Arial" w:cs="Arial"/>
          <w:i/>
          <w:iCs/>
          <w:sz w:val="24"/>
          <w:szCs w:val="24"/>
        </w:rPr>
        <w:t xml:space="preserve">Law No 13 </w:t>
      </w:r>
      <w:r w:rsidRPr="009F38E3">
        <w:rPr>
          <w:rFonts w:ascii="Arial" w:hAnsi="Arial" w:cs="Arial"/>
          <w:sz w:val="24"/>
          <w:szCs w:val="24"/>
        </w:rPr>
        <w:t>of 1880 in the Transvaal imposed more restrictions in that the legislation criminalized the violati</w:t>
      </w:r>
      <w:r w:rsidR="00635F48" w:rsidRPr="009F38E3">
        <w:rPr>
          <w:rFonts w:ascii="Arial" w:hAnsi="Arial" w:cs="Arial"/>
          <w:sz w:val="24"/>
          <w:szCs w:val="24"/>
        </w:rPr>
        <w:t>on</w:t>
      </w:r>
      <w:r w:rsidRPr="009F38E3">
        <w:rPr>
          <w:rFonts w:ascii="Arial" w:hAnsi="Arial" w:cs="Arial"/>
          <w:sz w:val="24"/>
          <w:szCs w:val="24"/>
        </w:rPr>
        <w:t xml:space="preserve"> of employment contracts, which was particularly detrimental to Black workers, who faced harsher fines and had </w:t>
      </w:r>
      <w:r w:rsidR="00635F48" w:rsidRPr="009F38E3">
        <w:rPr>
          <w:rFonts w:ascii="Arial" w:hAnsi="Arial" w:cs="Arial"/>
          <w:sz w:val="24"/>
          <w:szCs w:val="24"/>
        </w:rPr>
        <w:t>fewer</w:t>
      </w:r>
      <w:r w:rsidRPr="009F38E3">
        <w:rPr>
          <w:rFonts w:ascii="Arial" w:hAnsi="Arial" w:cs="Arial"/>
          <w:sz w:val="24"/>
          <w:szCs w:val="24"/>
        </w:rPr>
        <w:t xml:space="preserve"> rights than their white counterparts. Similarly, </w:t>
      </w:r>
      <w:r w:rsidRPr="009F38E3">
        <w:rPr>
          <w:rFonts w:ascii="Arial" w:hAnsi="Arial" w:cs="Arial"/>
          <w:i/>
          <w:iCs/>
          <w:sz w:val="24"/>
          <w:szCs w:val="24"/>
        </w:rPr>
        <w:t>Ordinance 1</w:t>
      </w:r>
      <w:r w:rsidRPr="009F38E3">
        <w:rPr>
          <w:rFonts w:ascii="Arial" w:hAnsi="Arial" w:cs="Arial"/>
          <w:sz w:val="24"/>
          <w:szCs w:val="24"/>
        </w:rPr>
        <w:t xml:space="preserve"> of 1873 in the Orange Free State penalized Black labourers who breached their employment obligations.</w:t>
      </w:r>
      <w:r w:rsidR="007708DB">
        <w:rPr>
          <w:rFonts w:ascii="Arial" w:hAnsi="Arial" w:cs="Arial"/>
          <w:sz w:val="24"/>
          <w:szCs w:val="24"/>
        </w:rPr>
        <w:t xml:space="preserve"> </w:t>
      </w:r>
      <w:r w:rsidRPr="009F38E3">
        <w:rPr>
          <w:rFonts w:ascii="Arial" w:hAnsi="Arial" w:cs="Arial"/>
          <w:sz w:val="24"/>
          <w:szCs w:val="24"/>
        </w:rPr>
        <w:t>The cumulative impact of these Master and Servant laws across the colonies served the establishment of a racially segregated job market and workforce, drastically restricting Black South Africans' economic independence and liberty.</w:t>
      </w:r>
      <w:r w:rsidR="007708DB">
        <w:rPr>
          <w:rStyle w:val="FootnoteReference"/>
          <w:rFonts w:ascii="Arial" w:hAnsi="Arial" w:cs="Arial"/>
          <w:sz w:val="24"/>
          <w:szCs w:val="24"/>
        </w:rPr>
        <w:footnoteReference w:id="51"/>
      </w:r>
      <w:r w:rsidRPr="009F38E3">
        <w:rPr>
          <w:rFonts w:ascii="Arial" w:hAnsi="Arial" w:cs="Arial"/>
          <w:sz w:val="24"/>
          <w:szCs w:val="24"/>
        </w:rPr>
        <w:t xml:space="preserve"> In essence, these regulations paved the way for more explicit apartheid legislation in the mid-twentieth century, laying the framework for a separate labour market defined by race. Black workers were systematically excluded from skilled positions, denied proper salary, and barred from forming a union or engaging in collective bargaining initiatives. </w:t>
      </w:r>
    </w:p>
    <w:p w14:paraId="3D307362" w14:textId="77777777" w:rsidR="00664603" w:rsidRPr="009F38E3" w:rsidRDefault="00664603" w:rsidP="00CB0751">
      <w:pPr>
        <w:pStyle w:val="Heading2"/>
        <w:ind w:left="360"/>
      </w:pPr>
      <w:bookmarkStart w:id="46" w:name="_Toc189739275"/>
      <w:r w:rsidRPr="009F38E3">
        <w:t>2.2.3 Racially oppressive laws in the South African workplace</w:t>
      </w:r>
      <w:bookmarkEnd w:id="46"/>
    </w:p>
    <w:p w14:paraId="06C73919"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Historically, South African employment rules have been used to oppress Black South Africans and other racial minorities by creating a labour market that is persistently disadvantaged. These regulations were fundamental in preserving the white minority's economic and social supremacy, and their discriminatory heritage persists influencing the makeup of significant inequities in today's labour market. </w:t>
      </w:r>
    </w:p>
    <w:p w14:paraId="5273C8FF" w14:textId="77777777" w:rsidR="00664603" w:rsidRPr="009F38E3" w:rsidRDefault="00664603" w:rsidP="00CB0751">
      <w:pPr>
        <w:pStyle w:val="Subtitle"/>
        <w:numPr>
          <w:ilvl w:val="0"/>
          <w:numId w:val="0"/>
        </w:numPr>
        <w:ind w:left="792"/>
      </w:pPr>
      <w:bookmarkStart w:id="47" w:name="_Toc189739276"/>
      <w:r w:rsidRPr="009F38E3">
        <w:t>2.2.3.1 Natives Land Act 27 of 1913</w:t>
      </w:r>
      <w:bookmarkEnd w:id="47"/>
    </w:p>
    <w:p w14:paraId="3EF2BAB9"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bookmarkStart w:id="48" w:name="_Hlk183122082"/>
      <w:r w:rsidRPr="009F38E3">
        <w:rPr>
          <w:rFonts w:ascii="Arial" w:hAnsi="Arial" w:cs="Arial"/>
          <w:i/>
          <w:iCs/>
          <w:sz w:val="24"/>
          <w:szCs w:val="24"/>
        </w:rPr>
        <w:t>Natives Land Act</w:t>
      </w:r>
      <w:r w:rsidRPr="009F38E3">
        <w:rPr>
          <w:rFonts w:ascii="Arial" w:hAnsi="Arial" w:cs="Arial"/>
          <w:sz w:val="24"/>
          <w:szCs w:val="24"/>
        </w:rPr>
        <w:t xml:space="preserve"> of 1913 </w:t>
      </w:r>
      <w:bookmarkEnd w:id="48"/>
      <w:r w:rsidRPr="009F38E3">
        <w:rPr>
          <w:rFonts w:ascii="Arial" w:hAnsi="Arial" w:cs="Arial"/>
          <w:sz w:val="24"/>
          <w:szCs w:val="24"/>
        </w:rPr>
        <w:t xml:space="preserve">was a key piece of apartheid legislation aimed at creating a racially segregated economy. It limited Black South African land ownership </w:t>
      </w:r>
      <w:r w:rsidRPr="009F38E3">
        <w:rPr>
          <w:rFonts w:ascii="Arial" w:hAnsi="Arial" w:cs="Arial"/>
          <w:sz w:val="24"/>
          <w:szCs w:val="24"/>
        </w:rPr>
        <w:lastRenderedPageBreak/>
        <w:t>to reserves, which account for only 7 percentage of South Africa's total land area. This law not only displaced millions of Black South Africans from land that could have supported their livelihoods, but it also increased reliance on white-owned land, forcing many to work in agriculture or migrate to urban areas to work in mines and industries, with limited access to economic opportunities outside of these spheres.</w:t>
      </w:r>
      <w:r w:rsidRPr="009F38E3">
        <w:rPr>
          <w:rFonts w:ascii="Arial" w:hAnsi="Arial" w:cs="Arial"/>
          <w:sz w:val="24"/>
          <w:szCs w:val="24"/>
          <w:vertAlign w:val="superscript"/>
        </w:rPr>
        <w:footnoteReference w:id="52"/>
      </w:r>
    </w:p>
    <w:p w14:paraId="00F22E1E" w14:textId="4F6786DB"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Land Act</w:t>
      </w:r>
      <w:r w:rsidRPr="009F38E3">
        <w:rPr>
          <w:rFonts w:ascii="Arial" w:hAnsi="Arial" w:cs="Arial"/>
          <w:sz w:val="24"/>
          <w:szCs w:val="24"/>
        </w:rPr>
        <w:t xml:space="preserve"> had an enduring effect in that it constrained Black labour to underprivileged regions, aggravating poverty and hindering the establishment of Black businesses and economic independence. Furthermore, the </w:t>
      </w:r>
      <w:r w:rsidRPr="009F38E3">
        <w:rPr>
          <w:rFonts w:ascii="Arial" w:hAnsi="Arial" w:cs="Arial"/>
          <w:i/>
          <w:iCs/>
          <w:sz w:val="24"/>
          <w:szCs w:val="24"/>
        </w:rPr>
        <w:t>Land Act</w:t>
      </w:r>
      <w:r w:rsidRPr="009F38E3">
        <w:rPr>
          <w:rFonts w:ascii="Arial" w:hAnsi="Arial" w:cs="Arial"/>
          <w:sz w:val="24"/>
          <w:szCs w:val="24"/>
        </w:rPr>
        <w:t xml:space="preserve"> enhanced the exploitation of Black people in urban sectors by driving them to seek work in already overcrowded and underdeveloped areas. In essence, the</w:t>
      </w:r>
      <w:r w:rsidRPr="009F38E3">
        <w:rPr>
          <w:rFonts w:ascii="Arial" w:hAnsi="Arial" w:cs="Arial"/>
          <w:i/>
          <w:iCs/>
          <w:sz w:val="24"/>
          <w:szCs w:val="24"/>
        </w:rPr>
        <w:t xml:space="preserve"> Act</w:t>
      </w:r>
      <w:r w:rsidRPr="009F38E3">
        <w:rPr>
          <w:rFonts w:ascii="Arial" w:hAnsi="Arial" w:cs="Arial"/>
          <w:sz w:val="24"/>
          <w:szCs w:val="24"/>
        </w:rPr>
        <w:t xml:space="preserve"> created the framework for a racially divided labour force, a workforce that the white minority could readily control and exploit.</w:t>
      </w:r>
      <w:r w:rsidRPr="009F38E3">
        <w:rPr>
          <w:rFonts w:ascii="Arial" w:hAnsi="Arial" w:cs="Arial"/>
          <w:sz w:val="24"/>
          <w:szCs w:val="24"/>
          <w:vertAlign w:val="superscript"/>
        </w:rPr>
        <w:footnoteReference w:id="53"/>
      </w:r>
    </w:p>
    <w:p w14:paraId="65DFDF61" w14:textId="77777777" w:rsidR="00664603" w:rsidRPr="009F38E3" w:rsidRDefault="00664603" w:rsidP="00CB0751">
      <w:pPr>
        <w:pStyle w:val="Subtitle"/>
        <w:numPr>
          <w:ilvl w:val="0"/>
          <w:numId w:val="0"/>
        </w:numPr>
        <w:ind w:left="792"/>
      </w:pPr>
      <w:bookmarkStart w:id="51" w:name="_Toc189739277"/>
      <w:r w:rsidRPr="009F38E3">
        <w:t>2.2.3.2 Natives (Urban Areas) Act of 1923</w:t>
      </w:r>
      <w:bookmarkEnd w:id="51"/>
    </w:p>
    <w:p w14:paraId="58898C11" w14:textId="3E5F7AC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Natives Act</w:t>
      </w:r>
      <w:r w:rsidRPr="009F38E3">
        <w:rPr>
          <w:rFonts w:ascii="Arial" w:hAnsi="Arial" w:cs="Arial"/>
          <w:sz w:val="24"/>
          <w:szCs w:val="24"/>
        </w:rPr>
        <w:t xml:space="preserve"> strengthened residential segregation and limited Black South Africans' mobility in urban areas. By establishing "registered" zones for Black people to live, restrict</w:t>
      </w:r>
      <w:r w:rsidR="00635F48" w:rsidRPr="009F38E3">
        <w:rPr>
          <w:rFonts w:ascii="Arial" w:hAnsi="Arial" w:cs="Arial"/>
          <w:sz w:val="24"/>
          <w:szCs w:val="24"/>
        </w:rPr>
        <w:t>ions were placed on</w:t>
      </w:r>
      <w:r w:rsidRPr="009F38E3">
        <w:rPr>
          <w:rFonts w:ascii="Arial" w:hAnsi="Arial" w:cs="Arial"/>
          <w:sz w:val="24"/>
          <w:szCs w:val="24"/>
        </w:rPr>
        <w:t xml:space="preserve"> their ability to work in cities. According to the </w:t>
      </w:r>
      <w:r w:rsidRPr="009F38E3">
        <w:rPr>
          <w:rFonts w:ascii="Arial" w:hAnsi="Arial" w:cs="Arial"/>
          <w:i/>
          <w:iCs/>
          <w:sz w:val="24"/>
          <w:szCs w:val="24"/>
        </w:rPr>
        <w:t>Native Act</w:t>
      </w:r>
      <w:r w:rsidRPr="009F38E3">
        <w:rPr>
          <w:rFonts w:ascii="Arial" w:hAnsi="Arial" w:cs="Arial"/>
          <w:sz w:val="24"/>
          <w:szCs w:val="24"/>
        </w:rPr>
        <w:t xml:space="preserve">, only Black South Africans who lived </w:t>
      </w:r>
      <w:proofErr w:type="gramStart"/>
      <w:r w:rsidRPr="009F38E3">
        <w:rPr>
          <w:rFonts w:ascii="Arial" w:hAnsi="Arial" w:cs="Arial"/>
          <w:sz w:val="24"/>
          <w:szCs w:val="24"/>
        </w:rPr>
        <w:t>in particular regions</w:t>
      </w:r>
      <w:proofErr w:type="gramEnd"/>
      <w:r w:rsidRPr="009F38E3">
        <w:rPr>
          <w:rFonts w:ascii="Arial" w:hAnsi="Arial" w:cs="Arial"/>
          <w:sz w:val="24"/>
          <w:szCs w:val="24"/>
        </w:rPr>
        <w:t xml:space="preserve"> were permitted to work in urban areas, resulting in an unbalanced labour market that prohibited numerous Black people from locations where more skilled and better-paid jobs were available. This Act intensified the geographical and economic division that would characterize South Africa's urbanized environments throughout the majority of the twentieth century.</w:t>
      </w:r>
    </w:p>
    <w:p w14:paraId="2FCF48D6"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Furthermore, the law had far-reaching societal implications, as it not only limited Black workers to less desired jobs but also impeded the growth of Black professionals from the middle class in cities.</w:t>
      </w:r>
    </w:p>
    <w:p w14:paraId="3E29F95B" w14:textId="77777777" w:rsidR="00664603" w:rsidRPr="009F38E3" w:rsidRDefault="00664603" w:rsidP="00CB0751">
      <w:pPr>
        <w:pStyle w:val="Subtitle"/>
        <w:numPr>
          <w:ilvl w:val="0"/>
          <w:numId w:val="0"/>
        </w:numPr>
        <w:ind w:left="792"/>
      </w:pPr>
      <w:bookmarkStart w:id="52" w:name="_Toc189739278"/>
      <w:r w:rsidRPr="009F38E3">
        <w:t>2.2.3.3 The "Civilised Labour" Policy of 1924</w:t>
      </w:r>
      <w:bookmarkEnd w:id="52"/>
    </w:p>
    <w:p w14:paraId="6B4FFA10" w14:textId="1113DB28" w:rsidR="00664603" w:rsidRPr="009F38E3" w:rsidRDefault="00664603" w:rsidP="00664603">
      <w:pPr>
        <w:spacing w:line="360" w:lineRule="auto"/>
        <w:jc w:val="both"/>
        <w:rPr>
          <w:rFonts w:ascii="Times New Roman" w:eastAsia="Times New Roman" w:hAnsi="Times New Roman" w:cs="Times New Roman"/>
          <w:kern w:val="0"/>
          <w:sz w:val="24"/>
          <w:szCs w:val="24"/>
          <w:lang w:eastAsia="en-ZA"/>
          <w14:ligatures w14:val="none"/>
        </w:rPr>
      </w:pPr>
      <w:r w:rsidRPr="009F38E3">
        <w:rPr>
          <w:rFonts w:ascii="Arial" w:hAnsi="Arial" w:cs="Arial"/>
          <w:sz w:val="24"/>
          <w:szCs w:val="24"/>
        </w:rPr>
        <w:t xml:space="preserve">The </w:t>
      </w:r>
      <w:r w:rsidRPr="009F38E3">
        <w:rPr>
          <w:rFonts w:ascii="Arial" w:hAnsi="Arial" w:cs="Arial"/>
          <w:i/>
          <w:iCs/>
          <w:sz w:val="24"/>
          <w:szCs w:val="24"/>
        </w:rPr>
        <w:t>Civilised Labour</w:t>
      </w:r>
      <w:r w:rsidRPr="009F38E3">
        <w:rPr>
          <w:rFonts w:ascii="Arial" w:hAnsi="Arial" w:cs="Arial"/>
          <w:sz w:val="24"/>
          <w:szCs w:val="24"/>
        </w:rPr>
        <w:t xml:space="preserve"> </w:t>
      </w:r>
      <w:r w:rsidRPr="009F38E3">
        <w:rPr>
          <w:rFonts w:ascii="Arial" w:hAnsi="Arial" w:cs="Arial"/>
          <w:i/>
          <w:iCs/>
          <w:sz w:val="24"/>
          <w:szCs w:val="24"/>
        </w:rPr>
        <w:t>Policy</w:t>
      </w:r>
      <w:r w:rsidRPr="009F38E3">
        <w:rPr>
          <w:rFonts w:ascii="Arial" w:hAnsi="Arial" w:cs="Arial"/>
          <w:sz w:val="24"/>
          <w:szCs w:val="24"/>
        </w:rPr>
        <w:t> aimed at preserving the white workers' advantageous and superior status in the South African labour market by separating between civilized white workers and uncivilised Black workers.</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eastAsia="Times New Roman" w:hAnsi="Arial" w:cs="Arial"/>
          <w:kern w:val="0"/>
          <w:sz w:val="24"/>
          <w:szCs w:val="24"/>
          <w:lang w:eastAsia="en-ZA"/>
          <w14:ligatures w14:val="none"/>
        </w:rPr>
        <w:t xml:space="preserve">This differentiation was strongly entrenched in racial prejudice and attempted to solidify white economic domination by </w:t>
      </w:r>
      <w:r w:rsidRPr="009F38E3">
        <w:rPr>
          <w:rFonts w:ascii="Arial" w:eastAsia="Times New Roman" w:hAnsi="Arial" w:cs="Arial"/>
          <w:kern w:val="0"/>
          <w:sz w:val="24"/>
          <w:szCs w:val="24"/>
          <w:lang w:eastAsia="en-ZA"/>
          <w14:ligatures w14:val="none"/>
        </w:rPr>
        <w:lastRenderedPageBreak/>
        <w:t>ensuring that whites had access to the most secure, well-paying employment in both the public and private sector</w:t>
      </w:r>
      <w:r w:rsidR="00950AFD" w:rsidRPr="009F38E3">
        <w:rPr>
          <w:rFonts w:ascii="Arial" w:eastAsia="Times New Roman" w:hAnsi="Arial" w:cs="Arial"/>
          <w:kern w:val="0"/>
          <w:sz w:val="24"/>
          <w:szCs w:val="24"/>
          <w:lang w:eastAsia="en-ZA"/>
          <w14:ligatures w14:val="none"/>
        </w:rPr>
        <w:t>s</w:t>
      </w:r>
      <w:r w:rsidRPr="009F38E3">
        <w:rPr>
          <w:rFonts w:ascii="Times New Roman" w:eastAsia="Times New Roman" w:hAnsi="Times New Roman" w:cs="Times New Roman"/>
          <w:kern w:val="0"/>
          <w:sz w:val="24"/>
          <w:szCs w:val="24"/>
          <w:lang w:eastAsia="en-ZA"/>
          <w14:ligatures w14:val="none"/>
        </w:rPr>
        <w:t>.</w:t>
      </w:r>
    </w:p>
    <w:p w14:paraId="76392821" w14:textId="68F367EC"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 regulations</w:t>
      </w:r>
      <w:r w:rsidR="00950AFD" w:rsidRPr="009F38E3">
        <w:rPr>
          <w:rFonts w:ascii="Arial" w:hAnsi="Arial" w:cs="Arial"/>
          <w:sz w:val="24"/>
          <w:szCs w:val="24"/>
        </w:rPr>
        <w:t>’</w:t>
      </w:r>
      <w:r w:rsidRPr="009F38E3">
        <w:rPr>
          <w:rFonts w:ascii="Arial" w:hAnsi="Arial" w:cs="Arial"/>
          <w:sz w:val="24"/>
          <w:szCs w:val="24"/>
        </w:rPr>
        <w:t xml:space="preserve"> impacts were profound and persistent. It had an impact not just on state-owned enterprises, but also on private-sector activities, with many employers electing </w:t>
      </w:r>
      <w:r w:rsidR="00950AFD" w:rsidRPr="009F38E3">
        <w:rPr>
          <w:rFonts w:ascii="Arial" w:hAnsi="Arial" w:cs="Arial"/>
          <w:sz w:val="24"/>
          <w:szCs w:val="24"/>
        </w:rPr>
        <w:t>to recruit</w:t>
      </w:r>
      <w:r w:rsidRPr="009F38E3">
        <w:rPr>
          <w:rFonts w:ascii="Arial" w:hAnsi="Arial" w:cs="Arial"/>
          <w:sz w:val="24"/>
          <w:szCs w:val="24"/>
        </w:rPr>
        <w:t xml:space="preserve"> white workers for skilled and semi-skilled professions due to government incentives while black labourers were confined to unskilled, low-wage jobs that frequently provided little to no job security or social safety.</w:t>
      </w:r>
      <w:r w:rsidRPr="009F38E3">
        <w:rPr>
          <w:rFonts w:ascii="Arial" w:hAnsi="Arial" w:cs="Arial"/>
          <w:sz w:val="24"/>
          <w:szCs w:val="24"/>
          <w:vertAlign w:val="superscript"/>
        </w:rPr>
        <w:footnoteReference w:id="54"/>
      </w:r>
    </w:p>
    <w:p w14:paraId="09C55E9F" w14:textId="09B849C6"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One of the</w:t>
      </w:r>
      <w:r w:rsidR="00950AFD" w:rsidRPr="009F38E3">
        <w:rPr>
          <w:rFonts w:ascii="Arial" w:hAnsi="Arial" w:cs="Arial"/>
          <w:sz w:val="24"/>
          <w:szCs w:val="24"/>
        </w:rPr>
        <w:t xml:space="preserve"> </w:t>
      </w:r>
      <w:r w:rsidRPr="009F38E3">
        <w:rPr>
          <w:rFonts w:ascii="Arial" w:hAnsi="Arial" w:cs="Arial"/>
          <w:sz w:val="24"/>
          <w:szCs w:val="24"/>
        </w:rPr>
        <w:t xml:space="preserve">major economic consequences of the </w:t>
      </w:r>
      <w:r w:rsidRPr="009F38E3">
        <w:rPr>
          <w:rFonts w:ascii="Arial" w:hAnsi="Arial" w:cs="Arial"/>
          <w:i/>
          <w:iCs/>
          <w:sz w:val="24"/>
          <w:szCs w:val="24"/>
        </w:rPr>
        <w:t>Civilised Labour Policy</w:t>
      </w:r>
      <w:r w:rsidRPr="009F38E3">
        <w:rPr>
          <w:rFonts w:ascii="Arial" w:hAnsi="Arial" w:cs="Arial"/>
          <w:sz w:val="24"/>
          <w:szCs w:val="24"/>
        </w:rPr>
        <w:t xml:space="preserve"> was the perpetuation of wage gaps between Black and white South Africans. Even while performing equivalent roles, white workers were paid more than their black counterparts. This gap was justified by stating that civilised labour, which was identical </w:t>
      </w:r>
      <w:r w:rsidR="00950AFD" w:rsidRPr="009F38E3">
        <w:rPr>
          <w:rFonts w:ascii="Arial" w:hAnsi="Arial" w:cs="Arial"/>
          <w:sz w:val="24"/>
          <w:szCs w:val="24"/>
        </w:rPr>
        <w:t>to</w:t>
      </w:r>
      <w:r w:rsidRPr="009F38E3">
        <w:rPr>
          <w:rFonts w:ascii="Arial" w:hAnsi="Arial" w:cs="Arial"/>
          <w:sz w:val="24"/>
          <w:szCs w:val="24"/>
        </w:rPr>
        <w:t xml:space="preserve"> white labour, deserved higher pay. In government agencies and state-owned enterprises, laws were institutionalized to ensure better wages for white employees while limiting Black labourers to menial tasks, ensuring that white workers had little competition in more desired positions.</w:t>
      </w:r>
      <w:r w:rsidRPr="009F38E3">
        <w:rPr>
          <w:rFonts w:ascii="Arial" w:hAnsi="Arial" w:cs="Arial"/>
          <w:sz w:val="24"/>
          <w:szCs w:val="24"/>
          <w:vertAlign w:val="superscript"/>
        </w:rPr>
        <w:footnoteReference w:id="55"/>
      </w:r>
    </w:p>
    <w:p w14:paraId="67715273" w14:textId="684DBCAE"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Politically, the </w:t>
      </w:r>
      <w:r w:rsidRPr="009F38E3">
        <w:rPr>
          <w:rFonts w:ascii="Arial" w:hAnsi="Arial" w:cs="Arial"/>
          <w:i/>
          <w:iCs/>
          <w:sz w:val="24"/>
          <w:szCs w:val="24"/>
        </w:rPr>
        <w:t>Civilised Labour Policy</w:t>
      </w:r>
      <w:r w:rsidRPr="009F38E3">
        <w:rPr>
          <w:rFonts w:ascii="Arial" w:hAnsi="Arial" w:cs="Arial"/>
          <w:sz w:val="24"/>
          <w:szCs w:val="24"/>
        </w:rPr>
        <w:t xml:space="preserve"> paved the way for apartheid by establishing state-sanctioned racial discrimination in the workplace. It not only codified racial superiority in the workplace, but also strengthened the argument that economic advantages should be kept for white South Africans. This created a foundation for further apartheid policies that would exacerbate racial disparity in all sectors of society.</w:t>
      </w:r>
      <w:r w:rsidRPr="009F38E3">
        <w:rPr>
          <w:rFonts w:ascii="Arial" w:hAnsi="Arial" w:cs="Arial"/>
          <w:sz w:val="24"/>
          <w:szCs w:val="24"/>
          <w:vertAlign w:val="superscript"/>
        </w:rPr>
        <w:footnoteReference w:id="56"/>
      </w:r>
      <w:r w:rsidRPr="009F38E3">
        <w:rPr>
          <w:rFonts w:ascii="Arial" w:hAnsi="Arial" w:cs="Arial"/>
          <w:sz w:val="24"/>
          <w:szCs w:val="24"/>
        </w:rPr>
        <w:t xml:space="preserve"> </w:t>
      </w:r>
    </w:p>
    <w:p w14:paraId="017505FC" w14:textId="008F64D3" w:rsidR="00664603" w:rsidRPr="009F38E3" w:rsidRDefault="00664603" w:rsidP="00CB0751">
      <w:pPr>
        <w:pStyle w:val="Subtitle"/>
        <w:numPr>
          <w:ilvl w:val="0"/>
          <w:numId w:val="0"/>
        </w:numPr>
        <w:ind w:left="1701" w:hanging="907"/>
      </w:pPr>
      <w:bookmarkStart w:id="56" w:name="_Toc189739279"/>
      <w:r w:rsidRPr="009F38E3">
        <w:t>2.2.3.4 Mines and Works Amendment Act of 1926 and</w:t>
      </w:r>
      <w:r w:rsidR="00950AFD" w:rsidRPr="009F38E3">
        <w:t xml:space="preserve"> the</w:t>
      </w:r>
      <w:r w:rsidRPr="009F38E3">
        <w:t xml:space="preserve"> Industrial Conciliation Act 28 of 1956</w:t>
      </w:r>
      <w:bookmarkEnd w:id="56"/>
    </w:p>
    <w:p w14:paraId="01733FDC" w14:textId="77777777" w:rsidR="00664603" w:rsidRPr="009F38E3" w:rsidRDefault="00664603" w:rsidP="00664603">
      <w:pPr>
        <w:spacing w:line="360" w:lineRule="auto"/>
        <w:jc w:val="both"/>
        <w:rPr>
          <w:rFonts w:ascii="Arial" w:hAnsi="Arial" w:cs="Arial"/>
          <w:b/>
          <w:bCs/>
          <w:sz w:val="24"/>
          <w:szCs w:val="24"/>
        </w:rPr>
      </w:pPr>
      <w:r w:rsidRPr="009F38E3">
        <w:rPr>
          <w:rFonts w:ascii="Arial" w:hAnsi="Arial" w:cs="Arial"/>
          <w:sz w:val="24"/>
          <w:szCs w:val="24"/>
        </w:rPr>
        <w:t>The</w:t>
      </w:r>
      <w:r w:rsidRPr="009F38E3">
        <w:rPr>
          <w:rFonts w:ascii="Arial" w:hAnsi="Arial" w:cs="Arial"/>
          <w:i/>
          <w:iCs/>
          <w:sz w:val="24"/>
          <w:szCs w:val="24"/>
        </w:rPr>
        <w:t xml:space="preserve"> Mines and Works Amendment Act of 1926</w:t>
      </w:r>
      <w:r w:rsidRPr="009F38E3">
        <w:rPr>
          <w:rFonts w:ascii="Arial" w:hAnsi="Arial" w:cs="Arial"/>
          <w:sz w:val="24"/>
          <w:szCs w:val="24"/>
        </w:rPr>
        <w:t xml:space="preserve"> and the </w:t>
      </w:r>
      <w:r w:rsidRPr="009F38E3">
        <w:rPr>
          <w:rFonts w:ascii="Arial" w:hAnsi="Arial" w:cs="Arial"/>
          <w:i/>
          <w:iCs/>
          <w:sz w:val="24"/>
          <w:szCs w:val="24"/>
        </w:rPr>
        <w:t>Industrial Conciliation Act 28 of 1956</w:t>
      </w:r>
      <w:r w:rsidRPr="009F38E3">
        <w:rPr>
          <w:rFonts w:ascii="Arial" w:hAnsi="Arial" w:cs="Arial"/>
          <w:sz w:val="24"/>
          <w:szCs w:val="24"/>
        </w:rPr>
        <w:t xml:space="preserve"> were instrumental in confirming racial segregation in South Africa's labour market, particularly through employment reservation. </w:t>
      </w:r>
    </w:p>
    <w:p w14:paraId="3D658DF3" w14:textId="27C29524"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Mines and Works Act of 1911</w:t>
      </w:r>
      <w:r w:rsidRPr="009F38E3">
        <w:rPr>
          <w:rFonts w:ascii="Arial" w:hAnsi="Arial" w:cs="Arial"/>
          <w:sz w:val="24"/>
          <w:szCs w:val="24"/>
        </w:rPr>
        <w:t xml:space="preserve"> established job reservation regulations, but its 1926 revision, known as the "</w:t>
      </w:r>
      <w:r w:rsidRPr="009F38E3">
        <w:rPr>
          <w:rFonts w:ascii="Arial" w:hAnsi="Arial" w:cs="Arial"/>
          <w:i/>
          <w:iCs/>
          <w:sz w:val="24"/>
          <w:szCs w:val="24"/>
        </w:rPr>
        <w:t xml:space="preserve">Colour Bar </w:t>
      </w:r>
      <w:r w:rsidR="00950AFD" w:rsidRPr="009F38E3">
        <w:rPr>
          <w:rFonts w:ascii="Arial" w:hAnsi="Arial" w:cs="Arial"/>
          <w:i/>
          <w:iCs/>
          <w:sz w:val="24"/>
          <w:szCs w:val="24"/>
        </w:rPr>
        <w:t>Policy</w:t>
      </w:r>
      <w:r w:rsidRPr="009F38E3">
        <w:rPr>
          <w:rFonts w:ascii="Arial" w:hAnsi="Arial" w:cs="Arial"/>
          <w:sz w:val="24"/>
          <w:szCs w:val="24"/>
        </w:rPr>
        <w:t xml:space="preserve">," greatly enlarged these policies. The amendment was intended to establish and reinforce racial divides in the mining </w:t>
      </w:r>
      <w:r w:rsidRPr="009F38E3">
        <w:rPr>
          <w:rFonts w:ascii="Arial" w:hAnsi="Arial" w:cs="Arial"/>
          <w:sz w:val="24"/>
          <w:szCs w:val="24"/>
        </w:rPr>
        <w:lastRenderedPageBreak/>
        <w:t>industry by designating specific skilled professions, such as artisans and supervisors, exclusively for white workers.</w:t>
      </w:r>
      <w:r w:rsidRPr="009F38E3">
        <w:rPr>
          <w:rFonts w:ascii="Arial" w:hAnsi="Arial" w:cs="Arial"/>
          <w:sz w:val="24"/>
          <w:szCs w:val="24"/>
          <w:vertAlign w:val="superscript"/>
        </w:rPr>
        <w:footnoteReference w:id="57"/>
      </w:r>
      <w:r w:rsidRPr="009F38E3">
        <w:rPr>
          <w:rFonts w:ascii="Arial" w:hAnsi="Arial" w:cs="Arial"/>
          <w:sz w:val="24"/>
          <w:szCs w:val="24"/>
        </w:rPr>
        <w:t xml:space="preserve"> This was especially important in South Africa, where mining was a major industry that generated significant employment and economic prospects.</w:t>
      </w:r>
      <w:r w:rsidRPr="009F38E3">
        <w:rPr>
          <w:rFonts w:ascii="Arial" w:hAnsi="Arial" w:cs="Arial"/>
          <w:sz w:val="24"/>
          <w:szCs w:val="24"/>
          <w:vertAlign w:val="superscript"/>
        </w:rPr>
        <w:footnoteReference w:id="58"/>
      </w:r>
      <w:r w:rsidRPr="009F38E3">
        <w:rPr>
          <w:rFonts w:ascii="Arial" w:hAnsi="Arial" w:cs="Arial"/>
          <w:sz w:val="24"/>
          <w:szCs w:val="24"/>
        </w:rPr>
        <w:t xml:space="preserve"> As a result, Black South Africans were systematically excluded from lucrative mining jobs, perpetuating economic inequities between races.</w:t>
      </w:r>
    </w:p>
    <w:p w14:paraId="2CDF52CD" w14:textId="23CB68B4"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Industrial Conciliation Act 28 of 1956</w:t>
      </w:r>
      <w:r w:rsidRPr="009F38E3">
        <w:rPr>
          <w:rFonts w:ascii="Arial" w:hAnsi="Arial" w:cs="Arial"/>
          <w:sz w:val="24"/>
          <w:szCs w:val="24"/>
        </w:rPr>
        <w:t xml:space="preserve"> strengthened work reservation by expanding racial job segregation into additional industries. This statute barred Black labourers from being designated as "employees" under the law, denying them legally recognized labour rights such as the opportunity to organize and participate in trade unions. Furthermore, the Act established section 77(6)(a), which enabled racial job reservation rules beyond the mining industry, thus extending these discriminatory practices across a broader variety of industries.</w:t>
      </w:r>
      <w:r w:rsidRPr="009F38E3">
        <w:rPr>
          <w:rFonts w:ascii="Arial" w:hAnsi="Arial" w:cs="Arial"/>
          <w:sz w:val="24"/>
          <w:szCs w:val="24"/>
          <w:vertAlign w:val="superscript"/>
        </w:rPr>
        <w:footnoteReference w:id="59"/>
      </w:r>
      <w:r w:rsidR="00661243">
        <w:rPr>
          <w:rFonts w:ascii="Arial" w:hAnsi="Arial" w:cs="Arial"/>
          <w:sz w:val="24"/>
          <w:szCs w:val="24"/>
        </w:rPr>
        <w:t xml:space="preserve"> </w:t>
      </w:r>
      <w:r w:rsidRPr="009F38E3">
        <w:rPr>
          <w:rFonts w:ascii="Arial" w:hAnsi="Arial" w:cs="Arial"/>
          <w:sz w:val="24"/>
          <w:szCs w:val="24"/>
        </w:rPr>
        <w:t xml:space="preserve">The work reservation regulations imposed by these statutes intensified salary inequities between Black and White workers. </w:t>
      </w:r>
    </w:p>
    <w:p w14:paraId="0E78483C" w14:textId="77777777" w:rsidR="00664603" w:rsidRPr="009F38E3" w:rsidRDefault="00664603" w:rsidP="00CB0751">
      <w:pPr>
        <w:pStyle w:val="Subtitle"/>
        <w:numPr>
          <w:ilvl w:val="0"/>
          <w:numId w:val="0"/>
        </w:numPr>
        <w:ind w:left="792"/>
      </w:pPr>
      <w:bookmarkStart w:id="59" w:name="_Toc189739280"/>
      <w:r w:rsidRPr="009F38E3">
        <w:t>2.2.3.5 Native Building Workers Act 27 of 1951</w:t>
      </w:r>
      <w:bookmarkEnd w:id="59"/>
    </w:p>
    <w:p w14:paraId="3777DD65" w14:textId="3D8798B2"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Native Building Workers Act</w:t>
      </w:r>
      <w:r w:rsidRPr="009F38E3">
        <w:rPr>
          <w:rFonts w:ascii="Arial" w:hAnsi="Arial" w:cs="Arial"/>
          <w:sz w:val="24"/>
          <w:szCs w:val="24"/>
        </w:rPr>
        <w:t xml:space="preserve"> was a racially discriminatory statute designed to limit Black South Africans' economic advancement and employment prospects. This Act attempted to maintain racial hierarchies within the skilled labour market by preventing Black people from undertaking skilled building and construction work in urban areas, guaranteeing that higher-paying, skilled employment in these industries w</w:t>
      </w:r>
      <w:r w:rsidR="00950AFD" w:rsidRPr="009F38E3">
        <w:rPr>
          <w:rFonts w:ascii="Arial" w:hAnsi="Arial" w:cs="Arial"/>
          <w:sz w:val="24"/>
          <w:szCs w:val="24"/>
        </w:rPr>
        <w:t xml:space="preserve">as </w:t>
      </w:r>
      <w:r w:rsidRPr="009F38E3">
        <w:rPr>
          <w:rFonts w:ascii="Arial" w:hAnsi="Arial" w:cs="Arial"/>
          <w:sz w:val="24"/>
          <w:szCs w:val="24"/>
        </w:rPr>
        <w:t xml:space="preserve">exclusively available to white workers. The prohibition was defended by the argument that permitting Black workers to pursue skilled occupations would jeopardize the "civilized labour" policy and compromise white workers' economic status. The Native Building Workers </w:t>
      </w:r>
      <w:r w:rsidRPr="009F38E3">
        <w:rPr>
          <w:rFonts w:ascii="Arial" w:hAnsi="Arial" w:cs="Arial"/>
          <w:i/>
          <w:iCs/>
          <w:sz w:val="24"/>
          <w:szCs w:val="24"/>
        </w:rPr>
        <w:t>Act</w:t>
      </w:r>
      <w:r w:rsidRPr="009F38E3">
        <w:rPr>
          <w:rFonts w:ascii="Arial" w:hAnsi="Arial" w:cs="Arial"/>
          <w:sz w:val="24"/>
          <w:szCs w:val="24"/>
        </w:rPr>
        <w:t xml:space="preserve"> also provided for an exemption in which Black workers might conduct skilled labour under the supervision of a white foreman.</w:t>
      </w:r>
      <w:r w:rsidRPr="009F38E3">
        <w:rPr>
          <w:rFonts w:ascii="Arial" w:hAnsi="Arial" w:cs="Arial"/>
          <w:sz w:val="24"/>
          <w:szCs w:val="24"/>
          <w:vertAlign w:val="superscript"/>
        </w:rPr>
        <w:footnoteReference w:id="60"/>
      </w:r>
    </w:p>
    <w:p w14:paraId="0C753CFE" w14:textId="0C0FC5E2"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 restriction imposed on Black South Africans undertaking skilled employment in urban areas had a profound impact on their economic independence and access to professional training.</w:t>
      </w:r>
      <w:r w:rsidRPr="009F38E3">
        <w:rPr>
          <w:rFonts w:ascii="Arial" w:hAnsi="Arial" w:cs="Arial"/>
          <w:sz w:val="24"/>
          <w:szCs w:val="24"/>
          <w:vertAlign w:val="superscript"/>
        </w:rPr>
        <w:footnoteReference w:id="61"/>
      </w:r>
      <w:r w:rsidR="00661243">
        <w:rPr>
          <w:rFonts w:ascii="Arial" w:hAnsi="Arial" w:cs="Arial"/>
          <w:sz w:val="24"/>
          <w:szCs w:val="24"/>
        </w:rPr>
        <w:t xml:space="preserve"> </w:t>
      </w:r>
      <w:r w:rsidRPr="009F38E3">
        <w:rPr>
          <w:rFonts w:ascii="Arial" w:hAnsi="Arial" w:cs="Arial"/>
          <w:sz w:val="24"/>
          <w:szCs w:val="24"/>
        </w:rPr>
        <w:t xml:space="preserve">By reserving these positions for white workers, the Act </w:t>
      </w:r>
      <w:r w:rsidRPr="009F38E3">
        <w:rPr>
          <w:rFonts w:ascii="Arial" w:hAnsi="Arial" w:cs="Arial"/>
          <w:sz w:val="24"/>
          <w:szCs w:val="24"/>
        </w:rPr>
        <w:lastRenderedPageBreak/>
        <w:t>effectively parted the labour market along racial lines, limiting Black workers to lower-paying, unskilled jobs with little opportunity for development.</w:t>
      </w:r>
      <w:r w:rsidRPr="009F38E3">
        <w:rPr>
          <w:rFonts w:ascii="Arial" w:hAnsi="Arial" w:cs="Arial"/>
          <w:sz w:val="24"/>
          <w:szCs w:val="24"/>
          <w:vertAlign w:val="superscript"/>
        </w:rPr>
        <w:footnoteReference w:id="62"/>
      </w:r>
    </w:p>
    <w:p w14:paraId="08B192D3" w14:textId="77777777" w:rsidR="00664603" w:rsidRPr="009F38E3" w:rsidRDefault="00664603" w:rsidP="00CB0751">
      <w:pPr>
        <w:pStyle w:val="Subtitle"/>
        <w:numPr>
          <w:ilvl w:val="0"/>
          <w:numId w:val="0"/>
        </w:numPr>
        <w:ind w:left="792"/>
      </w:pPr>
      <w:bookmarkStart w:id="62" w:name="_Toc189739281"/>
      <w:r w:rsidRPr="009F38E3">
        <w:t>2.2.3.6 Native Laws Amendment Act 54 of 1952</w:t>
      </w:r>
      <w:bookmarkEnd w:id="62"/>
    </w:p>
    <w:p w14:paraId="1F5A651F" w14:textId="54272234"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w:t>
      </w:r>
      <w:r w:rsidRPr="009F38E3">
        <w:rPr>
          <w:rFonts w:ascii="Arial" w:hAnsi="Arial" w:cs="Arial"/>
          <w:b/>
          <w:bCs/>
          <w:i/>
          <w:iCs/>
          <w:sz w:val="24"/>
          <w:szCs w:val="24"/>
        </w:rPr>
        <w:t xml:space="preserve"> </w:t>
      </w:r>
      <w:r w:rsidRPr="009F38E3">
        <w:rPr>
          <w:rFonts w:ascii="Arial" w:hAnsi="Arial" w:cs="Arial"/>
          <w:i/>
          <w:iCs/>
          <w:sz w:val="24"/>
          <w:szCs w:val="24"/>
        </w:rPr>
        <w:t>Native Laws Amendment Act</w:t>
      </w:r>
      <w:r w:rsidRPr="009F38E3">
        <w:rPr>
          <w:rFonts w:ascii="Arial" w:hAnsi="Arial" w:cs="Arial"/>
          <w:sz w:val="24"/>
          <w:szCs w:val="24"/>
        </w:rPr>
        <w:t xml:space="preserve"> limited Black people's ability to seek employment in urban areas unless they satisfied certain criteria, limiting their "work of choice." As an extension of existing legislation, the </w:t>
      </w:r>
      <w:r w:rsidRPr="009F38E3">
        <w:rPr>
          <w:rFonts w:ascii="Arial" w:hAnsi="Arial" w:cs="Arial"/>
          <w:i/>
          <w:iCs/>
          <w:sz w:val="24"/>
          <w:szCs w:val="24"/>
        </w:rPr>
        <w:t>Native Laws Amendment Act</w:t>
      </w:r>
      <w:r w:rsidRPr="009F38E3">
        <w:rPr>
          <w:rFonts w:ascii="Arial" w:hAnsi="Arial" w:cs="Arial"/>
          <w:sz w:val="24"/>
          <w:szCs w:val="24"/>
        </w:rPr>
        <w:t xml:space="preserve"> sought to maintain white control over urban labour markets by limiting Black movement to cities and strengthening Black workers' economic reliance on rural, often exploitative, agricultural work. The </w:t>
      </w:r>
      <w:r w:rsidRPr="009F38E3">
        <w:rPr>
          <w:rFonts w:ascii="Arial" w:hAnsi="Arial" w:cs="Arial"/>
          <w:i/>
          <w:iCs/>
          <w:sz w:val="24"/>
          <w:szCs w:val="24"/>
        </w:rPr>
        <w:t>Native Laws Amendment Act</w:t>
      </w:r>
      <w:r w:rsidRPr="009F38E3">
        <w:rPr>
          <w:rFonts w:ascii="Arial" w:hAnsi="Arial" w:cs="Arial"/>
          <w:sz w:val="24"/>
          <w:szCs w:val="24"/>
        </w:rPr>
        <w:t xml:space="preserve"> </w:t>
      </w:r>
      <w:proofErr w:type="gramStart"/>
      <w:r w:rsidRPr="009F38E3">
        <w:rPr>
          <w:rFonts w:ascii="Arial" w:hAnsi="Arial" w:cs="Arial"/>
          <w:sz w:val="24"/>
          <w:szCs w:val="24"/>
        </w:rPr>
        <w:t>curtailed</w:t>
      </w:r>
      <w:proofErr w:type="gramEnd"/>
      <w:r w:rsidRPr="009F38E3">
        <w:rPr>
          <w:rFonts w:ascii="Arial" w:hAnsi="Arial" w:cs="Arial"/>
          <w:sz w:val="24"/>
          <w:szCs w:val="24"/>
        </w:rPr>
        <w:t xml:space="preserve"> Black South Africans' movement by forcing them to have official permission to live and work in cities. The permission was conditional, and it was only provided to those who had worked for one employer in an urban area for at least ten years or had lived there for fifteen years.</w:t>
      </w:r>
      <w:r w:rsidRPr="009F38E3">
        <w:rPr>
          <w:rFonts w:ascii="Arial" w:hAnsi="Arial" w:cs="Arial"/>
          <w:sz w:val="24"/>
          <w:szCs w:val="24"/>
          <w:vertAlign w:val="superscript"/>
        </w:rPr>
        <w:footnoteReference w:id="63"/>
      </w:r>
      <w:r w:rsidRPr="009F38E3">
        <w:rPr>
          <w:rFonts w:ascii="Arial" w:hAnsi="Arial" w:cs="Arial"/>
          <w:sz w:val="24"/>
          <w:szCs w:val="24"/>
        </w:rPr>
        <w:t xml:space="preserve"> This condition successfully prevented the great majority of Black workers from obtaining metropolitan jobs, as few could meet the prerequisites.</w:t>
      </w:r>
      <w:r w:rsidRPr="009F38E3">
        <w:rPr>
          <w:rFonts w:ascii="Arial" w:hAnsi="Arial" w:cs="Arial"/>
          <w:sz w:val="24"/>
          <w:szCs w:val="24"/>
          <w:vertAlign w:val="superscript"/>
        </w:rPr>
        <w:footnoteReference w:id="64"/>
      </w:r>
      <w:r w:rsidRPr="009F38E3">
        <w:rPr>
          <w:rFonts w:ascii="Arial" w:hAnsi="Arial" w:cs="Arial"/>
          <w:sz w:val="24"/>
          <w:szCs w:val="24"/>
        </w:rPr>
        <w:t xml:space="preserve"> </w:t>
      </w:r>
    </w:p>
    <w:p w14:paraId="69E62024"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Native Laws Amendment Act's</w:t>
      </w:r>
      <w:r w:rsidRPr="009F38E3">
        <w:rPr>
          <w:rFonts w:ascii="Arial" w:hAnsi="Arial" w:cs="Arial"/>
          <w:sz w:val="24"/>
          <w:szCs w:val="24"/>
        </w:rPr>
        <w:t xml:space="preserve"> legacy lasted long after it was implemented, as movement limitations hindered Black South Africans' abilities to learn new skills, start businesses in cities, and advance their careers in fields other than manual work.</w:t>
      </w:r>
      <w:r w:rsidRPr="009F38E3">
        <w:rPr>
          <w:rFonts w:ascii="Arial" w:hAnsi="Arial" w:cs="Arial"/>
          <w:sz w:val="24"/>
          <w:szCs w:val="24"/>
          <w:vertAlign w:val="superscript"/>
        </w:rPr>
        <w:footnoteReference w:id="65"/>
      </w:r>
      <w:r w:rsidRPr="009F38E3">
        <w:rPr>
          <w:rFonts w:ascii="Arial" w:hAnsi="Arial" w:cs="Arial"/>
          <w:sz w:val="24"/>
          <w:szCs w:val="24"/>
        </w:rPr>
        <w:t xml:space="preserve"> The constraints of this Act contributed to an ongoing economic divide by systematically excluding generations of Black South Africans from the benefits of urban industrial growth, which remained primarily available to white workers.</w:t>
      </w:r>
      <w:r w:rsidRPr="009F38E3">
        <w:rPr>
          <w:rFonts w:ascii="Arial" w:hAnsi="Arial" w:cs="Arial"/>
          <w:sz w:val="24"/>
          <w:szCs w:val="24"/>
          <w:vertAlign w:val="superscript"/>
        </w:rPr>
        <w:footnoteReference w:id="66"/>
      </w:r>
    </w:p>
    <w:p w14:paraId="3C6BE2AA" w14:textId="77777777" w:rsidR="00664603" w:rsidRPr="009F38E3" w:rsidRDefault="00664603" w:rsidP="00CB0751">
      <w:pPr>
        <w:pStyle w:val="Subtitle"/>
        <w:numPr>
          <w:ilvl w:val="0"/>
          <w:numId w:val="0"/>
        </w:numPr>
        <w:ind w:left="792"/>
      </w:pPr>
      <w:bookmarkStart w:id="64" w:name="_Toc189739282"/>
      <w:r w:rsidRPr="009F38E3">
        <w:t>2.2.3.7 Apartheid</w:t>
      </w:r>
      <w:bookmarkEnd w:id="64"/>
    </w:p>
    <w:p w14:paraId="11E36894"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Apartheid was a government-established system of racial segregation and discrimination that was implemented in South Africa from 1948 to 1994. Its goal was to maintain white supremacy by segregating and subjugating the Black majority and other races. Apartheid codified racial discrimination in all sectors, including work, housing, education, and healthcare. Apartheid regulations limited opportunities for advancement for Black South Africans in the workplace, supporting a parallel labour </w:t>
      </w:r>
      <w:r w:rsidRPr="009F38E3">
        <w:rPr>
          <w:rFonts w:ascii="Arial" w:hAnsi="Arial" w:cs="Arial"/>
          <w:sz w:val="24"/>
          <w:szCs w:val="24"/>
        </w:rPr>
        <w:lastRenderedPageBreak/>
        <w:t>market in which Black people were confined to unskilled labour with low wages while white workers were given skilled employment.</w:t>
      </w:r>
    </w:p>
    <w:p w14:paraId="2F08D854"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Apartheid was upheld through a system of political repression that limited civil liberties, including the freedom to oppose unjust labour practices. The </w:t>
      </w:r>
      <w:r w:rsidRPr="009F38E3">
        <w:rPr>
          <w:rFonts w:ascii="Arial" w:hAnsi="Arial" w:cs="Arial"/>
          <w:i/>
          <w:iCs/>
          <w:sz w:val="24"/>
          <w:szCs w:val="24"/>
        </w:rPr>
        <w:t xml:space="preserve">Suppression of Communism Act </w:t>
      </w:r>
      <w:r w:rsidRPr="009F38E3">
        <w:rPr>
          <w:rFonts w:ascii="Arial" w:hAnsi="Arial" w:cs="Arial"/>
          <w:sz w:val="24"/>
          <w:szCs w:val="24"/>
        </w:rPr>
        <w:t xml:space="preserve">of 1950 was used to muzzle political dissent, and the </w:t>
      </w:r>
      <w:r w:rsidRPr="009F38E3">
        <w:rPr>
          <w:rFonts w:ascii="Arial" w:hAnsi="Arial" w:cs="Arial"/>
          <w:i/>
          <w:iCs/>
          <w:sz w:val="24"/>
          <w:szCs w:val="24"/>
        </w:rPr>
        <w:t xml:space="preserve">Riotous Assemblies Act </w:t>
      </w:r>
      <w:r w:rsidRPr="009F38E3">
        <w:rPr>
          <w:rFonts w:ascii="Arial" w:hAnsi="Arial" w:cs="Arial"/>
          <w:sz w:val="24"/>
          <w:szCs w:val="24"/>
        </w:rPr>
        <w:t>of 1956 prohibited gatherings of more than ten persons without official approval. This took away Black South Africans' ability to organize and fight for fair treatment in the workplace, effectively depriving them of the right to advocate for improved working conditions or fair salaries.</w:t>
      </w:r>
      <w:r w:rsidRPr="009F38E3">
        <w:rPr>
          <w:rFonts w:ascii="Arial" w:hAnsi="Arial" w:cs="Arial"/>
          <w:sz w:val="24"/>
          <w:szCs w:val="24"/>
          <w:vertAlign w:val="superscript"/>
        </w:rPr>
        <w:footnoteReference w:id="67"/>
      </w:r>
      <w:r w:rsidRPr="009F38E3">
        <w:rPr>
          <w:rFonts w:ascii="Arial" w:hAnsi="Arial" w:cs="Arial"/>
          <w:sz w:val="24"/>
          <w:szCs w:val="24"/>
        </w:rPr>
        <w:t xml:space="preserve"> Trade unions were severely prohibited, and Black workers who attempted to organize or strike faced serious consequences, leaving them exposed to abuse by employers with no regulatory monitoring.</w:t>
      </w:r>
      <w:r w:rsidRPr="009F38E3">
        <w:rPr>
          <w:rFonts w:ascii="Arial" w:hAnsi="Arial" w:cs="Arial"/>
          <w:sz w:val="24"/>
          <w:szCs w:val="24"/>
          <w:vertAlign w:val="superscript"/>
        </w:rPr>
        <w:footnoteReference w:id="68"/>
      </w:r>
    </w:p>
    <w:p w14:paraId="015FEA02"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Furthermore, apartheid's extreme pass laws, particularly the </w:t>
      </w:r>
      <w:r w:rsidRPr="009F38E3">
        <w:rPr>
          <w:rFonts w:ascii="Arial" w:hAnsi="Arial" w:cs="Arial"/>
          <w:i/>
          <w:iCs/>
          <w:sz w:val="24"/>
          <w:szCs w:val="24"/>
        </w:rPr>
        <w:t xml:space="preserve">Pass Laws Act </w:t>
      </w:r>
      <w:r w:rsidRPr="009F38E3">
        <w:rPr>
          <w:rFonts w:ascii="Arial" w:hAnsi="Arial" w:cs="Arial"/>
          <w:sz w:val="24"/>
          <w:szCs w:val="24"/>
        </w:rPr>
        <w:t>67 of 1952</w:t>
      </w:r>
      <w:r w:rsidRPr="009F38E3">
        <w:rPr>
          <w:rFonts w:ascii="Arial" w:hAnsi="Arial" w:cs="Arial"/>
          <w:i/>
          <w:iCs/>
          <w:sz w:val="24"/>
          <w:szCs w:val="24"/>
        </w:rPr>
        <w:t>,</w:t>
      </w:r>
      <w:r w:rsidRPr="009F38E3">
        <w:rPr>
          <w:rFonts w:ascii="Arial" w:hAnsi="Arial" w:cs="Arial"/>
          <w:sz w:val="24"/>
          <w:szCs w:val="24"/>
        </w:rPr>
        <w:t xml:space="preserve"> limited the movement of Black South Africans by requiring them to carry identification documents that decided whether they could access designated "white areas" for work. These regulations permitted employers to meticulously oversee the Black labour, as Black people needed passes to get from work to home, further restricting their independence and limiting their ability to seek better job prospects.</w:t>
      </w:r>
    </w:p>
    <w:p w14:paraId="559F44EB"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During apartheid, non-white South Africans were often denied the rights and protections enjoyed by their white counterparts in the labour industry. Discriminatory policies were implemented across a variety of dimensions, including salaries, union membership, health and safety standards, working conditions, and punitive measures. One of the most apparent types of labour discrimination was the salary gap between white and non-white workers. Black employees, in instance, were paid much less than their white counterparts, even while performing equal positions or tasks. This wage disparity was legally and socially sanctioned during apartheid, exacerbating the economic division between races. In addition, until the late apartheid period, non-white workers were consistently denied the opportunity to create or join trade unions, limiting their ability to lobby for fair treatment and better working conditions.</w:t>
      </w:r>
      <w:r w:rsidRPr="009F38E3">
        <w:rPr>
          <w:rFonts w:ascii="Arial" w:hAnsi="Arial" w:cs="Arial"/>
          <w:sz w:val="24"/>
          <w:szCs w:val="24"/>
          <w:vertAlign w:val="superscript"/>
        </w:rPr>
        <w:footnoteReference w:id="69"/>
      </w:r>
      <w:r w:rsidRPr="009F38E3">
        <w:rPr>
          <w:rFonts w:ascii="Arial" w:hAnsi="Arial" w:cs="Arial"/>
          <w:sz w:val="24"/>
          <w:szCs w:val="24"/>
        </w:rPr>
        <w:t xml:space="preserve"> The </w:t>
      </w:r>
      <w:r w:rsidRPr="009F38E3">
        <w:rPr>
          <w:rFonts w:ascii="Arial" w:hAnsi="Arial" w:cs="Arial"/>
          <w:i/>
          <w:iCs/>
          <w:sz w:val="24"/>
          <w:szCs w:val="24"/>
        </w:rPr>
        <w:t xml:space="preserve">Industrial Conciliation Act </w:t>
      </w:r>
      <w:r w:rsidRPr="009F38E3">
        <w:rPr>
          <w:rFonts w:ascii="Arial" w:hAnsi="Arial" w:cs="Arial"/>
          <w:sz w:val="24"/>
          <w:szCs w:val="24"/>
        </w:rPr>
        <w:t>28 of 1956</w:t>
      </w:r>
      <w:r w:rsidRPr="009F38E3">
        <w:rPr>
          <w:rFonts w:ascii="Arial" w:hAnsi="Arial" w:cs="Arial"/>
          <w:i/>
          <w:iCs/>
          <w:sz w:val="24"/>
          <w:szCs w:val="24"/>
        </w:rPr>
        <w:t xml:space="preserve"> </w:t>
      </w:r>
      <w:r w:rsidRPr="009F38E3">
        <w:rPr>
          <w:rFonts w:ascii="Arial" w:hAnsi="Arial" w:cs="Arial"/>
          <w:sz w:val="24"/>
          <w:szCs w:val="24"/>
        </w:rPr>
        <w:t xml:space="preserve">prohibited Black workers from joining legal unions, </w:t>
      </w:r>
      <w:r w:rsidRPr="009F38E3">
        <w:rPr>
          <w:rFonts w:ascii="Arial" w:hAnsi="Arial" w:cs="Arial"/>
          <w:sz w:val="24"/>
          <w:szCs w:val="24"/>
        </w:rPr>
        <w:lastRenderedPageBreak/>
        <w:t>essentially silencing a large segment of the workforce.</w:t>
      </w:r>
      <w:r w:rsidRPr="009F38E3">
        <w:rPr>
          <w:rFonts w:ascii="Arial" w:hAnsi="Arial" w:cs="Arial"/>
          <w:sz w:val="24"/>
          <w:szCs w:val="24"/>
          <w:vertAlign w:val="superscript"/>
        </w:rPr>
        <w:footnoteReference w:id="70"/>
      </w:r>
      <w:r w:rsidRPr="009F38E3">
        <w:rPr>
          <w:rFonts w:ascii="Arial" w:hAnsi="Arial" w:cs="Arial"/>
          <w:sz w:val="24"/>
          <w:szCs w:val="24"/>
        </w:rPr>
        <w:t xml:space="preserve"> The legislation hindered non-white workers from seeking legal recourse or bargaining for higher salaries, benefits, and working conditions, leaving them exposed to exploitation and arbitrary dismissal.</w:t>
      </w:r>
    </w:p>
    <w:p w14:paraId="5A23CD4D"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Employment conditions for non-white South Africans during apartheid were severe and exploitative, with long hours, low earnings, and no job security often prevalent. Non-white workers were frequently forced to work in harsh conditions with few options to improve their situation. Unlike their white counterparts, who had regulated hours and benefits, non-white workers were usually exposed to long shifts with little remuneration, since apartheid policies placed profits and production over workers' rights and wellbeing.</w:t>
      </w:r>
      <w:r w:rsidRPr="009F38E3">
        <w:rPr>
          <w:rFonts w:ascii="Arial" w:hAnsi="Arial" w:cs="Arial"/>
          <w:sz w:val="24"/>
          <w:szCs w:val="24"/>
          <w:vertAlign w:val="superscript"/>
        </w:rPr>
        <w:footnoteReference w:id="71"/>
      </w:r>
    </w:p>
    <w:p w14:paraId="2A87EC53"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Therefore, South Africa's historical labour regulations were designed to enforce racial and gender inequalities, thereby enslaving non-white workers while favouring the white minority. Regulations such as the </w:t>
      </w:r>
      <w:r w:rsidRPr="009F38E3">
        <w:rPr>
          <w:rFonts w:ascii="Arial" w:hAnsi="Arial" w:cs="Arial"/>
          <w:i/>
          <w:iCs/>
          <w:sz w:val="24"/>
          <w:szCs w:val="24"/>
        </w:rPr>
        <w:t>Natives Land Act</w:t>
      </w:r>
      <w:r w:rsidRPr="009F38E3">
        <w:rPr>
          <w:rFonts w:ascii="Arial" w:hAnsi="Arial" w:cs="Arial"/>
          <w:sz w:val="24"/>
          <w:szCs w:val="24"/>
        </w:rPr>
        <w:t xml:space="preserve"> of 1913, the </w:t>
      </w:r>
      <w:r w:rsidRPr="009F38E3">
        <w:rPr>
          <w:rFonts w:ascii="Arial" w:hAnsi="Arial" w:cs="Arial"/>
          <w:i/>
          <w:iCs/>
          <w:sz w:val="24"/>
          <w:szCs w:val="24"/>
        </w:rPr>
        <w:t>Industrial Conciliation Act</w:t>
      </w:r>
      <w:r w:rsidRPr="009F38E3">
        <w:rPr>
          <w:rFonts w:ascii="Arial" w:hAnsi="Arial" w:cs="Arial"/>
          <w:sz w:val="24"/>
          <w:szCs w:val="24"/>
        </w:rPr>
        <w:t xml:space="preserve"> of 1956, and the </w:t>
      </w:r>
      <w:r w:rsidRPr="009F38E3">
        <w:rPr>
          <w:rFonts w:ascii="Arial" w:hAnsi="Arial" w:cs="Arial"/>
          <w:i/>
          <w:iCs/>
          <w:sz w:val="24"/>
          <w:szCs w:val="24"/>
        </w:rPr>
        <w:t>Mines and Works Amendment Act</w:t>
      </w:r>
      <w:r w:rsidRPr="009F38E3">
        <w:rPr>
          <w:rFonts w:ascii="Arial" w:hAnsi="Arial" w:cs="Arial"/>
          <w:sz w:val="24"/>
          <w:szCs w:val="24"/>
        </w:rPr>
        <w:t xml:space="preserve"> of 1926 established a segregated labour market, limiting Black people's ability to own land, join trade unions, or get specialized employment. The </w:t>
      </w:r>
      <w:r w:rsidRPr="009F38E3">
        <w:rPr>
          <w:rFonts w:ascii="Arial" w:hAnsi="Arial" w:cs="Arial"/>
          <w:i/>
          <w:iCs/>
          <w:sz w:val="24"/>
          <w:szCs w:val="24"/>
        </w:rPr>
        <w:t>Civilised Labour Policy</w:t>
      </w:r>
      <w:r w:rsidRPr="009F38E3">
        <w:rPr>
          <w:rFonts w:ascii="Arial" w:hAnsi="Arial" w:cs="Arial"/>
          <w:sz w:val="24"/>
          <w:szCs w:val="24"/>
        </w:rPr>
        <w:t xml:space="preserve"> and the </w:t>
      </w:r>
      <w:r w:rsidRPr="009F38E3">
        <w:rPr>
          <w:rFonts w:ascii="Arial" w:hAnsi="Arial" w:cs="Arial"/>
          <w:i/>
          <w:iCs/>
          <w:sz w:val="24"/>
          <w:szCs w:val="24"/>
        </w:rPr>
        <w:t>Native Building Workers Act</w:t>
      </w:r>
      <w:r w:rsidRPr="009F38E3">
        <w:rPr>
          <w:rFonts w:ascii="Arial" w:hAnsi="Arial" w:cs="Arial"/>
          <w:sz w:val="24"/>
          <w:szCs w:val="24"/>
        </w:rPr>
        <w:t xml:space="preserve"> emphasized the distinction between "civilised" white workers and "uncivilised" Black labour, confining non-white workers in low-income, hazardous employment.</w:t>
      </w:r>
    </w:p>
    <w:p w14:paraId="02A61B8F" w14:textId="2D9459A4"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Finally, apartheid labour regulations produced and cemented socioeconomic inequities that still exist today. Addressing these historical injustices became essential for establishing justice and equality in South Africa's labour market.</w:t>
      </w:r>
    </w:p>
    <w:p w14:paraId="397BE5A3" w14:textId="62106229" w:rsidR="00664603" w:rsidRPr="009F38E3" w:rsidRDefault="00664603" w:rsidP="002F1691">
      <w:pPr>
        <w:pStyle w:val="Heading1"/>
      </w:pPr>
      <w:bookmarkStart w:id="68" w:name="_Toc189739283"/>
      <w:r w:rsidRPr="009F38E3">
        <w:t xml:space="preserve">2.3 </w:t>
      </w:r>
      <w:r w:rsidR="00AE33BF">
        <w:t>The post-constitutional evolution of labour legislations in South Africa</w:t>
      </w:r>
      <w:bookmarkEnd w:id="68"/>
    </w:p>
    <w:p w14:paraId="735C5233" w14:textId="4808DCEB"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inception of affirmative action in South African labour law </w:t>
      </w:r>
      <w:r w:rsidR="00950AFD" w:rsidRPr="009F38E3">
        <w:rPr>
          <w:rFonts w:ascii="Arial" w:hAnsi="Arial" w:cs="Arial"/>
          <w:sz w:val="24"/>
          <w:szCs w:val="24"/>
        </w:rPr>
        <w:t>is</w:t>
      </w:r>
      <w:r w:rsidRPr="009F38E3">
        <w:rPr>
          <w:rFonts w:ascii="Arial" w:hAnsi="Arial" w:cs="Arial"/>
          <w:sz w:val="24"/>
          <w:szCs w:val="24"/>
        </w:rPr>
        <w:t xml:space="preserve"> fundamentally connected to the country's transformation from an oppressive past to a more democratic and inclusive workforce. Affirmative action, which is enshrined in the </w:t>
      </w:r>
      <w:r w:rsidRPr="009F38E3">
        <w:rPr>
          <w:rFonts w:ascii="Arial" w:hAnsi="Arial" w:cs="Arial"/>
          <w:i/>
          <w:iCs/>
          <w:sz w:val="24"/>
          <w:szCs w:val="24"/>
        </w:rPr>
        <w:t xml:space="preserve">Employment Equity Act </w:t>
      </w:r>
      <w:r w:rsidRPr="009F38E3">
        <w:rPr>
          <w:rFonts w:ascii="Arial" w:hAnsi="Arial" w:cs="Arial"/>
          <w:sz w:val="24"/>
          <w:szCs w:val="24"/>
        </w:rPr>
        <w:t xml:space="preserve">and anchored on section 9 of the </w:t>
      </w:r>
      <w:r w:rsidRPr="009F38E3">
        <w:rPr>
          <w:rFonts w:ascii="Arial" w:hAnsi="Arial" w:cs="Arial"/>
          <w:i/>
          <w:iCs/>
          <w:sz w:val="24"/>
          <w:szCs w:val="24"/>
        </w:rPr>
        <w:t>Constitution</w:t>
      </w:r>
      <w:r w:rsidRPr="009F38E3">
        <w:rPr>
          <w:rFonts w:ascii="Arial" w:hAnsi="Arial" w:cs="Arial"/>
          <w:sz w:val="24"/>
          <w:szCs w:val="24"/>
        </w:rPr>
        <w:t xml:space="preserve">, is a legal and social framework designed expressly to rectify historical inequalities in the workplace. This legislative structure arose not just from a moral obligation to correct historical </w:t>
      </w:r>
      <w:r w:rsidRPr="009F38E3">
        <w:rPr>
          <w:rFonts w:ascii="Arial" w:hAnsi="Arial" w:cs="Arial"/>
          <w:sz w:val="24"/>
          <w:szCs w:val="24"/>
        </w:rPr>
        <w:lastRenderedPageBreak/>
        <w:t>exclusionary practices, but also from the economic requirement of building workplaces that exemplify diversity and inclusion. The goal of labour legislation in post-apartheid South Africa is one that promotes not only equal opportunities but also equitable outcomes, acknowledging that real equality in the workplace necessitates deliberate and structured approaches.</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This approach exemplifies South Africa's dedication to both theoretical human rights and actual workplace transformation, establishing workplaces in which diversity, equity, and respect for dignity become trademarks of the professional experience.</w:t>
      </w:r>
    </w:p>
    <w:p w14:paraId="37CA70D4" w14:textId="77777777" w:rsidR="00664603" w:rsidRPr="009F38E3" w:rsidRDefault="00664603" w:rsidP="002F1691">
      <w:pPr>
        <w:pStyle w:val="Heading2"/>
      </w:pPr>
      <w:bookmarkStart w:id="69" w:name="_Toc189739284"/>
      <w:r w:rsidRPr="009F38E3">
        <w:t xml:space="preserve">2.3.1 </w:t>
      </w:r>
      <w:proofErr w:type="spellStart"/>
      <w:r w:rsidRPr="009F38E3">
        <w:t>Wiehahn</w:t>
      </w:r>
      <w:proofErr w:type="spellEnd"/>
      <w:r w:rsidRPr="009F38E3">
        <w:t xml:space="preserve"> Commission recommendations</w:t>
      </w:r>
      <w:bookmarkEnd w:id="69"/>
    </w:p>
    <w:p w14:paraId="6C574A0F" w14:textId="1F503D7C"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proofErr w:type="spellStart"/>
      <w:r w:rsidRPr="009F38E3">
        <w:rPr>
          <w:rFonts w:ascii="Arial" w:hAnsi="Arial" w:cs="Arial"/>
          <w:sz w:val="24"/>
          <w:szCs w:val="24"/>
        </w:rPr>
        <w:t>Wiehahn</w:t>
      </w:r>
      <w:proofErr w:type="spellEnd"/>
      <w:r w:rsidRPr="009F38E3">
        <w:rPr>
          <w:rFonts w:ascii="Arial" w:hAnsi="Arial" w:cs="Arial"/>
          <w:sz w:val="24"/>
          <w:szCs w:val="24"/>
        </w:rPr>
        <w:t xml:space="preserve"> Commission's formation in 1977 was a historic turning point in South African labour history, forthcoming in response to intensifying social and political turmoil and economic pressure. The apartheid government, attempting to preserve power in the face of international condemnation, was under increasing pressure to rectify the glaring racial inequalities in the employment market. This occurred against a setting of growing internal resistance, as illustrated by the 1973 Durban strikes and the 1976 Soweto uprising.</w:t>
      </w:r>
      <w:r w:rsidRPr="009F38E3">
        <w:rPr>
          <w:rFonts w:ascii="Arial" w:hAnsi="Arial" w:cs="Arial"/>
          <w:sz w:val="24"/>
          <w:szCs w:val="24"/>
          <w:vertAlign w:val="superscript"/>
        </w:rPr>
        <w:footnoteReference w:id="72"/>
      </w:r>
      <w:r w:rsidRPr="009F38E3">
        <w:rPr>
          <w:rFonts w:ascii="Arial" w:hAnsi="Arial" w:cs="Arial"/>
          <w:sz w:val="24"/>
          <w:szCs w:val="24"/>
        </w:rPr>
        <w:t xml:space="preserve"> Both instances highlighted the despair and fury of Black workers and students, who were </w:t>
      </w:r>
      <w:proofErr w:type="gramStart"/>
      <w:r w:rsidRPr="009F38E3">
        <w:rPr>
          <w:rFonts w:ascii="Arial" w:hAnsi="Arial" w:cs="Arial"/>
          <w:sz w:val="24"/>
          <w:szCs w:val="24"/>
        </w:rPr>
        <w:t>protesting against</w:t>
      </w:r>
      <w:proofErr w:type="gramEnd"/>
      <w:r w:rsidRPr="009F38E3">
        <w:rPr>
          <w:rFonts w:ascii="Arial" w:hAnsi="Arial" w:cs="Arial"/>
          <w:sz w:val="24"/>
          <w:szCs w:val="24"/>
        </w:rPr>
        <w:t xml:space="preserve"> discriminatory legislation and an exploitative economic system that dehumanized and alienated them. As such, between 1979 and 1980, the </w:t>
      </w:r>
      <w:proofErr w:type="spellStart"/>
      <w:r w:rsidRPr="009F38E3">
        <w:rPr>
          <w:rFonts w:ascii="Arial" w:hAnsi="Arial" w:cs="Arial"/>
          <w:sz w:val="24"/>
          <w:szCs w:val="24"/>
        </w:rPr>
        <w:t>Wiehahn</w:t>
      </w:r>
      <w:proofErr w:type="spellEnd"/>
      <w:r w:rsidRPr="009F38E3">
        <w:rPr>
          <w:rFonts w:ascii="Arial" w:hAnsi="Arial" w:cs="Arial"/>
          <w:sz w:val="24"/>
          <w:szCs w:val="24"/>
        </w:rPr>
        <w:t xml:space="preserve"> Commission issued a series of studies that made significant improvements to South Africa's labour laws, particularly by tackling injustices based within the apartheid-era regulations and acknowledging the significance of harmonizing South African labour practices with international principles. According to </w:t>
      </w:r>
      <w:r w:rsidR="000E7785" w:rsidRPr="009F38E3">
        <w:rPr>
          <w:rFonts w:ascii="Arial" w:hAnsi="Arial" w:cs="Arial"/>
          <w:sz w:val="24"/>
          <w:szCs w:val="24"/>
        </w:rPr>
        <w:t>Moncho,</w:t>
      </w:r>
      <w:r w:rsidRPr="009F38E3">
        <w:rPr>
          <w:rFonts w:ascii="Arial" w:hAnsi="Arial" w:cs="Arial"/>
          <w:sz w:val="24"/>
          <w:szCs w:val="24"/>
          <w:vertAlign w:val="superscript"/>
        </w:rPr>
        <w:footnoteReference w:id="73"/>
      </w:r>
      <w:r w:rsidRPr="009F38E3">
        <w:rPr>
          <w:rFonts w:ascii="Arial" w:hAnsi="Arial" w:cs="Arial"/>
          <w:sz w:val="24"/>
          <w:szCs w:val="24"/>
        </w:rPr>
        <w:t xml:space="preserve"> the Commission's recommendations were carefully arranged over several significant reports, each concentrating on a different component of the labour landscape that needed improvement.</w:t>
      </w:r>
    </w:p>
    <w:p w14:paraId="6BC10181" w14:textId="29929F1B"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Prior hereto, the third wave of African trade union membership had emerged in the 1950s, notwithstanding the government's passage of the </w:t>
      </w:r>
      <w:r w:rsidRPr="009F38E3">
        <w:rPr>
          <w:rFonts w:ascii="Arial" w:hAnsi="Arial" w:cs="Arial"/>
          <w:i/>
          <w:iCs/>
          <w:sz w:val="24"/>
          <w:szCs w:val="24"/>
        </w:rPr>
        <w:t xml:space="preserve">Native Labour (Settlement of Disputes) Act </w:t>
      </w:r>
      <w:r w:rsidRPr="009F38E3">
        <w:rPr>
          <w:rFonts w:ascii="Arial" w:hAnsi="Arial" w:cs="Arial"/>
          <w:sz w:val="24"/>
          <w:szCs w:val="24"/>
        </w:rPr>
        <w:t xml:space="preserve">of 1953 and </w:t>
      </w:r>
      <w:r w:rsidRPr="009F38E3">
        <w:rPr>
          <w:rFonts w:ascii="Arial" w:hAnsi="Arial" w:cs="Arial"/>
          <w:i/>
          <w:iCs/>
          <w:sz w:val="24"/>
          <w:szCs w:val="24"/>
        </w:rPr>
        <w:t xml:space="preserve">the Suppression of Communism Act </w:t>
      </w:r>
      <w:r w:rsidRPr="009F38E3">
        <w:rPr>
          <w:rFonts w:ascii="Arial" w:hAnsi="Arial" w:cs="Arial"/>
          <w:sz w:val="24"/>
          <w:szCs w:val="24"/>
        </w:rPr>
        <w:t>of 1950</w:t>
      </w:r>
      <w:r w:rsidRPr="009F38E3">
        <w:rPr>
          <w:rFonts w:ascii="Arial" w:hAnsi="Arial" w:cs="Arial"/>
          <w:i/>
          <w:iCs/>
          <w:sz w:val="24"/>
          <w:szCs w:val="24"/>
        </w:rPr>
        <w:t>.</w:t>
      </w:r>
      <w:r w:rsidRPr="009F38E3">
        <w:rPr>
          <w:rFonts w:ascii="Arial" w:hAnsi="Arial" w:cs="Arial"/>
          <w:sz w:val="24"/>
          <w:szCs w:val="24"/>
        </w:rPr>
        <w:t xml:space="preserve"> Additionally, the establishment of the </w:t>
      </w:r>
      <w:bookmarkStart w:id="71" w:name="_Hlk183119071"/>
      <w:r w:rsidRPr="009F38E3">
        <w:rPr>
          <w:rFonts w:ascii="Arial" w:hAnsi="Arial" w:cs="Arial"/>
          <w:sz w:val="24"/>
          <w:szCs w:val="24"/>
        </w:rPr>
        <w:t xml:space="preserve">South African Congress of Trade Unions (hereinafter referred to as SACTU)  </w:t>
      </w:r>
      <w:bookmarkEnd w:id="71"/>
      <w:r w:rsidRPr="009F38E3">
        <w:rPr>
          <w:rFonts w:ascii="Arial" w:hAnsi="Arial" w:cs="Arial"/>
          <w:sz w:val="24"/>
          <w:szCs w:val="24"/>
        </w:rPr>
        <w:t xml:space="preserve">in 1955 was monumental as it accompanied the Trade Union Council </w:t>
      </w:r>
      <w:r w:rsidRPr="009F38E3">
        <w:rPr>
          <w:rFonts w:ascii="Arial" w:hAnsi="Arial" w:cs="Arial"/>
          <w:sz w:val="24"/>
          <w:szCs w:val="24"/>
        </w:rPr>
        <w:lastRenderedPageBreak/>
        <w:t>of South Africa's refusal to admit black trade unions.</w:t>
      </w:r>
      <w:r w:rsidRPr="009F38E3">
        <w:rPr>
          <w:rFonts w:ascii="Arial" w:hAnsi="Arial" w:cs="Arial"/>
          <w:sz w:val="24"/>
          <w:szCs w:val="24"/>
          <w:vertAlign w:val="superscript"/>
        </w:rPr>
        <w:footnoteReference w:id="74"/>
      </w:r>
      <w:r w:rsidRPr="009F38E3">
        <w:rPr>
          <w:rFonts w:ascii="Arial" w:hAnsi="Arial" w:cs="Arial"/>
          <w:sz w:val="24"/>
          <w:szCs w:val="24"/>
        </w:rPr>
        <w:t xml:space="preserve"> As expected, SACTU experienced multiple hurdles because the union chose worker militancy over governmental organization, allowing them to operate independently of the state and influence an increased number of industrial actions.</w:t>
      </w:r>
      <w:r w:rsidRPr="009F38E3">
        <w:rPr>
          <w:rFonts w:ascii="Arial" w:hAnsi="Arial" w:cs="Arial"/>
          <w:sz w:val="24"/>
          <w:szCs w:val="24"/>
          <w:vertAlign w:val="superscript"/>
        </w:rPr>
        <w:footnoteReference w:id="75"/>
      </w:r>
      <w:r w:rsidRPr="009F38E3">
        <w:rPr>
          <w:rFonts w:ascii="Arial" w:hAnsi="Arial" w:cs="Arial"/>
          <w:sz w:val="24"/>
          <w:szCs w:val="24"/>
        </w:rPr>
        <w:t xml:space="preserve"> Nonetheless, they were also able to obtain some informal recognition agreements from employers, although acting independently from the state made it impossible to adequately address workers' concerns.</w:t>
      </w:r>
      <w:r w:rsidRPr="009F38E3">
        <w:rPr>
          <w:rFonts w:ascii="Arial" w:hAnsi="Arial" w:cs="Arial"/>
          <w:sz w:val="24"/>
          <w:szCs w:val="24"/>
          <w:vertAlign w:val="superscript"/>
        </w:rPr>
        <w:footnoteReference w:id="76"/>
      </w:r>
    </w:p>
    <w:p w14:paraId="6663ACF8"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By the beginning of the 1970s, the apartheid regime had enacted a variety of discriminatory legislation that disadvantaged Coloured, Indian, and notably indigenous Africans by bestowing unequal privileges, resulting in uneven dominance and income. Furthermore, there was the concept of dualism within the commercial system, with the African workforce regulated by the </w:t>
      </w:r>
      <w:r w:rsidRPr="009F38E3">
        <w:rPr>
          <w:rFonts w:ascii="Arial" w:hAnsi="Arial" w:cs="Arial"/>
          <w:i/>
          <w:iCs/>
          <w:sz w:val="24"/>
          <w:szCs w:val="24"/>
        </w:rPr>
        <w:t>Bantu Settlement of Dispute Act</w:t>
      </w:r>
      <w:r w:rsidRPr="009F38E3">
        <w:rPr>
          <w:rFonts w:ascii="Arial" w:hAnsi="Arial" w:cs="Arial"/>
          <w:sz w:val="24"/>
          <w:szCs w:val="24"/>
        </w:rPr>
        <w:t>, which resulted in the establishment of workplace councils for the African population, and the colonial populace, including Afrikaners and English, being acknowledged by the legislative framework, which resulted in direct access to advantageous negotiating frameworks.</w:t>
      </w:r>
      <w:r w:rsidRPr="009F38E3">
        <w:rPr>
          <w:rFonts w:ascii="Arial" w:hAnsi="Arial" w:cs="Arial"/>
          <w:sz w:val="24"/>
          <w:szCs w:val="24"/>
          <w:vertAlign w:val="superscript"/>
        </w:rPr>
        <w:footnoteReference w:id="77"/>
      </w:r>
      <w:r w:rsidRPr="009F38E3">
        <w:rPr>
          <w:rFonts w:ascii="Arial" w:hAnsi="Arial" w:cs="Arial"/>
          <w:sz w:val="24"/>
          <w:szCs w:val="24"/>
        </w:rPr>
        <w:t xml:space="preserve"> </w:t>
      </w:r>
    </w:p>
    <w:p w14:paraId="398FA887" w14:textId="72566D30"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 occasional industrial strikes of 1972-1973 across South African industrial areas caused concern among business leaders because the lack of protest organization meant there were no worker representatives to bargain with. These strikes highlighted the deep discontent of Black workers, who's contribution was essential to the growth of the economy yet were consistently denied fair salaries, appropriate working conditions, and collective bargaining rights.</w:t>
      </w:r>
      <w:r w:rsidRPr="009F38E3">
        <w:rPr>
          <w:rFonts w:ascii="Arial" w:hAnsi="Arial" w:cs="Arial"/>
          <w:sz w:val="24"/>
          <w:szCs w:val="24"/>
          <w:vertAlign w:val="superscript"/>
        </w:rPr>
        <w:footnoteReference w:id="78"/>
      </w:r>
      <w:r w:rsidRPr="009F38E3">
        <w:rPr>
          <w:rFonts w:ascii="Arial" w:hAnsi="Arial" w:cs="Arial"/>
          <w:sz w:val="24"/>
          <w:szCs w:val="24"/>
        </w:rPr>
        <w:t xml:space="preserve"> The subsequent rash of strikes, which took place despite harsh labour laws preventing unionization for Black workers, highlighted the untenable nature of the apartheid labour system and served as a catalyst for reform. </w:t>
      </w:r>
    </w:p>
    <w:p w14:paraId="57411A09"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apartheid government retaliated to the Durban strikes by establishing the </w:t>
      </w:r>
      <w:r w:rsidRPr="009F38E3">
        <w:rPr>
          <w:rFonts w:ascii="Arial" w:hAnsi="Arial" w:cs="Arial"/>
          <w:i/>
          <w:iCs/>
          <w:sz w:val="24"/>
          <w:szCs w:val="24"/>
        </w:rPr>
        <w:t xml:space="preserve">Bantu Labour Regulations Act </w:t>
      </w:r>
      <w:r w:rsidRPr="009F38E3">
        <w:rPr>
          <w:rFonts w:ascii="Arial" w:hAnsi="Arial" w:cs="Arial"/>
          <w:sz w:val="24"/>
          <w:szCs w:val="24"/>
        </w:rPr>
        <w:t>of 1973, which intended to reinforce and intensify control over Black workers through stringent employment and mobility regulations.</w:t>
      </w:r>
      <w:r w:rsidRPr="009F38E3">
        <w:rPr>
          <w:rFonts w:ascii="Arial" w:hAnsi="Arial" w:cs="Arial"/>
          <w:sz w:val="24"/>
          <w:szCs w:val="24"/>
          <w:vertAlign w:val="superscript"/>
        </w:rPr>
        <w:footnoteReference w:id="79"/>
      </w:r>
      <w:r w:rsidRPr="009F38E3">
        <w:rPr>
          <w:rFonts w:ascii="Arial" w:hAnsi="Arial" w:cs="Arial"/>
          <w:sz w:val="24"/>
          <w:szCs w:val="24"/>
        </w:rPr>
        <w:t xml:space="preserve"> The </w:t>
      </w:r>
      <w:r w:rsidRPr="009F38E3">
        <w:rPr>
          <w:rFonts w:ascii="Arial" w:hAnsi="Arial" w:cs="Arial"/>
          <w:i/>
          <w:iCs/>
          <w:sz w:val="24"/>
          <w:szCs w:val="24"/>
        </w:rPr>
        <w:t>Bantu Labour Regulations Act</w:t>
      </w:r>
      <w:r w:rsidRPr="009F38E3">
        <w:rPr>
          <w:rFonts w:ascii="Arial" w:hAnsi="Arial" w:cs="Arial"/>
          <w:sz w:val="24"/>
          <w:szCs w:val="24"/>
        </w:rPr>
        <w:t xml:space="preserve"> exacerbated workplace discrimination, limiting Black South </w:t>
      </w:r>
      <w:r w:rsidRPr="009F38E3">
        <w:rPr>
          <w:rFonts w:ascii="Arial" w:hAnsi="Arial" w:cs="Arial"/>
          <w:sz w:val="24"/>
          <w:szCs w:val="24"/>
        </w:rPr>
        <w:lastRenderedPageBreak/>
        <w:t>Africans' employment possibilities and legal entitlements. The accumulated impact of these restrictive practices fuelled anti-apartheid opposition, as Black South Africans increasingly demanded equal opportunity and treatment in the workplace and throughout the community.</w:t>
      </w:r>
      <w:r w:rsidRPr="009F38E3">
        <w:rPr>
          <w:rFonts w:ascii="Arial" w:hAnsi="Arial" w:cs="Arial"/>
          <w:sz w:val="24"/>
          <w:szCs w:val="24"/>
          <w:vertAlign w:val="superscript"/>
        </w:rPr>
        <w:footnoteReference w:id="80"/>
      </w:r>
      <w:r w:rsidRPr="009F38E3">
        <w:rPr>
          <w:rFonts w:ascii="Arial" w:hAnsi="Arial" w:cs="Arial"/>
          <w:sz w:val="24"/>
          <w:szCs w:val="24"/>
        </w:rPr>
        <w:t xml:space="preserve"> Realizing the unsustainable consequences of apartheid's employment regulations, the government established the </w:t>
      </w:r>
      <w:proofErr w:type="spellStart"/>
      <w:r w:rsidRPr="009F38E3">
        <w:rPr>
          <w:rFonts w:ascii="Arial" w:hAnsi="Arial" w:cs="Arial"/>
          <w:sz w:val="24"/>
          <w:szCs w:val="24"/>
        </w:rPr>
        <w:t>Wiehahn</w:t>
      </w:r>
      <w:proofErr w:type="spellEnd"/>
      <w:r w:rsidRPr="009F38E3">
        <w:rPr>
          <w:rFonts w:ascii="Arial" w:hAnsi="Arial" w:cs="Arial"/>
          <w:sz w:val="24"/>
          <w:szCs w:val="24"/>
        </w:rPr>
        <w:t xml:space="preserve"> Commission in 1977 to explore and recommend changes to South Africa's labour laws.</w:t>
      </w:r>
      <w:r w:rsidRPr="009F38E3">
        <w:rPr>
          <w:rFonts w:ascii="Arial" w:hAnsi="Arial" w:cs="Arial"/>
          <w:sz w:val="24"/>
          <w:szCs w:val="24"/>
          <w:vertAlign w:val="superscript"/>
        </w:rPr>
        <w:footnoteReference w:id="81"/>
      </w:r>
    </w:p>
    <w:p w14:paraId="7790A0AF" w14:textId="3815328D"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According to Moncho,</w:t>
      </w:r>
      <w:r w:rsidRPr="009F38E3">
        <w:rPr>
          <w:rFonts w:ascii="Arial" w:hAnsi="Arial" w:cs="Arial"/>
          <w:sz w:val="24"/>
          <w:szCs w:val="24"/>
          <w:vertAlign w:val="superscript"/>
        </w:rPr>
        <w:footnoteReference w:id="82"/>
      </w:r>
      <w:r w:rsidRPr="009F38E3">
        <w:rPr>
          <w:rFonts w:ascii="Arial" w:hAnsi="Arial" w:cs="Arial"/>
          <w:sz w:val="24"/>
          <w:szCs w:val="24"/>
        </w:rPr>
        <w:t xml:space="preserve"> the first report concentrated on the essential aspect of labour union registration. Historically, black workers were barred from joining or creating independent trade unions, a stance that exacerbated economic and social disparities. Recognizing the economic inefficiencies and social inequities inherent in this restriction, the Commission proposed that trade union registration be extended to all workers, regardless of race. This change attempted to create a fairer industrial relations environment by allowing all workers, particularly the historically marginalized Black workforce, to collectively negotiate and lobby for higher salaries and favourable working conditions. The report emphasized the importance of dismantling apartheid's rigid racial categories in the labour market, thereby paving the way for inclusive worker representation.</w:t>
      </w:r>
    </w:p>
    <w:p w14:paraId="02715C7A"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 second report emphasized the necessity of worker development and training.</w:t>
      </w:r>
      <w:r w:rsidRPr="009F38E3">
        <w:rPr>
          <w:rFonts w:ascii="Arial" w:hAnsi="Arial" w:cs="Arial"/>
          <w:sz w:val="24"/>
          <w:szCs w:val="24"/>
          <w:vertAlign w:val="superscript"/>
        </w:rPr>
        <w:footnoteReference w:id="83"/>
      </w:r>
      <w:r w:rsidRPr="009F38E3">
        <w:rPr>
          <w:rFonts w:ascii="Arial" w:hAnsi="Arial" w:cs="Arial"/>
          <w:sz w:val="24"/>
          <w:szCs w:val="24"/>
        </w:rPr>
        <w:t xml:space="preserve"> The Commission observed that apartheid policies prevented Black South Africans the opportunity for skills training and employment opportunities, restricting them to lower-income, inexperienced occupations. This restriction had an impact not only on individual livelihoods but also on the South African workforce's overall financial viability. Thus, the Commission urged that government and industry stakeholders work together to develop extensive worker education and training initiatives, particularly for Black employees.</w:t>
      </w:r>
      <w:r w:rsidRPr="009F38E3">
        <w:rPr>
          <w:rFonts w:ascii="Arial" w:hAnsi="Arial" w:cs="Arial"/>
          <w:sz w:val="24"/>
          <w:szCs w:val="24"/>
          <w:vertAlign w:val="superscript"/>
        </w:rPr>
        <w:footnoteReference w:id="84"/>
      </w:r>
      <w:r w:rsidRPr="009F38E3">
        <w:rPr>
          <w:rFonts w:ascii="Arial" w:hAnsi="Arial" w:cs="Arial"/>
          <w:sz w:val="24"/>
          <w:szCs w:val="24"/>
        </w:rPr>
        <w:t xml:space="preserve"> According to the report, by prioritizing skills development and education, South Africa might nurture a more competent and adaptable workforce, contributing to overall economic growth and lessening reliance on a racially divided labour market.</w:t>
      </w:r>
    </w:p>
    <w:p w14:paraId="51F57462"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lastRenderedPageBreak/>
        <w:t>In the third report, the Commission addressed workplace security, recommending steps to promote secure working environments while decreasing occupational tension.</w:t>
      </w:r>
      <w:r w:rsidRPr="009F38E3">
        <w:rPr>
          <w:rFonts w:ascii="Arial" w:hAnsi="Arial" w:cs="Arial"/>
          <w:sz w:val="24"/>
          <w:szCs w:val="24"/>
          <w:vertAlign w:val="superscript"/>
        </w:rPr>
        <w:footnoteReference w:id="85"/>
      </w:r>
      <w:r w:rsidRPr="009F38E3">
        <w:rPr>
          <w:rFonts w:ascii="Arial" w:hAnsi="Arial" w:cs="Arial"/>
          <w:sz w:val="24"/>
          <w:szCs w:val="24"/>
        </w:rPr>
        <w:t xml:space="preserve"> Acknowledging the economic and social fragility caused by oppressive and hazardous work instances, the Commission proposed legislation to safeguard all workers from the hazards of industrial action, such as strikes and lockouts. These suggestions went beyond physical safety, arguing for safeguards against employer retaliation for union activities or participation in collective bargaining. The report underlined the necessity for regulations that combine workplace security with the right to organized labour, with the goal of preventing economic crises whilst preserving the entitlements of employees to self-advocacy.</w:t>
      </w:r>
    </w:p>
    <w:p w14:paraId="507EB90E"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Furthermore, the fifth report urged that South African labour laws be aligned with international standards, encouraging the government to embrace </w:t>
      </w:r>
      <w:bookmarkStart w:id="80" w:name="_Hlk183119349"/>
      <w:r w:rsidRPr="009F38E3">
        <w:rPr>
          <w:rFonts w:ascii="Arial" w:hAnsi="Arial" w:cs="Arial"/>
          <w:sz w:val="24"/>
          <w:szCs w:val="24"/>
        </w:rPr>
        <w:t>International Labour Organizations (hereinafter referred to as ILO)</w:t>
      </w:r>
      <w:bookmarkEnd w:id="80"/>
      <w:r w:rsidRPr="009F38E3">
        <w:rPr>
          <w:rFonts w:ascii="Arial" w:hAnsi="Arial" w:cs="Arial"/>
          <w:sz w:val="24"/>
          <w:szCs w:val="24"/>
        </w:rPr>
        <w:t xml:space="preserve"> agreements and regulations.</w:t>
      </w:r>
      <w:r w:rsidRPr="009F38E3">
        <w:rPr>
          <w:rFonts w:ascii="Arial" w:hAnsi="Arial" w:cs="Arial"/>
          <w:sz w:val="24"/>
          <w:szCs w:val="24"/>
          <w:vertAlign w:val="superscript"/>
        </w:rPr>
        <w:footnoteReference w:id="86"/>
      </w:r>
      <w:r w:rsidRPr="009F38E3">
        <w:rPr>
          <w:rFonts w:ascii="Arial" w:hAnsi="Arial" w:cs="Arial"/>
          <w:sz w:val="24"/>
          <w:szCs w:val="24"/>
        </w:rPr>
        <w:t xml:space="preserve"> Considering the worldwide movement for worker rights and fair labour practices, the Commission highlighted that South Africa's credibility and economic connections were dependent on reaching internationally acceptable labour standards. This suggestion emphasized the importance of South Africa's interaction with the international community, as well as the fact that apartheid's repressive measures were inconsistent with the global effort toward fairness and human rights. Integrating South African labour laws with international norms would not only support worker dignity and fairness, but also boost the country's appeal as an economically viable and ethically responsible actor on the global arena.</w:t>
      </w:r>
    </w:p>
    <w:p w14:paraId="73BABCF2" w14:textId="20F09174"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proofErr w:type="spellStart"/>
      <w:r w:rsidRPr="009F38E3">
        <w:rPr>
          <w:rFonts w:ascii="Arial" w:hAnsi="Arial" w:cs="Arial"/>
          <w:sz w:val="24"/>
          <w:szCs w:val="24"/>
        </w:rPr>
        <w:t>Wiehahn</w:t>
      </w:r>
      <w:proofErr w:type="spellEnd"/>
      <w:r w:rsidRPr="009F38E3">
        <w:rPr>
          <w:rFonts w:ascii="Arial" w:hAnsi="Arial" w:cs="Arial"/>
          <w:sz w:val="24"/>
          <w:szCs w:val="24"/>
        </w:rPr>
        <w:t xml:space="preserve"> Commission's reports had significant implications for South African labour legislation, enhancing a framework that had previously neglected non-white workers' entitlements and humanity. By emphasizing equitable treatment and equality, the Commission's suggestions paved the groundwork for a more equitable and compassionate approach to employment regulations. These findings would subsequently shape South Africa's post-apartheid </w:t>
      </w:r>
      <w:r w:rsidRPr="009F38E3">
        <w:rPr>
          <w:rFonts w:ascii="Arial" w:hAnsi="Arial" w:cs="Arial"/>
          <w:i/>
          <w:iCs/>
          <w:sz w:val="24"/>
          <w:szCs w:val="24"/>
        </w:rPr>
        <w:t>Constitution</w:t>
      </w:r>
      <w:r w:rsidRPr="009F38E3">
        <w:rPr>
          <w:rFonts w:ascii="Arial" w:hAnsi="Arial" w:cs="Arial"/>
          <w:sz w:val="24"/>
          <w:szCs w:val="24"/>
        </w:rPr>
        <w:t>, which incorporated the concepts of fairness, dignity, and equality into the country's legal system.</w:t>
      </w:r>
      <w:r w:rsidRPr="009F38E3">
        <w:rPr>
          <w:rFonts w:ascii="Arial" w:hAnsi="Arial" w:cs="Arial"/>
          <w:sz w:val="24"/>
          <w:szCs w:val="24"/>
          <w:vertAlign w:val="superscript"/>
        </w:rPr>
        <w:footnoteReference w:id="87"/>
      </w:r>
      <w:r w:rsidRPr="009F38E3">
        <w:rPr>
          <w:rFonts w:ascii="Arial" w:hAnsi="Arial" w:cs="Arial"/>
          <w:sz w:val="24"/>
          <w:szCs w:val="24"/>
        </w:rPr>
        <w:t xml:space="preserve"> As a result, the </w:t>
      </w:r>
      <w:proofErr w:type="spellStart"/>
      <w:r w:rsidRPr="009F38E3">
        <w:rPr>
          <w:rFonts w:ascii="Arial" w:hAnsi="Arial" w:cs="Arial"/>
          <w:sz w:val="24"/>
          <w:szCs w:val="24"/>
        </w:rPr>
        <w:t>Wiehahn</w:t>
      </w:r>
      <w:proofErr w:type="spellEnd"/>
      <w:r w:rsidRPr="009F38E3">
        <w:rPr>
          <w:rFonts w:ascii="Arial" w:hAnsi="Arial" w:cs="Arial"/>
          <w:sz w:val="24"/>
          <w:szCs w:val="24"/>
        </w:rPr>
        <w:t xml:space="preserve"> Commission laid the foundations for the establishment of affirmative </w:t>
      </w:r>
      <w:r w:rsidRPr="009F38E3">
        <w:rPr>
          <w:rFonts w:ascii="Arial" w:hAnsi="Arial" w:cs="Arial"/>
          <w:sz w:val="24"/>
          <w:szCs w:val="24"/>
        </w:rPr>
        <w:lastRenderedPageBreak/>
        <w:t>action legislation aimed at eradicating apartheid's systematic disparities and ensuring a fairer, more inclusive workplace for future generations.</w:t>
      </w:r>
    </w:p>
    <w:p w14:paraId="5DEF72AB" w14:textId="77777777" w:rsidR="00664603" w:rsidRPr="009F38E3" w:rsidRDefault="00664603" w:rsidP="002F1691">
      <w:pPr>
        <w:pStyle w:val="Heading2"/>
      </w:pPr>
      <w:bookmarkStart w:id="81" w:name="_Toc189739285"/>
      <w:r w:rsidRPr="009F38E3">
        <w:t>2.3.2 South African Law Commission Reports</w:t>
      </w:r>
      <w:bookmarkEnd w:id="81"/>
    </w:p>
    <w:p w14:paraId="460EF38C"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Through an extensive set of findings and recommendations published throughout the 1980s and early 1990s, the South African Law Commission (hereinafter referred to as SALC) significantly influenced the debate surrounding affirmative action and equality. The </w:t>
      </w:r>
      <w:r w:rsidRPr="009F38E3">
        <w:rPr>
          <w:rFonts w:ascii="Arial" w:hAnsi="Arial" w:cs="Arial"/>
          <w:i/>
          <w:iCs/>
          <w:sz w:val="24"/>
          <w:szCs w:val="24"/>
        </w:rPr>
        <w:t>Working Paper 25 Project</w:t>
      </w:r>
      <w:r w:rsidRPr="009F38E3">
        <w:rPr>
          <w:rFonts w:ascii="Arial" w:hAnsi="Arial" w:cs="Arial"/>
          <w:sz w:val="24"/>
          <w:szCs w:val="24"/>
        </w:rPr>
        <w:t xml:space="preserve"> 58 of 1989, </w:t>
      </w:r>
      <w:r w:rsidRPr="009F38E3">
        <w:rPr>
          <w:rFonts w:ascii="Arial" w:hAnsi="Arial" w:cs="Arial"/>
          <w:i/>
          <w:iCs/>
          <w:sz w:val="24"/>
          <w:szCs w:val="24"/>
        </w:rPr>
        <w:t>Interim Report</w:t>
      </w:r>
      <w:r w:rsidRPr="009F38E3">
        <w:rPr>
          <w:rFonts w:ascii="Arial" w:hAnsi="Arial" w:cs="Arial"/>
          <w:sz w:val="24"/>
          <w:szCs w:val="24"/>
        </w:rPr>
        <w:t xml:space="preserve"> 2 of 1991 on Group and Human Rights, and Final Report of 1994 on Group and Human Rights serve as significant developments that established the constitutional and philosophical underpinning underlying affirmative action within the South African statutory structure. These pieces of legislation were issued during a crucial period in South Africa's transition from apartheid to democracy, and they provided guidelines on attaining equality and upholding human rights for historically oppressed communities. Evaluating these historical documents demonstrates the </w:t>
      </w:r>
      <w:proofErr w:type="gramStart"/>
      <w:r w:rsidRPr="009F38E3">
        <w:rPr>
          <w:rFonts w:ascii="Arial" w:hAnsi="Arial" w:cs="Arial"/>
          <w:sz w:val="24"/>
          <w:szCs w:val="24"/>
        </w:rPr>
        <w:t>manner in which</w:t>
      </w:r>
      <w:proofErr w:type="gramEnd"/>
      <w:r w:rsidRPr="009F38E3">
        <w:rPr>
          <w:rFonts w:ascii="Arial" w:hAnsi="Arial" w:cs="Arial"/>
          <w:sz w:val="24"/>
          <w:szCs w:val="24"/>
        </w:rPr>
        <w:t xml:space="preserve"> affirmative action measures had been intended as a strategy towards resolving the fundamental injustices that constituted South African society throughout apartheid.</w:t>
      </w:r>
    </w:p>
    <w:p w14:paraId="46A20B24" w14:textId="77777777" w:rsidR="00664603" w:rsidRPr="009F38E3" w:rsidRDefault="00664603" w:rsidP="002F1691">
      <w:pPr>
        <w:pStyle w:val="Subtitle"/>
        <w:numPr>
          <w:ilvl w:val="0"/>
          <w:numId w:val="0"/>
        </w:numPr>
        <w:ind w:left="792"/>
      </w:pPr>
      <w:bookmarkStart w:id="82" w:name="_Toc189739286"/>
      <w:r w:rsidRPr="009F38E3">
        <w:t>2.3.2.1 SALC's Working Paper 25 Project 58 of 1989</w:t>
      </w:r>
      <w:bookmarkEnd w:id="82"/>
    </w:p>
    <w:p w14:paraId="51923048" w14:textId="748955D3"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SALC's</w:t>
      </w:r>
      <w:r w:rsidRPr="009F38E3">
        <w:rPr>
          <w:rFonts w:ascii="Arial" w:hAnsi="Arial" w:cs="Arial"/>
          <w:i/>
          <w:iCs/>
          <w:sz w:val="24"/>
          <w:szCs w:val="24"/>
        </w:rPr>
        <w:t xml:space="preserve"> Working Paper 25 Project 58 from 1989</w:t>
      </w:r>
      <w:r w:rsidRPr="009F38E3">
        <w:rPr>
          <w:rFonts w:ascii="Arial" w:hAnsi="Arial" w:cs="Arial"/>
          <w:sz w:val="24"/>
          <w:szCs w:val="24"/>
        </w:rPr>
        <w:t xml:space="preserve"> sparked legal and ethical arguments on group rights</w:t>
      </w:r>
      <w:r w:rsidR="00950AFD" w:rsidRPr="009F38E3">
        <w:rPr>
          <w:rFonts w:ascii="Arial" w:hAnsi="Arial" w:cs="Arial"/>
          <w:sz w:val="24"/>
          <w:szCs w:val="24"/>
        </w:rPr>
        <w:t>,</w:t>
      </w:r>
      <w:r w:rsidRPr="009F38E3">
        <w:rPr>
          <w:rFonts w:ascii="Arial" w:hAnsi="Arial" w:cs="Arial"/>
          <w:sz w:val="24"/>
          <w:szCs w:val="24"/>
        </w:rPr>
        <w:t xml:space="preserve"> which is a contentious issue that apartheid had distorted to formalize racial hierarchy. The SALC</w:t>
      </w:r>
      <w:r w:rsidRPr="009F38E3">
        <w:rPr>
          <w:rFonts w:ascii="Arial" w:hAnsi="Arial" w:cs="Arial"/>
          <w:i/>
          <w:iCs/>
          <w:sz w:val="24"/>
          <w:szCs w:val="24"/>
        </w:rPr>
        <w:t xml:space="preserve">'s Working Paper 25 </w:t>
      </w:r>
      <w:r w:rsidRPr="009F38E3">
        <w:rPr>
          <w:rFonts w:ascii="Arial" w:hAnsi="Arial" w:cs="Arial"/>
          <w:sz w:val="24"/>
          <w:szCs w:val="24"/>
        </w:rPr>
        <w:t>is further notable because it established early ideas about equality, which would eventually impact affirmative action. The 1989 paper made an important contribution by comparing substantive to formal equality. The SALC acknowledged that formal equality, which it characterized as the treatment of individuals equally regardless of the historical context, was inappropriate in a nation like South Africa, where apartheid had deliberately impoverished and disadvantaged black South Africans in education, employment, and resource access.</w:t>
      </w:r>
      <w:r w:rsidRPr="009F38E3">
        <w:rPr>
          <w:rFonts w:ascii="Arial" w:hAnsi="Arial" w:cs="Arial"/>
          <w:sz w:val="24"/>
          <w:szCs w:val="24"/>
          <w:vertAlign w:val="superscript"/>
        </w:rPr>
        <w:footnoteReference w:id="88"/>
      </w:r>
      <w:r w:rsidRPr="009F38E3">
        <w:rPr>
          <w:rFonts w:ascii="Arial" w:hAnsi="Arial" w:cs="Arial"/>
          <w:sz w:val="24"/>
          <w:szCs w:val="24"/>
        </w:rPr>
        <w:t xml:space="preserve"> Instead, the SALC recommended substantive equality, because it recognizes and accepts that attaining fairness may necessitate unique approaches and differential treatment to assist individuals who were previously disadvantaged.</w:t>
      </w:r>
      <w:r w:rsidRPr="009F38E3">
        <w:rPr>
          <w:rFonts w:ascii="Arial" w:hAnsi="Arial" w:cs="Arial"/>
          <w:sz w:val="24"/>
          <w:szCs w:val="24"/>
          <w:vertAlign w:val="superscript"/>
        </w:rPr>
        <w:footnoteReference w:id="89"/>
      </w:r>
    </w:p>
    <w:p w14:paraId="70530994" w14:textId="78A7B8A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lastRenderedPageBreak/>
        <w:t>The SALC stressed the significance of initiatives that would guarantee the equitable representation of all groups in every sector of the community. The Commission contended that affirmative action should not be considered as reverse discrimination, but rather as a remedial tool required to redress historical injustice and that this perspective is in line with the principles that were subsequently incorporated throughout the South African Constitution and judicial ideas of equality.</w:t>
      </w:r>
      <w:r w:rsidRPr="009F38E3">
        <w:rPr>
          <w:rFonts w:ascii="Arial" w:hAnsi="Arial" w:cs="Arial"/>
          <w:sz w:val="24"/>
          <w:szCs w:val="24"/>
          <w:vertAlign w:val="superscript"/>
        </w:rPr>
        <w:footnoteReference w:id="90"/>
      </w:r>
      <w:r w:rsidRPr="009F38E3">
        <w:rPr>
          <w:rFonts w:ascii="Arial" w:hAnsi="Arial" w:cs="Arial"/>
          <w:sz w:val="24"/>
          <w:szCs w:val="24"/>
        </w:rPr>
        <w:t xml:space="preserve"> The 1989 Working Paper affirmed that affirmative action </w:t>
      </w:r>
      <w:r w:rsidR="00950AFD" w:rsidRPr="009F38E3">
        <w:rPr>
          <w:rFonts w:ascii="Arial" w:hAnsi="Arial" w:cs="Arial"/>
          <w:sz w:val="24"/>
          <w:szCs w:val="24"/>
        </w:rPr>
        <w:t>w</w:t>
      </w:r>
      <w:r w:rsidRPr="009F38E3">
        <w:rPr>
          <w:rFonts w:ascii="Arial" w:hAnsi="Arial" w:cs="Arial"/>
          <w:sz w:val="24"/>
          <w:szCs w:val="24"/>
        </w:rPr>
        <w:t>as a legitimate and necessary instrument for resolving historical disparities by establishing the theoretical basis for South Africa's subsequent affirmative action programs.</w:t>
      </w:r>
      <w:r w:rsidRPr="009F38E3">
        <w:rPr>
          <w:rFonts w:ascii="Arial" w:hAnsi="Arial" w:cs="Arial"/>
          <w:sz w:val="24"/>
          <w:szCs w:val="24"/>
          <w:vertAlign w:val="superscript"/>
        </w:rPr>
        <w:footnoteReference w:id="91"/>
      </w:r>
      <w:r w:rsidRPr="009F38E3">
        <w:rPr>
          <w:rFonts w:ascii="Arial" w:hAnsi="Arial" w:cs="Arial"/>
          <w:sz w:val="24"/>
          <w:szCs w:val="24"/>
        </w:rPr>
        <w:t xml:space="preserve"> The premise of affirmative action marked an evolution from an ideology of subjugation to one of restoration and fairness. </w:t>
      </w:r>
    </w:p>
    <w:p w14:paraId="3CA36149" w14:textId="77777777" w:rsidR="00664603" w:rsidRPr="009F38E3" w:rsidRDefault="00664603" w:rsidP="002F1691">
      <w:pPr>
        <w:pStyle w:val="Subtitle"/>
        <w:numPr>
          <w:ilvl w:val="0"/>
          <w:numId w:val="0"/>
        </w:numPr>
        <w:ind w:left="1758" w:hanging="964"/>
      </w:pPr>
      <w:bookmarkStart w:id="83" w:name="_Toc189739287"/>
      <w:r w:rsidRPr="009F38E3">
        <w:t>2.3.2.2 The Interim Report 2 of 1991 on Group and Human Rights</w:t>
      </w:r>
      <w:bookmarkEnd w:id="83"/>
    </w:p>
    <w:p w14:paraId="142C2B45" w14:textId="6CF1295A"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DD4292">
        <w:rPr>
          <w:rFonts w:ascii="Arial" w:hAnsi="Arial" w:cs="Arial"/>
          <w:sz w:val="24"/>
          <w:szCs w:val="24"/>
        </w:rPr>
        <w:t xml:space="preserve">SALC's </w:t>
      </w:r>
      <w:r w:rsidRPr="00DD4292">
        <w:rPr>
          <w:rFonts w:ascii="Arial" w:hAnsi="Arial" w:cs="Arial"/>
          <w:i/>
          <w:iCs/>
          <w:sz w:val="24"/>
          <w:szCs w:val="24"/>
        </w:rPr>
        <w:t>Interim Report 2 on Group and Human Rights</w:t>
      </w:r>
      <w:r w:rsidRPr="00DD4292">
        <w:rPr>
          <w:rFonts w:ascii="Arial" w:hAnsi="Arial" w:cs="Arial"/>
          <w:sz w:val="24"/>
          <w:szCs w:val="24"/>
        </w:rPr>
        <w:t>,</w:t>
      </w:r>
      <w:r w:rsidRPr="009F38E3">
        <w:rPr>
          <w:rFonts w:ascii="Arial" w:hAnsi="Arial" w:cs="Arial"/>
          <w:sz w:val="24"/>
          <w:szCs w:val="24"/>
        </w:rPr>
        <w:t xml:space="preserve"> published in 1991</w:t>
      </w:r>
      <w:r w:rsidR="00DD4292">
        <w:rPr>
          <w:rFonts w:ascii="Arial" w:hAnsi="Arial" w:cs="Arial"/>
          <w:sz w:val="24"/>
          <w:szCs w:val="24"/>
        </w:rPr>
        <w:t xml:space="preserve"> </w:t>
      </w:r>
      <w:r w:rsidRPr="009F38E3">
        <w:rPr>
          <w:rFonts w:ascii="Arial" w:hAnsi="Arial" w:cs="Arial"/>
          <w:sz w:val="24"/>
          <w:szCs w:val="24"/>
        </w:rPr>
        <w:t>outlined a framework for affirmative action that balanced individual and collective rights thus acknowledging the possible conflict between affirmative action and the concept of non-discrimination, but it maintained that true equality frequently necessitates differential treatment.</w:t>
      </w:r>
      <w:r w:rsidRPr="009F38E3">
        <w:rPr>
          <w:rFonts w:ascii="Arial" w:hAnsi="Arial" w:cs="Arial"/>
          <w:sz w:val="24"/>
          <w:szCs w:val="24"/>
          <w:vertAlign w:val="superscript"/>
        </w:rPr>
        <w:footnoteReference w:id="92"/>
      </w:r>
      <w:r w:rsidRPr="009F38E3">
        <w:rPr>
          <w:rFonts w:ascii="Arial" w:hAnsi="Arial" w:cs="Arial"/>
          <w:sz w:val="24"/>
          <w:szCs w:val="24"/>
        </w:rPr>
        <w:t xml:space="preserve"> It also proposed numerous suggestions to ensure that affirmative action measures were equitable and successful. It suggested the constitutional monitoring of affirmative action regulations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ensure that the purpose remains that of fostering equity rather than perpetuating inequality.</w:t>
      </w:r>
      <w:r w:rsidRPr="009F38E3">
        <w:rPr>
          <w:rFonts w:ascii="Arial" w:hAnsi="Arial" w:cs="Arial"/>
          <w:sz w:val="24"/>
          <w:szCs w:val="24"/>
          <w:vertAlign w:val="superscript"/>
        </w:rPr>
        <w:footnoteReference w:id="93"/>
      </w:r>
      <w:r w:rsidRPr="009F38E3">
        <w:rPr>
          <w:rFonts w:ascii="Arial" w:hAnsi="Arial" w:cs="Arial"/>
          <w:sz w:val="24"/>
          <w:szCs w:val="24"/>
        </w:rPr>
        <w:t xml:space="preserve"> Furthermore, the report noted that affirmative action should have specific and measurable goals, such as increasing the representation of historically disadvantaged groups in both educational and employment opportunities. Furthermore, the Interim Report emphasized the necessity of transparency and accountability in executing affirmative action measures by proposing the establishment of regulatory bodies which would track and evaluate these regulations in order to avert violations and to guarantee that they remained oriented towards fostering true equality.</w:t>
      </w:r>
      <w:r w:rsidRPr="009F38E3">
        <w:rPr>
          <w:rFonts w:ascii="Arial" w:hAnsi="Arial" w:cs="Arial"/>
          <w:sz w:val="24"/>
          <w:szCs w:val="24"/>
          <w:vertAlign w:val="superscript"/>
        </w:rPr>
        <w:footnoteReference w:id="94"/>
      </w:r>
      <w:r w:rsidRPr="009F38E3">
        <w:rPr>
          <w:rFonts w:ascii="Arial" w:hAnsi="Arial" w:cs="Arial"/>
          <w:sz w:val="24"/>
          <w:szCs w:val="24"/>
        </w:rPr>
        <w:t xml:space="preserve"> This perspective and approach proved essential in creating a structure for subsequent legal </w:t>
      </w:r>
      <w:r w:rsidRPr="009F38E3">
        <w:rPr>
          <w:rFonts w:ascii="Arial" w:hAnsi="Arial" w:cs="Arial"/>
          <w:sz w:val="24"/>
          <w:szCs w:val="24"/>
        </w:rPr>
        <w:lastRenderedPageBreak/>
        <w:t xml:space="preserve">specifications, for instance the constitutional court's interpretation of section 9 of the </w:t>
      </w:r>
      <w:r w:rsidRPr="009F38E3">
        <w:rPr>
          <w:rFonts w:ascii="Arial" w:hAnsi="Arial" w:cs="Arial"/>
          <w:i/>
          <w:iCs/>
          <w:sz w:val="24"/>
          <w:szCs w:val="24"/>
        </w:rPr>
        <w:t>Constitution</w:t>
      </w:r>
      <w:r w:rsidRPr="009F38E3">
        <w:rPr>
          <w:rFonts w:ascii="Arial" w:hAnsi="Arial" w:cs="Arial"/>
          <w:sz w:val="24"/>
          <w:szCs w:val="24"/>
        </w:rPr>
        <w:t>, which requires affirmative action programs to be "reasonable and justifiable in an open and democratic society."</w:t>
      </w:r>
    </w:p>
    <w:p w14:paraId="7D84B47A" w14:textId="77777777" w:rsidR="00664603" w:rsidRPr="009F38E3" w:rsidRDefault="00664603" w:rsidP="002F1691">
      <w:pPr>
        <w:pStyle w:val="Subtitle"/>
        <w:numPr>
          <w:ilvl w:val="0"/>
          <w:numId w:val="0"/>
        </w:numPr>
        <w:ind w:left="792"/>
      </w:pPr>
      <w:bookmarkStart w:id="85" w:name="_Toc189739288"/>
      <w:r w:rsidRPr="009F38E3">
        <w:t>2.3.2.3 The Final Report of 1994 on Group and Human Rights</w:t>
      </w:r>
      <w:bookmarkEnd w:id="85"/>
    </w:p>
    <w:p w14:paraId="670CB849" w14:textId="41BC553C"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DD4292">
        <w:rPr>
          <w:rFonts w:ascii="Arial" w:hAnsi="Arial" w:cs="Arial"/>
          <w:sz w:val="24"/>
          <w:szCs w:val="24"/>
        </w:rPr>
        <w:t xml:space="preserve">SALC's </w:t>
      </w:r>
      <w:r w:rsidRPr="00DD4292">
        <w:rPr>
          <w:rFonts w:ascii="Arial" w:hAnsi="Arial" w:cs="Arial"/>
          <w:i/>
          <w:iCs/>
          <w:sz w:val="24"/>
          <w:szCs w:val="24"/>
        </w:rPr>
        <w:t>Final Report on Group and Human Rights</w:t>
      </w:r>
      <w:r w:rsidRPr="009F38E3">
        <w:rPr>
          <w:rFonts w:ascii="Arial" w:hAnsi="Arial" w:cs="Arial"/>
          <w:sz w:val="24"/>
          <w:szCs w:val="24"/>
        </w:rPr>
        <w:t>, issued in 1994, was the product of years of studies, contemplation, and engagement by the public on the topics of equality, human rights, and affirmative action. By 1994, South Africa was on the verge of its first democratic elections, and the urgency of rectifying previous injustices had grown even stronger.</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 xml:space="preserve">The SALC's </w:t>
      </w:r>
      <w:r w:rsidRPr="00DD4292">
        <w:rPr>
          <w:rFonts w:ascii="Arial" w:hAnsi="Arial" w:cs="Arial"/>
          <w:i/>
          <w:iCs/>
          <w:sz w:val="24"/>
          <w:szCs w:val="24"/>
        </w:rPr>
        <w:t>Final Report on Group and Human Rights</w:t>
      </w:r>
      <w:r w:rsidRPr="009F38E3">
        <w:rPr>
          <w:rFonts w:ascii="Arial" w:hAnsi="Arial" w:cs="Arial"/>
          <w:sz w:val="24"/>
          <w:szCs w:val="24"/>
        </w:rPr>
        <w:t xml:space="preserve"> is likely the most consequential of these written works, given it </w:t>
      </w:r>
      <w:r w:rsidR="00950AFD" w:rsidRPr="009F38E3">
        <w:rPr>
          <w:rFonts w:ascii="Arial" w:hAnsi="Arial" w:cs="Arial"/>
          <w:sz w:val="24"/>
          <w:szCs w:val="24"/>
        </w:rPr>
        <w:t xml:space="preserve">was </w:t>
      </w:r>
      <w:r w:rsidRPr="009F38E3">
        <w:rPr>
          <w:rFonts w:ascii="Arial" w:hAnsi="Arial" w:cs="Arial"/>
          <w:sz w:val="24"/>
          <w:szCs w:val="24"/>
        </w:rPr>
        <w:t xml:space="preserve">completed while South Africa was preparing for its first democratic elections and writing a new constitution. The study mirrored the ideals of conciliation and transformation that distinguished this </w:t>
      </w:r>
      <w:proofErr w:type="gramStart"/>
      <w:r w:rsidRPr="009F38E3">
        <w:rPr>
          <w:rFonts w:ascii="Arial" w:hAnsi="Arial" w:cs="Arial"/>
          <w:sz w:val="24"/>
          <w:szCs w:val="24"/>
        </w:rPr>
        <w:t>time period</w:t>
      </w:r>
      <w:proofErr w:type="gramEnd"/>
      <w:r w:rsidRPr="009F38E3">
        <w:rPr>
          <w:rFonts w:ascii="Arial" w:hAnsi="Arial" w:cs="Arial"/>
          <w:sz w:val="24"/>
          <w:szCs w:val="24"/>
        </w:rPr>
        <w:t xml:space="preserve">, promoting affirmative action as a means of creating a more inclusive society. The 1994 report's recommendations are especially important since they significantly contributed to the creation of </w:t>
      </w:r>
      <w:r w:rsidR="00950AFD" w:rsidRPr="009F38E3">
        <w:rPr>
          <w:rFonts w:ascii="Arial" w:hAnsi="Arial" w:cs="Arial"/>
          <w:sz w:val="24"/>
          <w:szCs w:val="24"/>
        </w:rPr>
        <w:t>s</w:t>
      </w:r>
      <w:r w:rsidRPr="009F38E3">
        <w:rPr>
          <w:rFonts w:ascii="Arial" w:hAnsi="Arial" w:cs="Arial"/>
          <w:sz w:val="24"/>
          <w:szCs w:val="24"/>
        </w:rPr>
        <w:t xml:space="preserve">ection 9(2) of the </w:t>
      </w:r>
      <w:r w:rsidRPr="009F38E3">
        <w:rPr>
          <w:rFonts w:ascii="Arial" w:hAnsi="Arial" w:cs="Arial"/>
          <w:i/>
          <w:iCs/>
          <w:sz w:val="24"/>
          <w:szCs w:val="24"/>
        </w:rPr>
        <w:t>Constitution</w:t>
      </w:r>
      <w:r w:rsidRPr="009F38E3">
        <w:rPr>
          <w:rFonts w:ascii="Arial" w:hAnsi="Arial" w:cs="Arial"/>
          <w:sz w:val="24"/>
          <w:szCs w:val="24"/>
        </w:rPr>
        <w:t>, which allows "measures designed to protect or advance persons, or categories of persons, disadvantaged by unfair discrimination."</w:t>
      </w:r>
    </w:p>
    <w:p w14:paraId="6E06AE0B" w14:textId="302BACF6"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In the Final Report, the SALC reiterated its commitment to affirmative action as an essential aspect </w:t>
      </w:r>
      <w:r w:rsidR="001677CA" w:rsidRPr="009F38E3">
        <w:rPr>
          <w:rFonts w:ascii="Arial" w:hAnsi="Arial" w:cs="Arial"/>
          <w:sz w:val="24"/>
          <w:szCs w:val="24"/>
        </w:rPr>
        <w:t>of</w:t>
      </w:r>
      <w:r w:rsidRPr="009F38E3">
        <w:rPr>
          <w:rFonts w:ascii="Arial" w:hAnsi="Arial" w:cs="Arial"/>
          <w:sz w:val="24"/>
          <w:szCs w:val="24"/>
        </w:rPr>
        <w:t xml:space="preserve"> accomplishing substantive equality. It highlighted that affirmative action should not be considered as a long-term remedy but as a transitional measure that would enable all individuals to fully engage in society.</w:t>
      </w:r>
      <w:r w:rsidRPr="009F38E3">
        <w:rPr>
          <w:rFonts w:ascii="Arial" w:hAnsi="Arial" w:cs="Arial"/>
          <w:sz w:val="24"/>
          <w:szCs w:val="24"/>
          <w:vertAlign w:val="superscript"/>
        </w:rPr>
        <w:footnoteReference w:id="95"/>
      </w:r>
      <w:r w:rsidRPr="009F38E3">
        <w:rPr>
          <w:rFonts w:ascii="Arial" w:hAnsi="Arial" w:cs="Arial"/>
          <w:sz w:val="24"/>
          <w:szCs w:val="24"/>
        </w:rPr>
        <w:t xml:space="preserve"> The report additionally discussed concerns that affirmative action could lead to new forms of inequity or resentment</w:t>
      </w:r>
      <w:r w:rsidR="001677CA" w:rsidRPr="009F38E3">
        <w:rPr>
          <w:rFonts w:ascii="Arial" w:hAnsi="Arial" w:cs="Arial"/>
          <w:sz w:val="24"/>
          <w:szCs w:val="24"/>
        </w:rPr>
        <w:t xml:space="preserve">; </w:t>
      </w:r>
      <w:r w:rsidRPr="009F38E3">
        <w:rPr>
          <w:rFonts w:ascii="Arial" w:hAnsi="Arial" w:cs="Arial"/>
          <w:sz w:val="24"/>
          <w:szCs w:val="24"/>
        </w:rPr>
        <w:t>thus</w:t>
      </w:r>
      <w:r w:rsidR="001677CA" w:rsidRPr="009F38E3">
        <w:rPr>
          <w:rFonts w:ascii="Arial" w:hAnsi="Arial" w:cs="Arial"/>
          <w:sz w:val="24"/>
          <w:szCs w:val="24"/>
        </w:rPr>
        <w:t xml:space="preserve">, </w:t>
      </w:r>
      <w:r w:rsidRPr="009F38E3">
        <w:rPr>
          <w:rFonts w:ascii="Arial" w:hAnsi="Arial" w:cs="Arial"/>
          <w:sz w:val="24"/>
          <w:szCs w:val="24"/>
        </w:rPr>
        <w:t>in order to mitigate these risks, the Commission suggested that affirmative action policies have sunset clauses or periodically be reviewed to determine their ongoing significance and efficacy.</w:t>
      </w:r>
      <w:r w:rsidRPr="009F38E3">
        <w:rPr>
          <w:rFonts w:ascii="Arial" w:hAnsi="Arial" w:cs="Arial"/>
          <w:sz w:val="24"/>
          <w:szCs w:val="24"/>
          <w:vertAlign w:val="superscript"/>
        </w:rPr>
        <w:footnoteReference w:id="96"/>
      </w:r>
    </w:p>
    <w:p w14:paraId="40747A34" w14:textId="5BE951B6"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These SALC reports' recommendations helped shape the interpretation of affirmative action in South African law, particularly constitutional interpretation. By displaying affirmative action as a legally required mechanism to attain substantive equality, these results have helped shape a judiciary that is attentive to historical injustices. The Constitutional Court's subsequent interpretation of section 9, particularly in instances </w:t>
      </w:r>
      <w:r w:rsidRPr="009F38E3">
        <w:rPr>
          <w:rFonts w:ascii="Arial" w:hAnsi="Arial" w:cs="Arial"/>
          <w:sz w:val="24"/>
          <w:szCs w:val="24"/>
        </w:rPr>
        <w:lastRenderedPageBreak/>
        <w:t xml:space="preserve">like </w:t>
      </w:r>
      <w:r w:rsidRPr="009F38E3">
        <w:rPr>
          <w:rFonts w:ascii="Arial" w:hAnsi="Arial" w:cs="Arial"/>
          <w:i/>
          <w:iCs/>
          <w:sz w:val="24"/>
          <w:szCs w:val="24"/>
        </w:rPr>
        <w:t>Minister of Finance v Van Heerden</w:t>
      </w:r>
      <w:r w:rsidRPr="009F38E3">
        <w:rPr>
          <w:rFonts w:ascii="Arial" w:hAnsi="Arial" w:cs="Arial"/>
          <w:sz w:val="24"/>
          <w:szCs w:val="24"/>
        </w:rPr>
        <w:t>,</w:t>
      </w:r>
      <w:r w:rsidRPr="009F38E3">
        <w:rPr>
          <w:rFonts w:ascii="Arial" w:hAnsi="Arial" w:cs="Arial"/>
          <w:sz w:val="24"/>
          <w:szCs w:val="24"/>
          <w:vertAlign w:val="superscript"/>
        </w:rPr>
        <w:footnoteReference w:id="97"/>
      </w:r>
      <w:r w:rsidRPr="009F38E3">
        <w:rPr>
          <w:rFonts w:ascii="Arial" w:hAnsi="Arial" w:cs="Arial"/>
          <w:sz w:val="24"/>
          <w:szCs w:val="24"/>
        </w:rPr>
        <w:t xml:space="preserve"> exemplifies the concepts articulated in these conclusions, where affirmative action is subjected to a test of rationality and proportionality.</w:t>
      </w:r>
      <w:r w:rsidRPr="009F38E3">
        <w:rPr>
          <w:rFonts w:ascii="Arial" w:hAnsi="Arial" w:cs="Arial"/>
          <w:sz w:val="24"/>
          <w:szCs w:val="24"/>
          <w:vertAlign w:val="superscript"/>
        </w:rPr>
        <w:footnoteReference w:id="98"/>
      </w:r>
      <w:r w:rsidRPr="009F38E3">
        <w:rPr>
          <w:rFonts w:ascii="Arial" w:hAnsi="Arial" w:cs="Arial"/>
          <w:sz w:val="24"/>
          <w:szCs w:val="24"/>
        </w:rPr>
        <w:t xml:space="preserve"> The report</w:t>
      </w:r>
      <w:r w:rsidR="001677CA" w:rsidRPr="009F38E3">
        <w:rPr>
          <w:rFonts w:ascii="Arial" w:hAnsi="Arial" w:cs="Arial"/>
          <w:sz w:val="24"/>
          <w:szCs w:val="24"/>
        </w:rPr>
        <w:t>’s</w:t>
      </w:r>
      <w:r w:rsidRPr="009F38E3">
        <w:rPr>
          <w:rFonts w:ascii="Arial" w:hAnsi="Arial" w:cs="Arial"/>
          <w:sz w:val="24"/>
          <w:szCs w:val="24"/>
        </w:rPr>
        <w:t xml:space="preserve"> display a commitment to transparency, accountability, and the temporary nature of affirmative action policies which can be seen in South Africa's legislation, among them being the </w:t>
      </w:r>
      <w:r w:rsidRPr="009F38E3">
        <w:rPr>
          <w:rFonts w:ascii="Arial" w:hAnsi="Arial" w:cs="Arial"/>
          <w:i/>
          <w:iCs/>
          <w:sz w:val="24"/>
          <w:szCs w:val="24"/>
        </w:rPr>
        <w:t>Employment Equity Act</w:t>
      </w:r>
      <w:r w:rsidRPr="009F38E3">
        <w:rPr>
          <w:rFonts w:ascii="Arial" w:hAnsi="Arial" w:cs="Arial"/>
          <w:sz w:val="24"/>
          <w:szCs w:val="24"/>
        </w:rPr>
        <w:t>,</w:t>
      </w:r>
      <w:r w:rsidRPr="009F38E3">
        <w:rPr>
          <w:rFonts w:ascii="Arial" w:hAnsi="Arial" w:cs="Arial"/>
          <w:sz w:val="24"/>
          <w:szCs w:val="24"/>
          <w:vertAlign w:val="superscript"/>
        </w:rPr>
        <w:footnoteReference w:id="99"/>
      </w:r>
      <w:r w:rsidRPr="009F38E3">
        <w:rPr>
          <w:rFonts w:ascii="Arial" w:hAnsi="Arial" w:cs="Arial"/>
          <w:sz w:val="24"/>
          <w:szCs w:val="24"/>
        </w:rPr>
        <w:t xml:space="preserve"> which requires employers to take steps to eliminate unfair discrimination and apply affirmative action measures are measurable and time-bound.</w:t>
      </w:r>
      <w:r w:rsidRPr="009F38E3">
        <w:rPr>
          <w:rFonts w:ascii="Arial" w:hAnsi="Arial" w:cs="Arial"/>
          <w:sz w:val="24"/>
          <w:szCs w:val="24"/>
          <w:vertAlign w:val="superscript"/>
        </w:rPr>
        <w:footnoteReference w:id="100"/>
      </w:r>
      <w:r w:rsidRPr="009F38E3">
        <w:rPr>
          <w:rFonts w:ascii="Arial" w:hAnsi="Arial" w:cs="Arial"/>
          <w:sz w:val="24"/>
          <w:szCs w:val="24"/>
        </w:rPr>
        <w:t xml:space="preserve"> </w:t>
      </w:r>
    </w:p>
    <w:p w14:paraId="4F80E6C5" w14:textId="77777777" w:rsidR="00664603" w:rsidRPr="009F38E3" w:rsidRDefault="00664603" w:rsidP="002F1691">
      <w:pPr>
        <w:pStyle w:val="Heading2"/>
        <w:ind w:left="360"/>
      </w:pPr>
      <w:bookmarkStart w:id="89" w:name="_Toc189739289"/>
      <w:r w:rsidRPr="009F38E3">
        <w:t>2.3.3 Constitution of the Republic of South Africa, 1996</w:t>
      </w:r>
      <w:bookmarkEnd w:id="89"/>
    </w:p>
    <w:p w14:paraId="1F21F127"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South Africa's legislative commitment to addressing the disparities brought up by apartheid began with the country's democratic transition in 1994. The Republic of South Africa's 1996 </w:t>
      </w:r>
      <w:r w:rsidRPr="009F38E3">
        <w:rPr>
          <w:rFonts w:ascii="Arial" w:hAnsi="Arial" w:cs="Arial"/>
          <w:i/>
          <w:iCs/>
          <w:sz w:val="24"/>
          <w:szCs w:val="24"/>
        </w:rPr>
        <w:t>Constitution</w:t>
      </w:r>
      <w:r w:rsidRPr="009F38E3">
        <w:rPr>
          <w:rFonts w:ascii="Arial" w:hAnsi="Arial" w:cs="Arial"/>
          <w:sz w:val="24"/>
          <w:szCs w:val="24"/>
        </w:rPr>
        <w:t xml:space="preserve"> serves as the cornerstone of this commitment. Particularly important to affirmative action is the principle of equality provision, which is contained in section 9 of the </w:t>
      </w:r>
      <w:r w:rsidRPr="009F38E3">
        <w:rPr>
          <w:rFonts w:ascii="Arial" w:hAnsi="Arial" w:cs="Arial"/>
          <w:i/>
          <w:iCs/>
          <w:sz w:val="24"/>
          <w:szCs w:val="24"/>
        </w:rPr>
        <w:t>Constitution</w:t>
      </w:r>
      <w:r w:rsidRPr="009F38E3">
        <w:rPr>
          <w:rFonts w:ascii="Arial" w:hAnsi="Arial" w:cs="Arial"/>
          <w:sz w:val="24"/>
          <w:szCs w:val="24"/>
        </w:rPr>
        <w:t>.</w:t>
      </w:r>
      <w:r w:rsidRPr="009F38E3">
        <w:rPr>
          <w:rFonts w:ascii="Arial" w:hAnsi="Arial" w:cs="Arial"/>
          <w:sz w:val="24"/>
          <w:szCs w:val="24"/>
          <w:vertAlign w:val="superscript"/>
        </w:rPr>
        <w:footnoteReference w:id="101"/>
      </w:r>
      <w:r w:rsidRPr="009F38E3">
        <w:rPr>
          <w:rFonts w:ascii="Arial" w:hAnsi="Arial" w:cs="Arial"/>
          <w:sz w:val="24"/>
          <w:szCs w:val="24"/>
        </w:rPr>
        <w:t xml:space="preserve"> This clause specifically permits actions that aim to promote people or groups who have been disadvantaged by prior discrimination, even while it gives everyone equal protection and the benefit of the law. In addition to treating everyone equally, this is referred to as "fair discrimination," which attempts to address the historical injustices brought about by apartheid.</w:t>
      </w:r>
    </w:p>
    <w:p w14:paraId="742D39FC"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Constitution</w:t>
      </w:r>
      <w:r w:rsidRPr="009F38E3">
        <w:rPr>
          <w:rFonts w:ascii="Arial" w:hAnsi="Arial" w:cs="Arial"/>
          <w:sz w:val="24"/>
          <w:szCs w:val="24"/>
        </w:rPr>
        <w:t xml:space="preserve"> clearly acknowledges historical injustices and lays out the necessity of establishing a society founded on social justice, democracy, and fundamental human rights as set out in its preamble. It further lays the groundwork for an entirely new era founded on the principles of equality, human dignity, the advancement of human rights and liberties, and the absence of racism and sexism</w:t>
      </w:r>
      <w:r w:rsidRPr="009F38E3">
        <w:rPr>
          <w:rFonts w:ascii="Arial" w:hAnsi="Arial" w:cs="Arial"/>
          <w:sz w:val="24"/>
          <w:szCs w:val="24"/>
          <w:vertAlign w:val="superscript"/>
        </w:rPr>
        <w:footnoteReference w:id="102"/>
      </w:r>
      <w:r w:rsidRPr="009F38E3">
        <w:rPr>
          <w:rFonts w:ascii="Arial" w:hAnsi="Arial" w:cs="Arial"/>
          <w:sz w:val="24"/>
          <w:szCs w:val="24"/>
        </w:rPr>
        <w:t xml:space="preserve"> and as such </w:t>
      </w:r>
      <w:r w:rsidRPr="009F38E3">
        <w:rPr>
          <w:rFonts w:ascii="Arial" w:hAnsi="Arial" w:cs="Arial"/>
          <w:sz w:val="24"/>
          <w:szCs w:val="24"/>
        </w:rPr>
        <w:lastRenderedPageBreak/>
        <w:t xml:space="preserve">are considered the fundamental values of the </w:t>
      </w:r>
      <w:r w:rsidRPr="009F38E3">
        <w:rPr>
          <w:rFonts w:ascii="Arial" w:hAnsi="Arial" w:cs="Arial"/>
          <w:i/>
          <w:iCs/>
          <w:sz w:val="24"/>
          <w:szCs w:val="24"/>
        </w:rPr>
        <w:t>Constitution</w:t>
      </w:r>
      <w:r w:rsidRPr="009F38E3">
        <w:rPr>
          <w:rFonts w:ascii="Arial" w:hAnsi="Arial" w:cs="Arial"/>
          <w:sz w:val="24"/>
          <w:szCs w:val="24"/>
        </w:rPr>
        <w:t>.</w:t>
      </w:r>
      <w:r w:rsidRPr="009F38E3">
        <w:rPr>
          <w:rFonts w:ascii="Arial" w:hAnsi="Arial" w:cs="Arial"/>
          <w:sz w:val="24"/>
          <w:szCs w:val="24"/>
          <w:vertAlign w:val="superscript"/>
        </w:rPr>
        <w:footnoteReference w:id="103"/>
      </w:r>
      <w:r w:rsidRPr="009F38E3">
        <w:rPr>
          <w:rFonts w:ascii="Arial" w:hAnsi="Arial" w:cs="Arial"/>
          <w:sz w:val="24"/>
          <w:szCs w:val="24"/>
        </w:rPr>
        <w:t xml:space="preserve"> Examining the </w:t>
      </w:r>
      <w:r w:rsidRPr="009F38E3">
        <w:rPr>
          <w:rFonts w:ascii="Arial" w:hAnsi="Arial" w:cs="Arial"/>
          <w:i/>
          <w:iCs/>
          <w:sz w:val="24"/>
          <w:szCs w:val="24"/>
        </w:rPr>
        <w:t>Constitution</w:t>
      </w:r>
      <w:r w:rsidRPr="009F38E3">
        <w:rPr>
          <w:rFonts w:ascii="Arial" w:hAnsi="Arial" w:cs="Arial"/>
          <w:sz w:val="24"/>
          <w:szCs w:val="24"/>
        </w:rPr>
        <w:t>'s pivotal role, it can be concluded that its adoption realized South Africa's evolution to democratic government and freedom by establishing that all of the rights guaranteed are based on equality as a substantive human right by allowing affirmative action and equality as a value by prohibiting unjust discrimination.</w:t>
      </w:r>
      <w:r w:rsidRPr="009F38E3">
        <w:rPr>
          <w:rFonts w:ascii="Arial" w:hAnsi="Arial" w:cs="Arial"/>
          <w:sz w:val="24"/>
          <w:szCs w:val="24"/>
          <w:vertAlign w:val="superscript"/>
        </w:rPr>
        <w:footnoteReference w:id="104"/>
      </w:r>
      <w:r w:rsidRPr="009F38E3">
        <w:rPr>
          <w:rFonts w:ascii="Arial" w:hAnsi="Arial" w:cs="Arial"/>
          <w:sz w:val="24"/>
          <w:szCs w:val="24"/>
        </w:rPr>
        <w:t xml:space="preserve"> Given the nation's history of colonization, slavery, patriarchy, and apartheid, which is best described as "a crime against humanity,"</w:t>
      </w:r>
      <w:r w:rsidRPr="009F38E3">
        <w:rPr>
          <w:rFonts w:ascii="Arial" w:hAnsi="Arial" w:cs="Arial"/>
          <w:sz w:val="24"/>
          <w:szCs w:val="24"/>
          <w:vertAlign w:val="superscript"/>
        </w:rPr>
        <w:footnoteReference w:id="105"/>
      </w:r>
      <w:r w:rsidRPr="009F38E3">
        <w:rPr>
          <w:rFonts w:ascii="Arial" w:hAnsi="Arial" w:cs="Arial"/>
          <w:sz w:val="24"/>
          <w:szCs w:val="24"/>
        </w:rPr>
        <w:t xml:space="preserve"> it is possible to understand how South Africa's systemic discrimination was founded on egregious abuses of basic human rights which in return speaks to the repetition and emphasis of these values.</w:t>
      </w:r>
    </w:p>
    <w:p w14:paraId="06166A11"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concepts of equality, dignity, and non-discrimination are reaffirmed by the Bill of Rights, which is contained in chapter 2 of the </w:t>
      </w:r>
      <w:r w:rsidRPr="009F38E3">
        <w:rPr>
          <w:rFonts w:ascii="Arial" w:hAnsi="Arial" w:cs="Arial"/>
          <w:i/>
          <w:iCs/>
          <w:sz w:val="24"/>
          <w:szCs w:val="24"/>
        </w:rPr>
        <w:t>Constitution</w:t>
      </w:r>
      <w:r w:rsidRPr="009F38E3">
        <w:rPr>
          <w:rFonts w:ascii="Arial" w:hAnsi="Arial" w:cs="Arial"/>
          <w:sz w:val="24"/>
          <w:szCs w:val="24"/>
        </w:rPr>
        <w:t>. It offers a more comprehensive structure for safeguarding human rights, such as the right to equitable work practices and educational opportunities. Therefore, the legal and moral basis of affirmative action is found in both the equality provision and the Bill of Rights' overall goal to establishing a just and equitable society.</w:t>
      </w:r>
    </w:p>
    <w:p w14:paraId="24EFC8D9" w14:textId="4AEFB10C"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According to the </w:t>
      </w:r>
      <w:r w:rsidRPr="009F38E3">
        <w:rPr>
          <w:rFonts w:ascii="Arial" w:hAnsi="Arial" w:cs="Arial"/>
          <w:i/>
          <w:iCs/>
          <w:sz w:val="24"/>
          <w:szCs w:val="24"/>
        </w:rPr>
        <w:t>Constitution</w:t>
      </w:r>
      <w:r w:rsidRPr="009F38E3">
        <w:rPr>
          <w:rFonts w:ascii="Arial" w:hAnsi="Arial" w:cs="Arial"/>
          <w:sz w:val="24"/>
          <w:szCs w:val="24"/>
        </w:rPr>
        <w:t>, "everyone is equal before the law and has the right to equal protection and benefit of the law," as per section 9(1) and the state is not allowed to discriminate against anybody unfairly, either directly or indirectly, on any of the seventeen non-exhaustive grounds</w:t>
      </w:r>
      <w:r w:rsidRPr="009F38E3">
        <w:rPr>
          <w:rFonts w:ascii="Arial" w:hAnsi="Arial" w:cs="Arial"/>
          <w:sz w:val="24"/>
          <w:szCs w:val="24"/>
          <w:vertAlign w:val="superscript"/>
        </w:rPr>
        <w:footnoteReference w:id="106"/>
      </w:r>
      <w:r w:rsidRPr="009F38E3">
        <w:rPr>
          <w:rFonts w:ascii="Arial" w:hAnsi="Arial" w:cs="Arial"/>
          <w:sz w:val="24"/>
          <w:szCs w:val="24"/>
        </w:rPr>
        <w:t xml:space="preserve"> listed in section 9(3). Furthermore, it consents to affirmative action by stating that equality entails the full and equal enjoyment of all rights and freedoms and that advancement or protection of individuals or groups of individuals who are disadvantaged by unfair discrimination may be achieved through legislative and other measures as provided for in section 9(2). However, the </w:t>
      </w:r>
      <w:r w:rsidRPr="009F38E3">
        <w:rPr>
          <w:rFonts w:ascii="Arial" w:hAnsi="Arial" w:cs="Arial"/>
          <w:i/>
          <w:iCs/>
          <w:sz w:val="24"/>
          <w:szCs w:val="24"/>
        </w:rPr>
        <w:t>Minister of Finance</w:t>
      </w:r>
      <w:r w:rsidR="00717506" w:rsidRPr="009F38E3">
        <w:rPr>
          <w:rFonts w:ascii="Arial" w:hAnsi="Arial" w:cs="Arial"/>
          <w:i/>
          <w:iCs/>
          <w:sz w:val="24"/>
          <w:szCs w:val="24"/>
        </w:rPr>
        <w:t xml:space="preserve"> v</w:t>
      </w:r>
      <w:r w:rsidRPr="009F38E3">
        <w:rPr>
          <w:rFonts w:ascii="Arial" w:hAnsi="Arial" w:cs="Arial"/>
          <w:i/>
          <w:iCs/>
          <w:sz w:val="24"/>
          <w:szCs w:val="24"/>
        </w:rPr>
        <w:t xml:space="preserve"> Van Heerden </w:t>
      </w:r>
      <w:r w:rsidRPr="009F38E3">
        <w:rPr>
          <w:rFonts w:ascii="Arial" w:hAnsi="Arial" w:cs="Arial"/>
          <w:sz w:val="24"/>
          <w:szCs w:val="24"/>
        </w:rPr>
        <w:t xml:space="preserve">case, which lays out an internal criterion that the measures entailed in section 9(2) ought to be examined against, shows that section 9(2) cannot be declared an absolute right without any constraints. Therefore,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successfully defend a section 9(2) measure against challenges, the State or other institutions must demonstrate that the measure "(1) targets persons or categories of </w:t>
      </w:r>
      <w:r w:rsidRPr="009F38E3">
        <w:rPr>
          <w:rFonts w:ascii="Arial" w:hAnsi="Arial" w:cs="Arial"/>
          <w:sz w:val="24"/>
          <w:szCs w:val="24"/>
        </w:rPr>
        <w:lastRenderedPageBreak/>
        <w:t>persons who have been disadvantaged by unfair discrimination, (2) is designed to protect and advance such persons or categories of persons, and (3) promotes the achievement of equality."</w:t>
      </w:r>
    </w:p>
    <w:p w14:paraId="1DF8E8ED" w14:textId="74B096CE"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Therefore, a clear framework for comprehending affirmative action under the </w:t>
      </w:r>
      <w:r w:rsidRPr="009F38E3">
        <w:rPr>
          <w:rFonts w:ascii="Arial" w:hAnsi="Arial" w:cs="Arial"/>
          <w:i/>
          <w:iCs/>
          <w:sz w:val="24"/>
          <w:szCs w:val="24"/>
        </w:rPr>
        <w:t>Constitution</w:t>
      </w:r>
      <w:r w:rsidRPr="009F38E3">
        <w:rPr>
          <w:rFonts w:ascii="Arial" w:hAnsi="Arial" w:cs="Arial"/>
          <w:sz w:val="24"/>
          <w:szCs w:val="24"/>
        </w:rPr>
        <w:t xml:space="preserve"> was established by the Constitutional Court in the seminal case of </w:t>
      </w:r>
      <w:r w:rsidRPr="009F38E3">
        <w:rPr>
          <w:rFonts w:ascii="Arial" w:hAnsi="Arial" w:cs="Arial"/>
          <w:i/>
          <w:iCs/>
          <w:sz w:val="24"/>
          <w:szCs w:val="24"/>
        </w:rPr>
        <w:t>Minister of Finance</w:t>
      </w:r>
      <w:r w:rsidR="00717506" w:rsidRPr="009F38E3">
        <w:rPr>
          <w:rFonts w:ascii="Arial" w:hAnsi="Arial" w:cs="Arial"/>
          <w:i/>
          <w:iCs/>
          <w:sz w:val="24"/>
          <w:szCs w:val="24"/>
        </w:rPr>
        <w:t xml:space="preserve"> v</w:t>
      </w:r>
      <w:r w:rsidRPr="009F38E3">
        <w:rPr>
          <w:rFonts w:ascii="Arial" w:hAnsi="Arial" w:cs="Arial"/>
          <w:i/>
          <w:iCs/>
          <w:sz w:val="24"/>
          <w:szCs w:val="24"/>
        </w:rPr>
        <w:t xml:space="preserve"> Van Heerden.</w:t>
      </w:r>
      <w:r w:rsidRPr="009F38E3">
        <w:rPr>
          <w:rFonts w:ascii="Arial" w:hAnsi="Arial" w:cs="Arial"/>
          <w:sz w:val="24"/>
          <w:szCs w:val="24"/>
        </w:rPr>
        <w:t xml:space="preserve"> Van Heerden, the defendant in this case, contested a pension plan that gave preference to black employees who had previously faced discrimination. </w:t>
      </w:r>
      <w:proofErr w:type="gramStart"/>
      <w:r w:rsidRPr="009F38E3">
        <w:rPr>
          <w:rFonts w:ascii="Arial" w:hAnsi="Arial" w:cs="Arial"/>
          <w:sz w:val="24"/>
          <w:szCs w:val="24"/>
        </w:rPr>
        <w:t>As long as</w:t>
      </w:r>
      <w:proofErr w:type="gramEnd"/>
      <w:r w:rsidRPr="009F38E3">
        <w:rPr>
          <w:rFonts w:ascii="Arial" w:hAnsi="Arial" w:cs="Arial"/>
          <w:sz w:val="24"/>
          <w:szCs w:val="24"/>
        </w:rPr>
        <w:t xml:space="preserve"> the measures are designed to protect or advance people who have been disadvantaged by past discrimination, they must also promote the achievement of equality and, finally, they must be reasonably likely to achieve the intended outcome of substantive equality, the court held that measures aimed at advancing equality for disadvantaged groups are consistent with section 9(2). In her majority opinion, Justice Moseneke stressed that affirmative action is a prerequisite for attaining true equality in a post-apartheid society rather than an exception to the right to equality. According to the court, affirmative action should be seen as a valid way to address systemic injustices, and policies should be fair, flexible, and proportionate to the inequity they are intended to remedy. The </w:t>
      </w:r>
      <w:r w:rsidRPr="009F38E3">
        <w:rPr>
          <w:rFonts w:ascii="Arial" w:hAnsi="Arial" w:cs="Arial"/>
          <w:i/>
          <w:iCs/>
          <w:sz w:val="24"/>
          <w:szCs w:val="24"/>
        </w:rPr>
        <w:t>Minister of Finance</w:t>
      </w:r>
      <w:r w:rsidR="00717506" w:rsidRPr="009F38E3">
        <w:rPr>
          <w:rFonts w:ascii="Arial" w:hAnsi="Arial" w:cs="Arial"/>
          <w:i/>
          <w:iCs/>
          <w:sz w:val="24"/>
          <w:szCs w:val="24"/>
        </w:rPr>
        <w:t xml:space="preserve"> v</w:t>
      </w:r>
      <w:r w:rsidRPr="009F38E3">
        <w:rPr>
          <w:rFonts w:ascii="Arial" w:hAnsi="Arial" w:cs="Arial"/>
          <w:i/>
          <w:iCs/>
          <w:sz w:val="24"/>
          <w:szCs w:val="24"/>
        </w:rPr>
        <w:t xml:space="preserve"> Van Heerden</w:t>
      </w:r>
      <w:r w:rsidRPr="009F38E3">
        <w:rPr>
          <w:rFonts w:ascii="Arial" w:hAnsi="Arial" w:cs="Arial"/>
          <w:sz w:val="24"/>
          <w:szCs w:val="24"/>
        </w:rPr>
        <w:t xml:space="preserve"> ruling emphasizes that affirmative action is a crucial part of South Africa's commitment to substantive equality and is not a short term nor exceptional remedy.</w:t>
      </w:r>
    </w:p>
    <w:p w14:paraId="0B698F55" w14:textId="7ED56750"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Although the general legal framework for affirmative action is provided by the Constitution, these principles are put into practice by </w:t>
      </w:r>
      <w:proofErr w:type="gramStart"/>
      <w:r w:rsidRPr="009F38E3">
        <w:rPr>
          <w:rFonts w:ascii="Arial" w:hAnsi="Arial" w:cs="Arial"/>
          <w:sz w:val="24"/>
          <w:szCs w:val="24"/>
        </w:rPr>
        <w:t>particular legislative</w:t>
      </w:r>
      <w:proofErr w:type="gramEnd"/>
      <w:r w:rsidRPr="009F38E3">
        <w:rPr>
          <w:rFonts w:ascii="Arial" w:hAnsi="Arial" w:cs="Arial"/>
          <w:sz w:val="24"/>
          <w:szCs w:val="24"/>
        </w:rPr>
        <w:t xml:space="preserve"> actions. The </w:t>
      </w:r>
      <w:r w:rsidRPr="009F38E3">
        <w:rPr>
          <w:rFonts w:ascii="Arial" w:hAnsi="Arial" w:cs="Arial"/>
          <w:i/>
          <w:iCs/>
          <w:sz w:val="24"/>
          <w:szCs w:val="24"/>
        </w:rPr>
        <w:t>Employment Equity Act</w:t>
      </w:r>
      <w:r w:rsidRPr="009F38E3">
        <w:rPr>
          <w:rFonts w:ascii="Arial" w:hAnsi="Arial" w:cs="Arial"/>
          <w:sz w:val="24"/>
          <w:szCs w:val="24"/>
        </w:rPr>
        <w:t xml:space="preserve">, the </w:t>
      </w:r>
      <w:r w:rsidRPr="009F38E3">
        <w:rPr>
          <w:rFonts w:ascii="Arial" w:hAnsi="Arial" w:cs="Arial"/>
          <w:i/>
          <w:iCs/>
          <w:sz w:val="24"/>
          <w:szCs w:val="24"/>
        </w:rPr>
        <w:t>Broad-Based Black Economic Empowerment Act</w:t>
      </w:r>
      <w:r w:rsidRPr="009F38E3">
        <w:rPr>
          <w:rFonts w:ascii="Arial" w:hAnsi="Arial" w:cs="Arial"/>
          <w:sz w:val="24"/>
          <w:szCs w:val="24"/>
        </w:rPr>
        <w:t xml:space="preserve">, and the </w:t>
      </w:r>
      <w:r w:rsidRPr="009F38E3">
        <w:rPr>
          <w:rFonts w:ascii="Arial" w:hAnsi="Arial" w:cs="Arial"/>
          <w:i/>
          <w:iCs/>
          <w:sz w:val="24"/>
          <w:szCs w:val="24"/>
        </w:rPr>
        <w:t>Labour Relations Act</w:t>
      </w:r>
      <w:r w:rsidRPr="009F38E3">
        <w:rPr>
          <w:rFonts w:ascii="Arial" w:hAnsi="Arial" w:cs="Arial"/>
          <w:sz w:val="24"/>
          <w:szCs w:val="24"/>
        </w:rPr>
        <w:t xml:space="preserve"> are the main laws that serve as the foundation for affirmative action in South Africa. Each of these laws addresses inequality in different spheres of society in a unique but complementary way.</w:t>
      </w:r>
    </w:p>
    <w:p w14:paraId="6BAC5C75" w14:textId="77777777" w:rsidR="00664603" w:rsidRPr="009F38E3" w:rsidRDefault="00664603" w:rsidP="002F1691">
      <w:pPr>
        <w:pStyle w:val="Heading2"/>
        <w:ind w:left="360"/>
      </w:pPr>
      <w:bookmarkStart w:id="90" w:name="_Toc189739290"/>
      <w:r w:rsidRPr="009F38E3">
        <w:t>2.3.4 Employment Equity Act 55 of 1998</w:t>
      </w:r>
      <w:bookmarkEnd w:id="90"/>
    </w:p>
    <w:p w14:paraId="4E63F7A1"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Employment equity in the workplace is one of the primary goals of affirmative action. Combating fundamental historical inequalities is the primary objective of the </w:t>
      </w:r>
      <w:r w:rsidRPr="009F38E3">
        <w:rPr>
          <w:rFonts w:ascii="Arial" w:hAnsi="Arial" w:cs="Arial"/>
          <w:i/>
          <w:iCs/>
          <w:sz w:val="24"/>
          <w:szCs w:val="24"/>
        </w:rPr>
        <w:t>EEA</w:t>
      </w:r>
      <w:r w:rsidRPr="009F38E3">
        <w:rPr>
          <w:rFonts w:ascii="Arial" w:hAnsi="Arial" w:cs="Arial"/>
          <w:sz w:val="24"/>
          <w:szCs w:val="24"/>
        </w:rPr>
        <w:t xml:space="preserve"> in that the </w:t>
      </w:r>
      <w:r w:rsidRPr="009F38E3">
        <w:rPr>
          <w:rFonts w:ascii="Arial" w:hAnsi="Arial" w:cs="Arial"/>
          <w:i/>
          <w:iCs/>
          <w:sz w:val="24"/>
          <w:szCs w:val="24"/>
        </w:rPr>
        <w:t>EEA</w:t>
      </w:r>
      <w:r w:rsidRPr="009F38E3">
        <w:rPr>
          <w:rFonts w:ascii="Arial" w:hAnsi="Arial" w:cs="Arial"/>
          <w:sz w:val="24"/>
          <w:szCs w:val="24"/>
        </w:rPr>
        <w:t xml:space="preserve"> acknowledges that there are differences in employment, occupation, and income within the national labour market as a result of apartheid and other discriminatory laws and practices.</w:t>
      </w:r>
      <w:r w:rsidRPr="009F38E3">
        <w:rPr>
          <w:rFonts w:ascii="Arial" w:hAnsi="Arial" w:cs="Arial"/>
          <w:sz w:val="24"/>
          <w:szCs w:val="24"/>
          <w:vertAlign w:val="superscript"/>
        </w:rPr>
        <w:footnoteReference w:id="107"/>
      </w:r>
      <w:r w:rsidRPr="009F38E3">
        <w:rPr>
          <w:rFonts w:ascii="Arial" w:hAnsi="Arial" w:cs="Arial"/>
          <w:sz w:val="24"/>
          <w:szCs w:val="24"/>
        </w:rPr>
        <w:t xml:space="preserve"> It also acknowledges that these differences put </w:t>
      </w:r>
      <w:r w:rsidRPr="009F38E3">
        <w:rPr>
          <w:rFonts w:ascii="Arial" w:hAnsi="Arial" w:cs="Arial"/>
          <w:sz w:val="24"/>
          <w:szCs w:val="24"/>
        </w:rPr>
        <w:lastRenderedPageBreak/>
        <w:t>some groups of individuals at such severe disadvantages that they cannot be fixed by merely abolishing laws that discriminate against them.</w:t>
      </w:r>
      <w:r w:rsidRPr="009F38E3">
        <w:rPr>
          <w:rFonts w:ascii="Arial" w:hAnsi="Arial" w:cs="Arial"/>
          <w:sz w:val="24"/>
          <w:szCs w:val="24"/>
          <w:vertAlign w:val="superscript"/>
        </w:rPr>
        <w:footnoteReference w:id="108"/>
      </w:r>
      <w:r w:rsidRPr="009F38E3">
        <w:rPr>
          <w:rFonts w:ascii="Arial" w:hAnsi="Arial" w:cs="Arial"/>
          <w:sz w:val="24"/>
          <w:szCs w:val="24"/>
        </w:rPr>
        <w:t xml:space="preserve"> Therefore, it became necessary to enact employment equity laws in order to combat economic inequality in South Africa.</w:t>
      </w:r>
    </w:p>
    <w:p w14:paraId="6C1FB088" w14:textId="77777777" w:rsidR="00664603" w:rsidRPr="009F38E3" w:rsidRDefault="00664603" w:rsidP="00664603">
      <w:pPr>
        <w:spacing w:line="360" w:lineRule="auto"/>
        <w:jc w:val="both"/>
        <w:rPr>
          <w:rFonts w:ascii="Arial" w:hAnsi="Arial" w:cs="Arial"/>
          <w:sz w:val="24"/>
          <w:szCs w:val="24"/>
        </w:rPr>
      </w:pPr>
      <w:proofErr w:type="gramStart"/>
      <w:r w:rsidRPr="009F38E3">
        <w:rPr>
          <w:rFonts w:ascii="Arial" w:hAnsi="Arial" w:cs="Arial"/>
          <w:sz w:val="24"/>
          <w:szCs w:val="24"/>
        </w:rPr>
        <w:t>In order to</w:t>
      </w:r>
      <w:proofErr w:type="gramEnd"/>
      <w:r w:rsidRPr="009F38E3">
        <w:rPr>
          <w:rFonts w:ascii="Arial" w:hAnsi="Arial" w:cs="Arial"/>
          <w:sz w:val="24"/>
          <w:szCs w:val="24"/>
        </w:rPr>
        <w:t xml:space="preserve"> introduce a thorough statutory regulation of equality rights in employment, the Labour Minister released a </w:t>
      </w:r>
      <w:bookmarkStart w:id="91" w:name="_Hlk183119835"/>
      <w:r w:rsidRPr="009F38E3">
        <w:rPr>
          <w:rFonts w:ascii="Arial" w:hAnsi="Arial" w:cs="Arial"/>
          <w:sz w:val="24"/>
          <w:szCs w:val="24"/>
        </w:rPr>
        <w:t>Green Paper on Employment and Occupational Equity</w:t>
      </w:r>
      <w:r w:rsidRPr="009F38E3">
        <w:rPr>
          <w:rFonts w:ascii="Arial" w:hAnsi="Arial" w:cs="Arial"/>
          <w:sz w:val="24"/>
          <w:szCs w:val="24"/>
          <w:vertAlign w:val="superscript"/>
        </w:rPr>
        <w:footnoteReference w:id="109"/>
      </w:r>
      <w:r w:rsidRPr="009F38E3">
        <w:rPr>
          <w:rFonts w:ascii="Arial" w:hAnsi="Arial" w:cs="Arial"/>
          <w:sz w:val="24"/>
          <w:szCs w:val="24"/>
        </w:rPr>
        <w:t xml:space="preserve"> (hereinafter referred to as Green Paper</w:t>
      </w:r>
      <w:bookmarkEnd w:id="91"/>
      <w:r w:rsidRPr="009F38E3">
        <w:rPr>
          <w:rFonts w:ascii="Arial" w:hAnsi="Arial" w:cs="Arial"/>
          <w:sz w:val="24"/>
          <w:szCs w:val="24"/>
        </w:rPr>
        <w:t xml:space="preserve">). According to the Green Paper, the government was dedicated to taking "positive measures" to eradicate the disadvantage and prejudice left behind from the former apartheid state and society. It emphasized how prejudice in hiring, training, promotion, and retrenchment, as well as needless obstacles caused by the </w:t>
      </w:r>
      <w:proofErr w:type="gramStart"/>
      <w:r w:rsidRPr="009F38E3">
        <w:rPr>
          <w:rFonts w:ascii="Arial" w:hAnsi="Arial" w:cs="Arial"/>
          <w:sz w:val="24"/>
          <w:szCs w:val="24"/>
        </w:rPr>
        <w:t>manner in which</w:t>
      </w:r>
      <w:proofErr w:type="gramEnd"/>
      <w:r w:rsidRPr="009F38E3">
        <w:rPr>
          <w:rFonts w:ascii="Arial" w:hAnsi="Arial" w:cs="Arial"/>
          <w:sz w:val="24"/>
          <w:szCs w:val="24"/>
        </w:rPr>
        <w:t xml:space="preserve"> employment and training were structured, have traditionally led to discrimination in the labour market.</w:t>
      </w:r>
      <w:r w:rsidRPr="009F38E3">
        <w:rPr>
          <w:rFonts w:ascii="Arial" w:hAnsi="Arial" w:cs="Arial"/>
          <w:sz w:val="24"/>
          <w:szCs w:val="24"/>
          <w:vertAlign w:val="superscript"/>
        </w:rPr>
        <w:footnoteReference w:id="110"/>
      </w:r>
      <w:r w:rsidRPr="009F38E3">
        <w:rPr>
          <w:rFonts w:ascii="Arial" w:hAnsi="Arial" w:cs="Arial"/>
          <w:sz w:val="24"/>
          <w:szCs w:val="24"/>
        </w:rPr>
        <w:t xml:space="preserve"> Additionally, the majority of South Africans were at a disadvantage due to numerous laws, rules, and policies outside of the labour market. With specific reference to affirmative action policies, it was suggested that firms should carry out organizational audits and formulate employment equity plans for historically underrepresented groups, specifically black people, women and people with disabilities.</w:t>
      </w:r>
      <w:r w:rsidRPr="009F38E3">
        <w:rPr>
          <w:rFonts w:ascii="Arial" w:hAnsi="Arial" w:cs="Arial"/>
          <w:sz w:val="24"/>
          <w:szCs w:val="24"/>
          <w:vertAlign w:val="superscript"/>
        </w:rPr>
        <w:footnoteReference w:id="111"/>
      </w:r>
    </w:p>
    <w:p w14:paraId="16C43178"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Green Paper's position and views were echoed by the </w:t>
      </w:r>
      <w:r w:rsidRPr="009F38E3">
        <w:rPr>
          <w:rFonts w:ascii="Arial" w:hAnsi="Arial" w:cs="Arial"/>
          <w:i/>
          <w:iCs/>
          <w:sz w:val="24"/>
          <w:szCs w:val="24"/>
        </w:rPr>
        <w:t>Employment Equity Bill</w:t>
      </w:r>
      <w:r w:rsidRPr="009F38E3">
        <w:rPr>
          <w:rFonts w:ascii="Arial" w:hAnsi="Arial" w:cs="Arial"/>
          <w:sz w:val="24"/>
          <w:szCs w:val="24"/>
        </w:rPr>
        <w:t>,</w:t>
      </w:r>
      <w:r w:rsidRPr="009F38E3">
        <w:rPr>
          <w:rFonts w:ascii="Arial" w:hAnsi="Arial" w:cs="Arial"/>
          <w:sz w:val="24"/>
          <w:szCs w:val="24"/>
          <w:vertAlign w:val="superscript"/>
        </w:rPr>
        <w:footnoteReference w:id="112"/>
      </w:r>
      <w:r w:rsidRPr="009F38E3">
        <w:rPr>
          <w:rFonts w:ascii="Arial" w:hAnsi="Arial" w:cs="Arial"/>
          <w:sz w:val="24"/>
          <w:szCs w:val="24"/>
        </w:rPr>
        <w:t xml:space="preserve"> which was passed on December 1, 1997. It stated that policies, programs, and constructive action aimed at correcting historical imbalances were necessary because the inequalities brought about by apartheid laws and legislation could not be resolved by merely prohibiting discrimination. </w:t>
      </w:r>
      <w:proofErr w:type="gramStart"/>
      <w:r w:rsidRPr="009F38E3">
        <w:rPr>
          <w:rFonts w:ascii="Arial" w:hAnsi="Arial" w:cs="Arial"/>
          <w:sz w:val="24"/>
          <w:szCs w:val="24"/>
        </w:rPr>
        <w:t>Similar to</w:t>
      </w:r>
      <w:proofErr w:type="gramEnd"/>
      <w:r w:rsidRPr="009F38E3">
        <w:rPr>
          <w:rFonts w:ascii="Arial" w:hAnsi="Arial" w:cs="Arial"/>
          <w:sz w:val="24"/>
          <w:szCs w:val="24"/>
        </w:rPr>
        <w:t xml:space="preserve"> the Green Paper, the job Equity Bill contended that women, individuals with disabilities, and black people suffered substantial job disadvantages. These included significant unemployment rates, salary disparities, occupational segregation, and limited access to chances for training and development.</w:t>
      </w:r>
    </w:p>
    <w:p w14:paraId="7FAA76F9" w14:textId="35964091"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Reflecting on the legal and substantively equal framework established by the constitution, specifically regarding affirmative action in the workplace, the </w:t>
      </w:r>
      <w:r w:rsidRPr="009F38E3">
        <w:rPr>
          <w:rFonts w:ascii="Arial" w:hAnsi="Arial" w:cs="Arial"/>
          <w:i/>
          <w:iCs/>
          <w:sz w:val="24"/>
          <w:szCs w:val="24"/>
        </w:rPr>
        <w:t xml:space="preserve">Employment Equity Act </w:t>
      </w:r>
      <w:r w:rsidRPr="009F38E3">
        <w:rPr>
          <w:rFonts w:ascii="Arial" w:hAnsi="Arial" w:cs="Arial"/>
          <w:sz w:val="24"/>
          <w:szCs w:val="24"/>
        </w:rPr>
        <w:t xml:space="preserve">is the most important piece of legislation. Through the abolition of unjust </w:t>
      </w:r>
      <w:r w:rsidRPr="009F38E3">
        <w:rPr>
          <w:rFonts w:ascii="Arial" w:hAnsi="Arial" w:cs="Arial"/>
          <w:sz w:val="24"/>
          <w:szCs w:val="24"/>
        </w:rPr>
        <w:lastRenderedPageBreak/>
        <w:t xml:space="preserve">discrimination and the application of affirmative action policies, the </w:t>
      </w:r>
      <w:r w:rsidRPr="009F38E3">
        <w:rPr>
          <w:rFonts w:ascii="Arial" w:hAnsi="Arial" w:cs="Arial"/>
          <w:i/>
          <w:iCs/>
          <w:sz w:val="24"/>
          <w:szCs w:val="24"/>
        </w:rPr>
        <w:t>EEA</w:t>
      </w:r>
      <w:r w:rsidRPr="009F38E3">
        <w:rPr>
          <w:rFonts w:ascii="Arial" w:hAnsi="Arial" w:cs="Arial"/>
          <w:sz w:val="24"/>
          <w:szCs w:val="24"/>
        </w:rPr>
        <w:t xml:space="preserve"> was created to advance fair treatment and equal opportunity in the workplace with the objective of abolishing unjust discrimination while addressing employment disparities </w:t>
      </w:r>
      <w:proofErr w:type="gramStart"/>
      <w:r w:rsidRPr="009F38E3">
        <w:rPr>
          <w:rFonts w:ascii="Arial" w:hAnsi="Arial" w:cs="Arial"/>
          <w:sz w:val="24"/>
          <w:szCs w:val="24"/>
        </w:rPr>
        <w:t>through the use of</w:t>
      </w:r>
      <w:proofErr w:type="gramEnd"/>
      <w:r w:rsidRPr="009F38E3">
        <w:rPr>
          <w:rFonts w:ascii="Arial" w:hAnsi="Arial" w:cs="Arial"/>
          <w:sz w:val="24"/>
          <w:szCs w:val="24"/>
        </w:rPr>
        <w:t xml:space="preserve"> affirmative action policies. Affirmative action in South Africa is further clarified by the </w:t>
      </w:r>
      <w:r w:rsidRPr="009F38E3">
        <w:rPr>
          <w:rFonts w:ascii="Arial" w:hAnsi="Arial" w:cs="Arial"/>
          <w:i/>
          <w:iCs/>
          <w:sz w:val="24"/>
          <w:szCs w:val="24"/>
        </w:rPr>
        <w:t>Auf der Heyde</w:t>
      </w:r>
      <w:r w:rsidR="00717506" w:rsidRPr="009F38E3">
        <w:rPr>
          <w:rFonts w:ascii="Arial" w:hAnsi="Arial" w:cs="Arial"/>
          <w:i/>
          <w:iCs/>
          <w:sz w:val="24"/>
          <w:szCs w:val="24"/>
        </w:rPr>
        <w:t xml:space="preserve"> v</w:t>
      </w:r>
      <w:r w:rsidRPr="009F38E3">
        <w:rPr>
          <w:rFonts w:ascii="Arial" w:hAnsi="Arial" w:cs="Arial"/>
          <w:i/>
          <w:iCs/>
          <w:sz w:val="24"/>
          <w:szCs w:val="24"/>
        </w:rPr>
        <w:t xml:space="preserve"> University of Cape Town</w:t>
      </w:r>
      <w:r w:rsidRPr="009F38E3">
        <w:rPr>
          <w:rFonts w:ascii="Arial" w:hAnsi="Arial" w:cs="Arial"/>
          <w:sz w:val="24"/>
          <w:szCs w:val="24"/>
        </w:rPr>
        <w:t xml:space="preserve"> case which affirmed that affirmative action policies must be targeted specifically at those who were directly harmed by prior prejudice, thus reiterating that affirmative action is a suitable means of addressing apartheid's injustices, </w:t>
      </w:r>
      <w:proofErr w:type="gramStart"/>
      <w:r w:rsidRPr="009F38E3">
        <w:rPr>
          <w:rFonts w:ascii="Arial" w:hAnsi="Arial" w:cs="Arial"/>
          <w:sz w:val="24"/>
          <w:szCs w:val="24"/>
        </w:rPr>
        <w:t>provided that</w:t>
      </w:r>
      <w:proofErr w:type="gramEnd"/>
      <w:r w:rsidRPr="009F38E3">
        <w:rPr>
          <w:rFonts w:ascii="Arial" w:hAnsi="Arial" w:cs="Arial"/>
          <w:sz w:val="24"/>
          <w:szCs w:val="24"/>
        </w:rPr>
        <w:t xml:space="preserve"> it is applied proportionately and with consideration for the circumstances.</w:t>
      </w:r>
    </w:p>
    <w:p w14:paraId="49A31901"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Act further states in section 6(2)(a) that executing affirmative action actions that are in line with the </w:t>
      </w:r>
      <w:r w:rsidRPr="009F38E3">
        <w:rPr>
          <w:rFonts w:ascii="Arial" w:hAnsi="Arial" w:cs="Arial"/>
          <w:i/>
          <w:iCs/>
          <w:sz w:val="24"/>
          <w:szCs w:val="24"/>
        </w:rPr>
        <w:t>Employment Equity Act</w:t>
      </w:r>
      <w:r w:rsidRPr="009F38E3">
        <w:rPr>
          <w:rFonts w:ascii="Arial" w:hAnsi="Arial" w:cs="Arial"/>
          <w:sz w:val="24"/>
          <w:szCs w:val="24"/>
        </w:rPr>
        <w:t xml:space="preserve">'s goals does not constitute unjust discrimination. </w:t>
      </w:r>
    </w:p>
    <w:p w14:paraId="11032098"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purpose of affirmative action, which is a legally required action, is to guarantee that qualified members of designated groups are fairly represented in all occupational categories and levels within a designated employer's workforce and </w:t>
      </w:r>
      <w:r w:rsidRPr="009F38E3">
        <w:rPr>
          <w:rFonts w:ascii="Arial" w:hAnsi="Arial" w:cs="Arial"/>
          <w:i/>
          <w:iCs/>
          <w:sz w:val="24"/>
          <w:szCs w:val="24"/>
        </w:rPr>
        <w:t>the Employment Equity Act</w:t>
      </w:r>
      <w:r w:rsidRPr="009F38E3">
        <w:rPr>
          <w:rFonts w:ascii="Arial" w:hAnsi="Arial" w:cs="Arial"/>
          <w:sz w:val="24"/>
          <w:szCs w:val="24"/>
        </w:rPr>
        <w:t xml:space="preserve"> additionally describes "designated groups" as women, people with disabilities, and Black people.</w:t>
      </w:r>
      <w:r w:rsidRPr="009F38E3">
        <w:rPr>
          <w:rFonts w:ascii="Arial" w:hAnsi="Arial" w:cs="Arial"/>
          <w:sz w:val="24"/>
          <w:szCs w:val="24"/>
          <w:vertAlign w:val="superscript"/>
        </w:rPr>
        <w:footnoteReference w:id="113"/>
      </w:r>
      <w:r w:rsidRPr="009F38E3">
        <w:rPr>
          <w:rFonts w:ascii="Arial" w:hAnsi="Arial" w:cs="Arial"/>
          <w:sz w:val="24"/>
          <w:szCs w:val="24"/>
        </w:rPr>
        <w:t xml:space="preserve"> Section 13 states that in order to carry out affirmative action, an employer has to formulate an employment equity plans, do an analysis, and consult with its employees. Every designated employer, as defined in section 1, is also required to report on the progress made in carrying out a plan. This broadly includes larger businesses, which are defined as employers with fifty or more employees, as well as employers with fewer than fifty employees but with an annual turnover that is equal to or higher than the applicable turnover for small businesses, municipalities, state organs, and employers designated as such under a collective agreement. </w:t>
      </w:r>
    </w:p>
    <w:p w14:paraId="400629E8" w14:textId="75E68FC1"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Subsequently, a designated employer's affirmative action policies must thus address the topics specified in section 15(2) which includes identifying and removing employment barriers that negatively impact members of designated groups, promoting diversity in the workplace based on equal dignity and respect </w:t>
      </w:r>
      <w:r w:rsidR="001677CA" w:rsidRPr="009F38E3">
        <w:rPr>
          <w:rFonts w:ascii="Arial" w:hAnsi="Arial" w:cs="Arial"/>
          <w:sz w:val="24"/>
          <w:szCs w:val="24"/>
        </w:rPr>
        <w:t>for</w:t>
      </w:r>
      <w:r w:rsidRPr="009F38E3">
        <w:rPr>
          <w:rFonts w:ascii="Arial" w:hAnsi="Arial" w:cs="Arial"/>
          <w:sz w:val="24"/>
          <w:szCs w:val="24"/>
        </w:rPr>
        <w:t xml:space="preserve"> all individuals, providing reasonable accommodations for members of designated groups, ensuring equitable representation of suitably qualified members of designated groups, retaining and developing members of designated groups, and appropriate training measures </w:t>
      </w:r>
      <w:r w:rsidRPr="009F38E3">
        <w:rPr>
          <w:rFonts w:ascii="Arial" w:hAnsi="Arial" w:cs="Arial"/>
          <w:sz w:val="24"/>
          <w:szCs w:val="24"/>
        </w:rPr>
        <w:lastRenderedPageBreak/>
        <w:t xml:space="preserve">(including skills development) are all necessary. As stated explicitly in section15(3), the final two parameters do not constitute limitations, but they do entail numerical objectives and preferential treatment. </w:t>
      </w:r>
    </w:p>
    <w:p w14:paraId="47827615"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Regarding the legal requirements for legitimate affirmative action, the </w:t>
      </w:r>
      <w:r w:rsidRPr="009F38E3">
        <w:rPr>
          <w:rFonts w:ascii="Arial" w:hAnsi="Arial" w:cs="Arial"/>
          <w:i/>
          <w:iCs/>
          <w:sz w:val="24"/>
          <w:szCs w:val="24"/>
        </w:rPr>
        <w:t>EEA</w:t>
      </w:r>
      <w:r w:rsidRPr="009F38E3">
        <w:rPr>
          <w:rFonts w:ascii="Arial" w:hAnsi="Arial" w:cs="Arial"/>
          <w:sz w:val="24"/>
          <w:szCs w:val="24"/>
        </w:rPr>
        <w:t xml:space="preserve"> offers minimal guidance. Therefore, it is up to the judiciary to interpret and apply the </w:t>
      </w:r>
      <w:r w:rsidRPr="009F38E3">
        <w:rPr>
          <w:rFonts w:ascii="Arial" w:hAnsi="Arial" w:cs="Arial"/>
          <w:i/>
          <w:iCs/>
          <w:sz w:val="24"/>
          <w:szCs w:val="24"/>
        </w:rPr>
        <w:t>EEA</w:t>
      </w:r>
      <w:r w:rsidRPr="009F38E3">
        <w:rPr>
          <w:rFonts w:ascii="Arial" w:hAnsi="Arial" w:cs="Arial"/>
          <w:sz w:val="24"/>
          <w:szCs w:val="24"/>
        </w:rPr>
        <w:t xml:space="preserve">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address the difficult equality issues that are typically connected to the implementation of similar programs. Only the </w:t>
      </w:r>
      <w:r w:rsidRPr="009F38E3">
        <w:rPr>
          <w:rFonts w:ascii="Arial" w:hAnsi="Arial" w:cs="Arial"/>
          <w:i/>
          <w:iCs/>
          <w:sz w:val="24"/>
          <w:szCs w:val="24"/>
        </w:rPr>
        <w:t>Constitution</w:t>
      </w:r>
      <w:r w:rsidRPr="009F38E3">
        <w:rPr>
          <w:rFonts w:ascii="Arial" w:hAnsi="Arial" w:cs="Arial"/>
          <w:sz w:val="24"/>
          <w:szCs w:val="24"/>
        </w:rPr>
        <w:t xml:space="preserve"> and the Republic's obligations under international law, particularly those outlined in the International Labour Organization Convention (No. 111) concerning Discrimination in Respect of Employment and Occupation, must be taken into consideration when interpreting the </w:t>
      </w:r>
      <w:r w:rsidRPr="009F38E3">
        <w:rPr>
          <w:rFonts w:ascii="Arial" w:hAnsi="Arial" w:cs="Arial"/>
          <w:i/>
          <w:iCs/>
          <w:sz w:val="24"/>
          <w:szCs w:val="24"/>
        </w:rPr>
        <w:t>Employment Equity Act</w:t>
      </w:r>
      <w:r w:rsidRPr="009F38E3">
        <w:rPr>
          <w:rFonts w:ascii="Arial" w:hAnsi="Arial" w:cs="Arial"/>
          <w:sz w:val="24"/>
          <w:szCs w:val="24"/>
        </w:rPr>
        <w:t>.</w:t>
      </w:r>
      <w:r w:rsidRPr="009F38E3">
        <w:rPr>
          <w:rFonts w:ascii="Arial" w:hAnsi="Arial" w:cs="Arial"/>
          <w:sz w:val="24"/>
          <w:szCs w:val="24"/>
          <w:vertAlign w:val="superscript"/>
        </w:rPr>
        <w:footnoteReference w:id="114"/>
      </w:r>
      <w:r w:rsidRPr="009F38E3">
        <w:rPr>
          <w:rFonts w:ascii="Arial" w:hAnsi="Arial" w:cs="Arial"/>
          <w:sz w:val="24"/>
          <w:szCs w:val="24"/>
        </w:rPr>
        <w:t xml:space="preserve"> However, to prevent what would typically result in a "reverse" discrimination claim, section 15(4) attempts to achieve a balance by granting some fairness and proportionality to members of non-designated groups by exempting a designated employer from making any decisions regarding employment policies or practices that would create an absolute barrier to the advancement or future employment of members of non-designated groups.</w:t>
      </w:r>
      <w:r w:rsidRPr="009F38E3">
        <w:rPr>
          <w:rFonts w:ascii="Arial" w:hAnsi="Arial" w:cs="Arial"/>
          <w:sz w:val="24"/>
          <w:szCs w:val="24"/>
          <w:vertAlign w:val="superscript"/>
        </w:rPr>
        <w:footnoteReference w:id="115"/>
      </w:r>
    </w:p>
    <w:p w14:paraId="72F8E46F" w14:textId="15B6EB81"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In the </w:t>
      </w:r>
      <w:r w:rsidRPr="009F38E3">
        <w:rPr>
          <w:rFonts w:ascii="Arial" w:hAnsi="Arial" w:cs="Arial"/>
          <w:i/>
          <w:iCs/>
          <w:sz w:val="24"/>
          <w:szCs w:val="24"/>
        </w:rPr>
        <w:t>Solidarity v Minister of Correctional Service case,</w:t>
      </w:r>
      <w:r w:rsidRPr="009F38E3">
        <w:rPr>
          <w:rFonts w:ascii="Arial" w:hAnsi="Arial" w:cs="Arial"/>
          <w:i/>
          <w:iCs/>
          <w:sz w:val="24"/>
          <w:szCs w:val="24"/>
          <w:vertAlign w:val="superscript"/>
        </w:rPr>
        <w:footnoteReference w:id="116"/>
      </w:r>
      <w:r w:rsidRPr="009F38E3">
        <w:rPr>
          <w:rFonts w:ascii="Arial" w:hAnsi="Arial" w:cs="Arial"/>
          <w:sz w:val="24"/>
          <w:szCs w:val="24"/>
        </w:rPr>
        <w:t xml:space="preserve"> the court considered a dispute concerning racial quotas in the Department of Correctional Services, testing the use of affirmative action under the </w:t>
      </w:r>
      <w:r w:rsidRPr="009F38E3">
        <w:rPr>
          <w:rFonts w:ascii="Arial" w:hAnsi="Arial" w:cs="Arial"/>
          <w:i/>
          <w:iCs/>
          <w:sz w:val="24"/>
          <w:szCs w:val="24"/>
        </w:rPr>
        <w:t>EEA</w:t>
      </w:r>
      <w:r w:rsidRPr="009F38E3">
        <w:rPr>
          <w:rFonts w:ascii="Arial" w:hAnsi="Arial" w:cs="Arial"/>
          <w:sz w:val="24"/>
          <w:szCs w:val="24"/>
        </w:rPr>
        <w:t xml:space="preserve">. The court decided that strict quotas that do not take into consideration the availability of appropriately qualified applicants from designated categories are in violation of the </w:t>
      </w:r>
      <w:r w:rsidRPr="009F38E3">
        <w:rPr>
          <w:rFonts w:ascii="Arial" w:hAnsi="Arial" w:cs="Arial"/>
          <w:i/>
          <w:iCs/>
          <w:sz w:val="24"/>
          <w:szCs w:val="24"/>
        </w:rPr>
        <w:t>EEA</w:t>
      </w:r>
      <w:r w:rsidRPr="009F38E3">
        <w:rPr>
          <w:rFonts w:ascii="Arial" w:hAnsi="Arial" w:cs="Arial"/>
          <w:sz w:val="24"/>
          <w:szCs w:val="24"/>
        </w:rPr>
        <w:t>, even though numerical targets are acceptable. The decision emphasized the need to strike a balance between promoting designated groups and making sure affirmative action policies are applied equitably and proportionately.</w:t>
      </w:r>
    </w:p>
    <w:p w14:paraId="7AD87FFF" w14:textId="27D7048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According to the </w:t>
      </w:r>
      <w:r w:rsidRPr="009F38E3">
        <w:rPr>
          <w:rFonts w:ascii="Arial" w:hAnsi="Arial" w:cs="Arial"/>
          <w:i/>
          <w:iCs/>
          <w:sz w:val="24"/>
          <w:szCs w:val="24"/>
        </w:rPr>
        <w:t>EEA</w:t>
      </w:r>
      <w:r w:rsidRPr="009F38E3">
        <w:rPr>
          <w:rFonts w:ascii="Arial" w:hAnsi="Arial" w:cs="Arial"/>
          <w:sz w:val="24"/>
          <w:szCs w:val="24"/>
        </w:rPr>
        <w:t>, eliminating unjust discrimination and implementing affirmative action policies to address disadvantages encountered in the workplace are the two main ways that equal opportunity and fair treatment in the workplace are accomplished and actively pursued.</w:t>
      </w:r>
      <w:r w:rsidRPr="009F38E3">
        <w:rPr>
          <w:rFonts w:ascii="Arial" w:hAnsi="Arial" w:cs="Arial"/>
          <w:sz w:val="24"/>
          <w:szCs w:val="24"/>
          <w:vertAlign w:val="superscript"/>
        </w:rPr>
        <w:footnoteReference w:id="117"/>
      </w:r>
      <w:r w:rsidRPr="009F38E3">
        <w:rPr>
          <w:rFonts w:ascii="Arial" w:hAnsi="Arial" w:cs="Arial"/>
          <w:sz w:val="24"/>
          <w:szCs w:val="24"/>
        </w:rPr>
        <w:t xml:space="preserve"> An analysis of the </w:t>
      </w:r>
      <w:r w:rsidRPr="009F38E3">
        <w:rPr>
          <w:rFonts w:ascii="Arial" w:hAnsi="Arial" w:cs="Arial"/>
          <w:i/>
          <w:iCs/>
          <w:sz w:val="24"/>
          <w:szCs w:val="24"/>
        </w:rPr>
        <w:t>EEA</w:t>
      </w:r>
      <w:r w:rsidRPr="009F38E3">
        <w:rPr>
          <w:rFonts w:ascii="Arial" w:hAnsi="Arial" w:cs="Arial"/>
          <w:sz w:val="24"/>
          <w:szCs w:val="24"/>
        </w:rPr>
        <w:t xml:space="preserve"> leads to the confirmation that affirmative action policy is confirmed to be one step toward achieving employment </w:t>
      </w:r>
      <w:r w:rsidRPr="009F38E3">
        <w:rPr>
          <w:rFonts w:ascii="Arial" w:hAnsi="Arial" w:cs="Arial"/>
          <w:sz w:val="24"/>
          <w:szCs w:val="24"/>
        </w:rPr>
        <w:lastRenderedPageBreak/>
        <w:t>equity through "measures designed to ensure that suitably qualified people from designated groups have equal employment opportunities and are equitably represented in all occupational categories and levels in the workforce of a designated employer".</w:t>
      </w:r>
      <w:r w:rsidRPr="009F38E3">
        <w:rPr>
          <w:rFonts w:ascii="Arial" w:hAnsi="Arial" w:cs="Arial"/>
          <w:sz w:val="24"/>
          <w:szCs w:val="24"/>
          <w:vertAlign w:val="superscript"/>
        </w:rPr>
        <w:footnoteReference w:id="118"/>
      </w:r>
    </w:p>
    <w:p w14:paraId="5EB351AC" w14:textId="77777777" w:rsidR="00664603" w:rsidRPr="009F38E3" w:rsidRDefault="00664603" w:rsidP="002F1691">
      <w:pPr>
        <w:pStyle w:val="Heading2"/>
        <w:ind w:left="360"/>
      </w:pPr>
      <w:bookmarkStart w:id="92" w:name="_Toc189739291"/>
      <w:r w:rsidRPr="009F38E3">
        <w:t>2.3.5 Labour Relations Act 66 of 1995</w:t>
      </w:r>
      <w:bookmarkEnd w:id="92"/>
    </w:p>
    <w:p w14:paraId="20510D07" w14:textId="126E5B52"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 xml:space="preserve">Labour Relations Act 66 </w:t>
      </w:r>
      <w:r w:rsidRPr="009F38E3">
        <w:rPr>
          <w:rFonts w:ascii="Arial" w:hAnsi="Arial" w:cs="Arial"/>
          <w:sz w:val="24"/>
          <w:szCs w:val="24"/>
        </w:rPr>
        <w:t xml:space="preserve">of 1995 (hereinafter referred to as </w:t>
      </w:r>
      <w:r w:rsidRPr="009F38E3">
        <w:rPr>
          <w:rFonts w:ascii="Arial" w:hAnsi="Arial" w:cs="Arial"/>
          <w:i/>
          <w:iCs/>
          <w:sz w:val="24"/>
          <w:szCs w:val="24"/>
        </w:rPr>
        <w:t>LRA</w:t>
      </w:r>
      <w:r w:rsidRPr="009F38E3">
        <w:rPr>
          <w:rFonts w:ascii="Arial" w:hAnsi="Arial" w:cs="Arial"/>
          <w:sz w:val="24"/>
          <w:szCs w:val="24"/>
        </w:rPr>
        <w:t>) is an important turning point in South African employment law, introducing modifications to the labour setting following apartheid in South Africa. The objectives of this legislation were aimed at completely eradicating prejudice in the workplace, establishing equal treatment in the workplace, and develop</w:t>
      </w:r>
      <w:r w:rsidR="001677CA" w:rsidRPr="009F38E3">
        <w:rPr>
          <w:rFonts w:ascii="Arial" w:hAnsi="Arial" w:cs="Arial"/>
          <w:sz w:val="24"/>
          <w:szCs w:val="24"/>
        </w:rPr>
        <w:t>ing</w:t>
      </w:r>
      <w:r w:rsidRPr="009F38E3">
        <w:rPr>
          <w:rFonts w:ascii="Arial" w:hAnsi="Arial" w:cs="Arial"/>
          <w:sz w:val="24"/>
          <w:szCs w:val="24"/>
        </w:rPr>
        <w:t xml:space="preserve"> equitable opportunity for all employees. To comprehend the relevance of the </w:t>
      </w:r>
      <w:r w:rsidRPr="009F38E3">
        <w:rPr>
          <w:rFonts w:ascii="Arial" w:hAnsi="Arial" w:cs="Arial"/>
          <w:i/>
          <w:iCs/>
          <w:sz w:val="24"/>
          <w:szCs w:val="24"/>
        </w:rPr>
        <w:t>LRA</w:t>
      </w:r>
      <w:r w:rsidRPr="009F38E3">
        <w:rPr>
          <w:rFonts w:ascii="Arial" w:hAnsi="Arial" w:cs="Arial"/>
          <w:sz w:val="24"/>
          <w:szCs w:val="24"/>
        </w:rPr>
        <w:t>'s provisions on unfair discrimination, especially when seen through the perspective of residual unfair labour practices, it is necessary to look at the pre-1995 legal context as well as the Act's initial provisions and their evolution over time.</w:t>
      </w:r>
    </w:p>
    <w:p w14:paraId="606D7B57"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Prior to the </w:t>
      </w:r>
      <w:r w:rsidRPr="009F38E3">
        <w:rPr>
          <w:rFonts w:ascii="Arial" w:hAnsi="Arial" w:cs="Arial"/>
          <w:i/>
          <w:iCs/>
          <w:sz w:val="24"/>
          <w:szCs w:val="24"/>
        </w:rPr>
        <w:t>LRA</w:t>
      </w:r>
      <w:r w:rsidRPr="009F38E3">
        <w:rPr>
          <w:rFonts w:ascii="Arial" w:hAnsi="Arial" w:cs="Arial"/>
          <w:sz w:val="24"/>
          <w:szCs w:val="24"/>
        </w:rPr>
        <w:t xml:space="preserve">, South African labour law was governed by a series of legislations that unambiguously authorized, and in some circumstances encouraged, discrimination based on race and other factors such as the significant apartheid-era legislation, the </w:t>
      </w:r>
      <w:r w:rsidRPr="009F38E3">
        <w:rPr>
          <w:rFonts w:ascii="Arial" w:hAnsi="Arial" w:cs="Arial"/>
          <w:i/>
          <w:iCs/>
          <w:sz w:val="24"/>
          <w:szCs w:val="24"/>
        </w:rPr>
        <w:t xml:space="preserve">Industrial Conciliation Act </w:t>
      </w:r>
      <w:r w:rsidRPr="009F38E3">
        <w:rPr>
          <w:rFonts w:ascii="Arial" w:hAnsi="Arial" w:cs="Arial"/>
          <w:sz w:val="24"/>
          <w:szCs w:val="24"/>
        </w:rPr>
        <w:t>of 1956, which prohibited non-white labour representation and bargaining rights.</w:t>
      </w:r>
      <w:r w:rsidRPr="009F38E3">
        <w:rPr>
          <w:rFonts w:ascii="Arial" w:hAnsi="Arial" w:cs="Arial"/>
          <w:sz w:val="24"/>
          <w:szCs w:val="24"/>
          <w:vertAlign w:val="superscript"/>
        </w:rPr>
        <w:footnoteReference w:id="119"/>
      </w:r>
      <w:r w:rsidRPr="009F38E3">
        <w:rPr>
          <w:rFonts w:ascii="Arial" w:hAnsi="Arial" w:cs="Arial"/>
          <w:sz w:val="24"/>
          <w:szCs w:val="24"/>
        </w:rPr>
        <w:t xml:space="preserve"> Such legislative structures constructed and solidified a racially segregated workplace, allocating lower compensation and limiting opportunities for advancement to Black, Coloured, and Indian South Africans, essentially enacting racial discrimination in workplace interactions.</w:t>
      </w:r>
      <w:r w:rsidRPr="009F38E3">
        <w:rPr>
          <w:rFonts w:ascii="Arial" w:hAnsi="Arial" w:cs="Arial"/>
          <w:sz w:val="24"/>
          <w:szCs w:val="24"/>
          <w:vertAlign w:val="superscript"/>
        </w:rPr>
        <w:footnoteReference w:id="120"/>
      </w:r>
    </w:p>
    <w:p w14:paraId="6321A27A" w14:textId="2EB22478"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Unfair labour practices and discrimination at work were typically not regarded as constitutional issues under these regulations. Employers possessed significant authority over hiring, salary setting, and firing, leaving employees with little to no recourse if they were treated unfairly.</w:t>
      </w:r>
      <w:r w:rsidRPr="009F38E3">
        <w:rPr>
          <w:rFonts w:ascii="Arial" w:hAnsi="Arial" w:cs="Arial"/>
          <w:sz w:val="24"/>
          <w:szCs w:val="24"/>
          <w:vertAlign w:val="superscript"/>
        </w:rPr>
        <w:footnoteReference w:id="121"/>
      </w:r>
      <w:r w:rsidRPr="009F38E3">
        <w:rPr>
          <w:rFonts w:ascii="Arial" w:hAnsi="Arial" w:cs="Arial"/>
          <w:sz w:val="24"/>
          <w:szCs w:val="24"/>
        </w:rPr>
        <w:t xml:space="preserve"> Labo</w:t>
      </w:r>
      <w:r w:rsidR="001677CA" w:rsidRPr="009F38E3">
        <w:rPr>
          <w:rFonts w:ascii="Arial" w:hAnsi="Arial" w:cs="Arial"/>
          <w:sz w:val="24"/>
          <w:szCs w:val="24"/>
        </w:rPr>
        <w:t>u</w:t>
      </w:r>
      <w:r w:rsidRPr="009F38E3">
        <w:rPr>
          <w:rFonts w:ascii="Arial" w:hAnsi="Arial" w:cs="Arial"/>
          <w:sz w:val="24"/>
          <w:szCs w:val="24"/>
        </w:rPr>
        <w:t xml:space="preserve">r tribunals and courts exercised restricted competence in handling allegations linked to employment practices, particularly those tied to racial discrimination, and these cases were frequently </w:t>
      </w:r>
      <w:r w:rsidRPr="009F38E3">
        <w:rPr>
          <w:rFonts w:ascii="Arial" w:hAnsi="Arial" w:cs="Arial"/>
          <w:sz w:val="24"/>
          <w:szCs w:val="24"/>
        </w:rPr>
        <w:lastRenderedPageBreak/>
        <w:t>disregarded as lawful under the cover of distinctive development plans.</w:t>
      </w:r>
      <w:r w:rsidRPr="009F38E3">
        <w:rPr>
          <w:rFonts w:ascii="Arial" w:hAnsi="Arial" w:cs="Arial"/>
          <w:sz w:val="24"/>
          <w:szCs w:val="24"/>
          <w:vertAlign w:val="superscript"/>
        </w:rPr>
        <w:footnoteReference w:id="122"/>
      </w:r>
      <w:r w:rsidRPr="009F38E3">
        <w:rPr>
          <w:rFonts w:ascii="Arial" w:hAnsi="Arial" w:cs="Arial"/>
          <w:sz w:val="24"/>
          <w:szCs w:val="24"/>
        </w:rPr>
        <w:t xml:space="preserve"> The few provisions that did exist were insufficient to achieve substantive equality, as they primarily implemented racially discriminatory income structures and prohibited union representation for non-white workers. This regulatory structure made it difficult for oppressed groups to present arguments for equitable treatment, and there was little to no acknowledgement of the underlying socioeconomic inequities exacerbated by these practices of discrimination. </w:t>
      </w:r>
    </w:p>
    <w:p w14:paraId="1C63156A" w14:textId="4E91CA6C"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concept of "residual unfair labour practices" remained largely unexplored, with barely any understanding of what defined unconstitutional conduct in the workplace. The </w:t>
      </w:r>
      <w:r w:rsidRPr="009F38E3">
        <w:rPr>
          <w:rFonts w:ascii="Arial" w:hAnsi="Arial" w:cs="Arial"/>
          <w:i/>
          <w:iCs/>
          <w:sz w:val="24"/>
          <w:szCs w:val="24"/>
        </w:rPr>
        <w:t>Labour Relations Act</w:t>
      </w:r>
      <w:r w:rsidRPr="009F38E3">
        <w:rPr>
          <w:rFonts w:ascii="Arial" w:hAnsi="Arial" w:cs="Arial"/>
          <w:sz w:val="24"/>
          <w:szCs w:val="24"/>
        </w:rPr>
        <w:t xml:space="preserve"> included transformational elements to address unfair labour practices and discrimination in South African workplaces. Section 186</w:t>
      </w:r>
      <w:r w:rsidR="001677CA" w:rsidRPr="009F38E3">
        <w:rPr>
          <w:rFonts w:ascii="Arial" w:hAnsi="Arial" w:cs="Arial"/>
          <w:sz w:val="24"/>
          <w:szCs w:val="24"/>
        </w:rPr>
        <w:t>(2)</w:t>
      </w:r>
      <w:r w:rsidRPr="009F38E3">
        <w:rPr>
          <w:rFonts w:ascii="Arial" w:hAnsi="Arial" w:cs="Arial"/>
          <w:sz w:val="24"/>
          <w:szCs w:val="24"/>
        </w:rPr>
        <w:t xml:space="preserve"> of the </w:t>
      </w:r>
      <w:r w:rsidRPr="009F38E3">
        <w:rPr>
          <w:rFonts w:ascii="Arial" w:hAnsi="Arial" w:cs="Arial"/>
          <w:i/>
          <w:iCs/>
          <w:sz w:val="24"/>
          <w:szCs w:val="24"/>
        </w:rPr>
        <w:t xml:space="preserve">LRA </w:t>
      </w:r>
      <w:r w:rsidRPr="009F38E3">
        <w:rPr>
          <w:rFonts w:ascii="Arial" w:hAnsi="Arial" w:cs="Arial"/>
          <w:sz w:val="24"/>
          <w:szCs w:val="24"/>
        </w:rPr>
        <w:t xml:space="preserve">defines "unfair labour practices" as residual acts of unfair treatment, such as an employer's unjust conduct regarding promotion, demotion, training, and benefit distribution. The legislation proved to be a significant breakthrough because it allowed employees to dispute company practices that, while not expressly discriminatory, could result in unfair outcomes and perpetuate past disadvantages. While the </w:t>
      </w:r>
      <w:r w:rsidRPr="009F38E3">
        <w:rPr>
          <w:rFonts w:ascii="Arial" w:hAnsi="Arial" w:cs="Arial"/>
          <w:i/>
          <w:iCs/>
          <w:sz w:val="24"/>
          <w:szCs w:val="24"/>
        </w:rPr>
        <w:t>LRA</w:t>
      </w:r>
      <w:r w:rsidRPr="009F38E3">
        <w:rPr>
          <w:rFonts w:ascii="Arial" w:hAnsi="Arial" w:cs="Arial"/>
          <w:sz w:val="24"/>
          <w:szCs w:val="24"/>
        </w:rPr>
        <w:t xml:space="preserve"> at first provided a framework for identifying and addressing unfair labour practices, it did not go into depth about unjust discrimination, which was addressed more fully subsequently by the </w:t>
      </w:r>
      <w:r w:rsidRPr="009F38E3">
        <w:rPr>
          <w:rFonts w:ascii="Arial" w:hAnsi="Arial" w:cs="Arial"/>
          <w:i/>
          <w:iCs/>
          <w:sz w:val="24"/>
          <w:szCs w:val="24"/>
        </w:rPr>
        <w:t>Employment Equity Act.</w:t>
      </w:r>
      <w:r w:rsidRPr="009F38E3">
        <w:rPr>
          <w:rFonts w:ascii="Arial" w:hAnsi="Arial" w:cs="Arial"/>
          <w:sz w:val="24"/>
          <w:szCs w:val="24"/>
        </w:rPr>
        <w:t xml:space="preserve"> The </w:t>
      </w:r>
      <w:r w:rsidRPr="009F38E3">
        <w:rPr>
          <w:rFonts w:ascii="Arial" w:hAnsi="Arial" w:cs="Arial"/>
          <w:i/>
          <w:iCs/>
          <w:sz w:val="24"/>
          <w:szCs w:val="24"/>
        </w:rPr>
        <w:t>LRA</w:t>
      </w:r>
      <w:r w:rsidRPr="009F38E3">
        <w:rPr>
          <w:rFonts w:ascii="Arial" w:hAnsi="Arial" w:cs="Arial"/>
          <w:sz w:val="24"/>
          <w:szCs w:val="24"/>
        </w:rPr>
        <w:t xml:space="preserve"> did, however, prohibit direct forms of discrimination in some instances, such as dismissal on grounds that constituted an unfair labour practice, introducing early safeguards against arbitrary or biased treatment.</w:t>
      </w:r>
      <w:r w:rsidRPr="009F38E3">
        <w:rPr>
          <w:rFonts w:ascii="Arial" w:hAnsi="Arial" w:cs="Arial"/>
          <w:sz w:val="24"/>
          <w:szCs w:val="24"/>
          <w:vertAlign w:val="superscript"/>
        </w:rPr>
        <w:footnoteReference w:id="123"/>
      </w:r>
      <w:r w:rsidRPr="009F38E3">
        <w:rPr>
          <w:rFonts w:ascii="Arial" w:hAnsi="Arial" w:cs="Arial"/>
          <w:sz w:val="24"/>
          <w:szCs w:val="24"/>
        </w:rPr>
        <w:t xml:space="preserve"> </w:t>
      </w:r>
    </w:p>
    <w:p w14:paraId="203936FC" w14:textId="306A23A4"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LRA</w:t>
      </w:r>
      <w:r w:rsidRPr="009F38E3">
        <w:rPr>
          <w:rFonts w:ascii="Arial" w:hAnsi="Arial" w:cs="Arial"/>
          <w:sz w:val="24"/>
          <w:szCs w:val="24"/>
        </w:rPr>
        <w:t xml:space="preserve"> continues to serve an important role in regulating residual unfair labour practices. Section 186(2) </w:t>
      </w:r>
      <w:r w:rsidR="001677CA" w:rsidRPr="009F38E3">
        <w:rPr>
          <w:rFonts w:ascii="Arial" w:hAnsi="Arial" w:cs="Arial"/>
          <w:sz w:val="24"/>
          <w:szCs w:val="24"/>
        </w:rPr>
        <w:t xml:space="preserve">generally </w:t>
      </w:r>
      <w:r w:rsidRPr="009F38E3">
        <w:rPr>
          <w:rFonts w:ascii="Arial" w:hAnsi="Arial" w:cs="Arial"/>
          <w:sz w:val="24"/>
          <w:szCs w:val="24"/>
        </w:rPr>
        <w:t xml:space="preserve">defines unfair labour practices, including unfair conduct relating to promotion, demotion, probation, and disciplinary penalties other than dismissal. The </w:t>
      </w:r>
      <w:r w:rsidRPr="009F38E3">
        <w:rPr>
          <w:rFonts w:ascii="Arial" w:hAnsi="Arial" w:cs="Arial"/>
          <w:i/>
          <w:iCs/>
          <w:sz w:val="24"/>
          <w:szCs w:val="24"/>
        </w:rPr>
        <w:t>LRA</w:t>
      </w:r>
      <w:r w:rsidRPr="009F38E3">
        <w:rPr>
          <w:rFonts w:ascii="Arial" w:hAnsi="Arial" w:cs="Arial"/>
          <w:sz w:val="24"/>
          <w:szCs w:val="24"/>
        </w:rPr>
        <w:t xml:space="preserve"> gives employees a way to dispute behaviours that may not meet standard criteria of discrimination but nevertheless yield inequitable consequences. The </w:t>
      </w:r>
      <w:r w:rsidRPr="009F38E3">
        <w:rPr>
          <w:rFonts w:ascii="Arial" w:hAnsi="Arial" w:cs="Arial"/>
          <w:i/>
          <w:iCs/>
          <w:sz w:val="24"/>
          <w:szCs w:val="24"/>
        </w:rPr>
        <w:t>LRA</w:t>
      </w:r>
      <w:r w:rsidRPr="009F38E3">
        <w:rPr>
          <w:rFonts w:ascii="Arial" w:hAnsi="Arial" w:cs="Arial"/>
          <w:sz w:val="24"/>
          <w:szCs w:val="24"/>
        </w:rPr>
        <w:t xml:space="preserve"> complements the </w:t>
      </w:r>
      <w:r w:rsidRPr="009F38E3">
        <w:rPr>
          <w:rFonts w:ascii="Arial" w:hAnsi="Arial" w:cs="Arial"/>
          <w:i/>
          <w:iCs/>
          <w:sz w:val="24"/>
          <w:szCs w:val="24"/>
        </w:rPr>
        <w:t xml:space="preserve">EEA </w:t>
      </w:r>
      <w:r w:rsidRPr="009F38E3">
        <w:rPr>
          <w:rFonts w:ascii="Arial" w:hAnsi="Arial" w:cs="Arial"/>
          <w:sz w:val="24"/>
          <w:szCs w:val="24"/>
        </w:rPr>
        <w:t xml:space="preserve">by promoting fairness and equality in labour relations. Before the </w:t>
      </w:r>
      <w:r w:rsidRPr="009F38E3">
        <w:rPr>
          <w:rFonts w:ascii="Arial" w:hAnsi="Arial" w:cs="Arial"/>
          <w:i/>
          <w:iCs/>
          <w:sz w:val="24"/>
          <w:szCs w:val="24"/>
        </w:rPr>
        <w:t>Labour Relations Act</w:t>
      </w:r>
      <w:r w:rsidRPr="009F38E3">
        <w:rPr>
          <w:rFonts w:ascii="Arial" w:hAnsi="Arial" w:cs="Arial"/>
          <w:sz w:val="24"/>
          <w:szCs w:val="24"/>
        </w:rPr>
        <w:t xml:space="preserve">, employees had no legal protection against unjust discrimination in hiring or treatment at work </w:t>
      </w:r>
      <w:proofErr w:type="gramStart"/>
      <w:r w:rsidRPr="009F38E3">
        <w:rPr>
          <w:rFonts w:ascii="Arial" w:hAnsi="Arial" w:cs="Arial"/>
          <w:sz w:val="24"/>
          <w:szCs w:val="24"/>
        </w:rPr>
        <w:t>on the basis of</w:t>
      </w:r>
      <w:proofErr w:type="gramEnd"/>
      <w:r w:rsidRPr="009F38E3">
        <w:rPr>
          <w:rFonts w:ascii="Arial" w:hAnsi="Arial" w:cs="Arial"/>
          <w:sz w:val="24"/>
          <w:szCs w:val="24"/>
        </w:rPr>
        <w:t xml:space="preserve"> gender or race. There were no laws that prevented employers from disqualifying applicants on </w:t>
      </w:r>
      <w:r w:rsidRPr="009F38E3">
        <w:rPr>
          <w:rFonts w:ascii="Arial" w:hAnsi="Arial" w:cs="Arial"/>
          <w:sz w:val="24"/>
          <w:szCs w:val="24"/>
        </w:rPr>
        <w:lastRenderedPageBreak/>
        <w:t xml:space="preserve">the grounds of gender, race, or trade union membership prior to the </w:t>
      </w:r>
      <w:r w:rsidRPr="009F38E3">
        <w:rPr>
          <w:rFonts w:ascii="Arial" w:hAnsi="Arial" w:cs="Arial"/>
          <w:i/>
          <w:iCs/>
          <w:sz w:val="24"/>
          <w:szCs w:val="24"/>
        </w:rPr>
        <w:t>LRA</w:t>
      </w:r>
      <w:r w:rsidRPr="009F38E3">
        <w:rPr>
          <w:rFonts w:ascii="Arial" w:hAnsi="Arial" w:cs="Arial"/>
          <w:sz w:val="24"/>
          <w:szCs w:val="24"/>
        </w:rPr>
        <w:t>'s enactment. Despite potentially experiencing unfair discrimination, a job candidate lacked the legal authority to file a claim against their employer. Employees themselves were not doing any better when considering the history of prejudice in South Africa in that discrimination in the workplace was expressly allowed by some legislative measures.</w:t>
      </w:r>
      <w:r w:rsidRPr="009F38E3">
        <w:rPr>
          <w:rFonts w:ascii="Arial" w:hAnsi="Arial" w:cs="Arial"/>
          <w:sz w:val="24"/>
          <w:szCs w:val="24"/>
          <w:vertAlign w:val="superscript"/>
        </w:rPr>
        <w:footnoteReference w:id="124"/>
      </w:r>
    </w:p>
    <w:p w14:paraId="4DFF3338"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LRA</w:t>
      </w:r>
      <w:r w:rsidRPr="009F38E3">
        <w:rPr>
          <w:rFonts w:ascii="Arial" w:hAnsi="Arial" w:cs="Arial"/>
          <w:sz w:val="24"/>
          <w:szCs w:val="24"/>
        </w:rPr>
        <w:t xml:space="preserve">'s dedication to advancing workplace justice and equity through collective bargaining is one of its most important features.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implement affirmative action policies that support the larger objectives of workplace equality, the </w:t>
      </w:r>
      <w:r w:rsidRPr="009F38E3">
        <w:rPr>
          <w:rFonts w:ascii="Arial" w:hAnsi="Arial" w:cs="Arial"/>
          <w:i/>
          <w:iCs/>
          <w:sz w:val="24"/>
          <w:szCs w:val="24"/>
        </w:rPr>
        <w:t xml:space="preserve">LRA </w:t>
      </w:r>
      <w:r w:rsidRPr="009F38E3">
        <w:rPr>
          <w:rFonts w:ascii="Arial" w:hAnsi="Arial" w:cs="Arial"/>
          <w:sz w:val="24"/>
          <w:szCs w:val="24"/>
        </w:rPr>
        <w:t xml:space="preserve">requires employers and trade unions to negotiate. In addition, the </w:t>
      </w:r>
      <w:r w:rsidRPr="009F38E3">
        <w:rPr>
          <w:rFonts w:ascii="Arial" w:hAnsi="Arial" w:cs="Arial"/>
          <w:i/>
          <w:iCs/>
          <w:sz w:val="24"/>
          <w:szCs w:val="24"/>
        </w:rPr>
        <w:t>LRA</w:t>
      </w:r>
      <w:r w:rsidRPr="009F38E3">
        <w:rPr>
          <w:rFonts w:ascii="Arial" w:hAnsi="Arial" w:cs="Arial"/>
          <w:sz w:val="24"/>
          <w:szCs w:val="24"/>
        </w:rPr>
        <w:t xml:space="preserve"> gives the Commission for Conciliation, Mediation, and Arbitration (hereinafter referred to as the CCMA) the authority to settle cases involving unjust discrimination, guaranteeing that affirmative action policies are applied fairly and equally.</w:t>
      </w:r>
    </w:p>
    <w:p w14:paraId="525CC4BB"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Therefore, significant improvements were brought about by the</w:t>
      </w:r>
      <w:r w:rsidRPr="009F38E3">
        <w:rPr>
          <w:rFonts w:ascii="Arial" w:hAnsi="Arial" w:cs="Arial"/>
          <w:i/>
          <w:iCs/>
          <w:sz w:val="24"/>
          <w:szCs w:val="24"/>
        </w:rPr>
        <w:t xml:space="preserve"> LRA</w:t>
      </w:r>
      <w:r w:rsidRPr="009F38E3">
        <w:rPr>
          <w:rFonts w:ascii="Arial" w:hAnsi="Arial" w:cs="Arial"/>
          <w:sz w:val="24"/>
          <w:szCs w:val="24"/>
        </w:rPr>
        <w:t xml:space="preserve">, which supported the ideas of social justice, worker democracy, and peace. It is noteworthy because it expressly acknowledges affirmative action as a legitimate form of discrimination meant to address the structural inequities brought about by apartheid. It was thus necessary to revise the </w:t>
      </w:r>
      <w:r w:rsidRPr="009F38E3">
        <w:rPr>
          <w:rFonts w:ascii="Arial" w:hAnsi="Arial" w:cs="Arial"/>
          <w:i/>
          <w:iCs/>
          <w:sz w:val="24"/>
          <w:szCs w:val="24"/>
        </w:rPr>
        <w:t>Labour Relations Act</w:t>
      </w:r>
      <w:r w:rsidRPr="009F38E3">
        <w:rPr>
          <w:rFonts w:ascii="Arial" w:hAnsi="Arial" w:cs="Arial"/>
          <w:sz w:val="24"/>
          <w:szCs w:val="24"/>
        </w:rPr>
        <w:t xml:space="preserve"> to conform to the interim </w:t>
      </w:r>
      <w:r w:rsidRPr="009F38E3">
        <w:rPr>
          <w:rFonts w:ascii="Arial" w:hAnsi="Arial" w:cs="Arial"/>
          <w:i/>
          <w:iCs/>
          <w:sz w:val="24"/>
          <w:szCs w:val="24"/>
        </w:rPr>
        <w:t>Constitution</w:t>
      </w:r>
      <w:r w:rsidRPr="009F38E3">
        <w:rPr>
          <w:rFonts w:ascii="Arial" w:hAnsi="Arial" w:cs="Arial"/>
          <w:sz w:val="24"/>
          <w:szCs w:val="24"/>
        </w:rPr>
        <w:t xml:space="preserve"> when it went into effect. The revised </w:t>
      </w:r>
      <w:r w:rsidRPr="009F38E3">
        <w:rPr>
          <w:rFonts w:ascii="Arial" w:hAnsi="Arial" w:cs="Arial"/>
          <w:i/>
          <w:iCs/>
          <w:sz w:val="24"/>
          <w:szCs w:val="24"/>
        </w:rPr>
        <w:t>LRA</w:t>
      </w:r>
      <w:r w:rsidRPr="009F38E3">
        <w:rPr>
          <w:rFonts w:ascii="Arial" w:hAnsi="Arial" w:cs="Arial"/>
          <w:sz w:val="24"/>
          <w:szCs w:val="24"/>
          <w:vertAlign w:val="superscript"/>
        </w:rPr>
        <w:footnoteReference w:id="125"/>
      </w:r>
      <w:r w:rsidRPr="009F38E3">
        <w:rPr>
          <w:rFonts w:ascii="Arial" w:hAnsi="Arial" w:cs="Arial"/>
          <w:sz w:val="24"/>
          <w:szCs w:val="24"/>
        </w:rPr>
        <w:t xml:space="preserve"> disentangled unfair dismissals from the definition of unfair labour practices</w:t>
      </w:r>
      <w:r w:rsidRPr="009F38E3">
        <w:rPr>
          <w:rFonts w:ascii="Arial" w:hAnsi="Arial" w:cs="Arial"/>
          <w:sz w:val="24"/>
          <w:szCs w:val="24"/>
          <w:vertAlign w:val="superscript"/>
        </w:rPr>
        <w:footnoteReference w:id="126"/>
      </w:r>
      <w:r w:rsidRPr="009F38E3">
        <w:rPr>
          <w:rFonts w:ascii="Arial" w:hAnsi="Arial" w:cs="Arial"/>
          <w:sz w:val="24"/>
          <w:szCs w:val="24"/>
        </w:rPr>
        <w:t xml:space="preserve"> and formalized the body of case law on unfair labour practices established by the Industrial Court. The </w:t>
      </w:r>
      <w:r w:rsidRPr="009F38E3">
        <w:rPr>
          <w:rFonts w:ascii="Arial" w:hAnsi="Arial" w:cs="Arial"/>
          <w:i/>
          <w:iCs/>
          <w:sz w:val="24"/>
          <w:szCs w:val="24"/>
        </w:rPr>
        <w:t>LRA</w:t>
      </w:r>
      <w:r w:rsidRPr="009F38E3">
        <w:rPr>
          <w:rFonts w:ascii="Arial" w:hAnsi="Arial" w:cs="Arial"/>
          <w:sz w:val="24"/>
          <w:szCs w:val="24"/>
        </w:rPr>
        <w:t xml:space="preserve"> also defined residual unfair labour practices,</w:t>
      </w:r>
      <w:r w:rsidRPr="009F38E3">
        <w:rPr>
          <w:rFonts w:ascii="Arial" w:hAnsi="Arial" w:cs="Arial"/>
          <w:sz w:val="24"/>
          <w:szCs w:val="24"/>
          <w:vertAlign w:val="superscript"/>
        </w:rPr>
        <w:footnoteReference w:id="127"/>
      </w:r>
      <w:r w:rsidRPr="009F38E3">
        <w:rPr>
          <w:rFonts w:ascii="Arial" w:hAnsi="Arial" w:cs="Arial"/>
          <w:sz w:val="24"/>
          <w:szCs w:val="24"/>
        </w:rPr>
        <w:t xml:space="preserve"> which allowed affirmative action, and regulated various forms of unfair discrimination that could take place during employment. Despite the aforementioned changes, an employer was still permitted to implement or put into effect employment policies and practices that, in accordance with Item 2(2)(b) of schedule 7 to the </w:t>
      </w:r>
      <w:r w:rsidRPr="009F38E3">
        <w:rPr>
          <w:rFonts w:ascii="Arial" w:hAnsi="Arial" w:cs="Arial"/>
          <w:i/>
          <w:iCs/>
          <w:sz w:val="24"/>
          <w:szCs w:val="24"/>
        </w:rPr>
        <w:t>Labour Relations Act</w:t>
      </w:r>
      <w:r w:rsidRPr="009F38E3">
        <w:rPr>
          <w:rFonts w:ascii="Arial" w:hAnsi="Arial" w:cs="Arial"/>
          <w:sz w:val="24"/>
          <w:szCs w:val="24"/>
        </w:rPr>
        <w:t>, are intended to provide sufficient safeguards and promotion for individuals, groups, or categories of individuals who suffer disadvantages due to unfair discrimination, thus facilitating the fully and equal enjoyment of all benefits, freedoms and rights.</w:t>
      </w:r>
    </w:p>
    <w:p w14:paraId="71A9966E" w14:textId="36ABE1EA"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lastRenderedPageBreak/>
        <w:t xml:space="preserve">The present </w:t>
      </w:r>
      <w:r w:rsidRPr="009F38E3">
        <w:rPr>
          <w:rFonts w:ascii="Arial" w:hAnsi="Arial" w:cs="Arial"/>
          <w:i/>
          <w:iCs/>
          <w:sz w:val="24"/>
          <w:szCs w:val="24"/>
        </w:rPr>
        <w:t>LRA</w:t>
      </w:r>
      <w:r w:rsidRPr="009F38E3">
        <w:rPr>
          <w:rFonts w:ascii="Arial" w:hAnsi="Arial" w:cs="Arial"/>
          <w:sz w:val="24"/>
          <w:szCs w:val="24"/>
        </w:rPr>
        <w:t xml:space="preserve"> framework has been strengthened by Constitutional Court rulings that highlight substantive equality as a guiding principle in labour relations. In </w:t>
      </w:r>
      <w:r w:rsidRPr="009F38E3">
        <w:rPr>
          <w:rFonts w:ascii="Arial" w:hAnsi="Arial" w:cs="Arial"/>
          <w:i/>
          <w:iCs/>
          <w:sz w:val="24"/>
          <w:szCs w:val="24"/>
        </w:rPr>
        <w:t>NEHAWU v University of Cape Town</w:t>
      </w:r>
      <w:r w:rsidRPr="009F38E3">
        <w:rPr>
          <w:rFonts w:ascii="Arial" w:hAnsi="Arial" w:cs="Arial"/>
          <w:sz w:val="24"/>
          <w:szCs w:val="24"/>
        </w:rPr>
        <w:t>,</w:t>
      </w:r>
      <w:r w:rsidRPr="009F38E3">
        <w:rPr>
          <w:rFonts w:ascii="Arial" w:hAnsi="Arial" w:cs="Arial"/>
          <w:sz w:val="24"/>
          <w:szCs w:val="24"/>
          <w:vertAlign w:val="superscript"/>
        </w:rPr>
        <w:footnoteReference w:id="128"/>
      </w:r>
      <w:r w:rsidRPr="009F38E3">
        <w:rPr>
          <w:rFonts w:ascii="Arial" w:hAnsi="Arial" w:cs="Arial"/>
          <w:sz w:val="24"/>
          <w:szCs w:val="24"/>
        </w:rPr>
        <w:t xml:space="preserve"> the court emphasized the importance of fair labour practices as constitutionally protected rights, in line with section 23 of the </w:t>
      </w:r>
      <w:r w:rsidRPr="009F38E3">
        <w:rPr>
          <w:rFonts w:ascii="Arial" w:hAnsi="Arial" w:cs="Arial"/>
          <w:i/>
          <w:iCs/>
          <w:sz w:val="24"/>
          <w:szCs w:val="24"/>
        </w:rPr>
        <w:t>Constitution,</w:t>
      </w:r>
      <w:r w:rsidRPr="009F38E3">
        <w:rPr>
          <w:rFonts w:ascii="Arial" w:hAnsi="Arial" w:cs="Arial"/>
          <w:sz w:val="24"/>
          <w:szCs w:val="24"/>
        </w:rPr>
        <w:t xml:space="preserve"> which provides every worker the right to fair labour practices. This connection demonstrates how the </w:t>
      </w:r>
      <w:r w:rsidRPr="009F38E3">
        <w:rPr>
          <w:rFonts w:ascii="Arial" w:hAnsi="Arial" w:cs="Arial"/>
          <w:i/>
          <w:iCs/>
          <w:sz w:val="24"/>
          <w:szCs w:val="24"/>
        </w:rPr>
        <w:t>LRA</w:t>
      </w:r>
      <w:r w:rsidRPr="009F38E3">
        <w:rPr>
          <w:rFonts w:ascii="Arial" w:hAnsi="Arial" w:cs="Arial"/>
          <w:sz w:val="24"/>
          <w:szCs w:val="24"/>
        </w:rPr>
        <w:t xml:space="preserve">'s prohibitions on unfair labour practices contribute to a larger constitutional commitment to equality and justice in the workplace. </w:t>
      </w:r>
    </w:p>
    <w:p w14:paraId="11FCEC4E" w14:textId="77777777" w:rsidR="00664603" w:rsidRPr="009F38E3" w:rsidRDefault="00664603" w:rsidP="002F1691">
      <w:pPr>
        <w:pStyle w:val="Heading2"/>
        <w:ind w:left="360"/>
      </w:pPr>
      <w:bookmarkStart w:id="98" w:name="_Toc189739292"/>
      <w:r w:rsidRPr="009F38E3">
        <w:t>2.3.6 The Labour Market Commission</w:t>
      </w:r>
      <w:bookmarkEnd w:id="98"/>
    </w:p>
    <w:p w14:paraId="2F022702"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 Labour Market Commission, founded in 1995 under President Nelson Mandela's government, was critical in resolving the severe inequities that existed in South Africa's labour market. The Commission's 1996 report, Restructuring the South African Labour Market: Report of the Presidential Commission to Investigate Labour Market Policy, was a significant condemnation of apartheid workplace, fighting for an employment system whose structure was broader, fairer and more advantageous with regards to economic and social transformation. The Commission's recommendations on unfair discrimination and affirmative action, exposes how the findings of the report cleared the path for South Africa's progressive labour and affirmative action regulations in the post-apartheid period.</w:t>
      </w:r>
    </w:p>
    <w:p w14:paraId="009F33D3" w14:textId="0587DD20"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country's apartheid heritage has consistently denied Black, Coloured, and Indian South Africans equal access to employment opportunities, adequate working conditions, and fair earnings, necessitating a thorough study </w:t>
      </w:r>
      <w:r w:rsidR="001677CA" w:rsidRPr="009F38E3">
        <w:rPr>
          <w:rFonts w:ascii="Arial" w:hAnsi="Arial" w:cs="Arial"/>
          <w:sz w:val="24"/>
          <w:szCs w:val="24"/>
        </w:rPr>
        <w:t>of</w:t>
      </w:r>
      <w:r w:rsidRPr="009F38E3">
        <w:rPr>
          <w:rFonts w:ascii="Arial" w:hAnsi="Arial" w:cs="Arial"/>
          <w:sz w:val="24"/>
          <w:szCs w:val="24"/>
        </w:rPr>
        <w:t xml:space="preserve"> South Africa's labour market. The labour market at the time of the Commission's conception had been defined by significant unemployment, economic inequality, and constrained opportunities for advancement for historically disadvantaged populations. Acknowledging the essential role of economic inclusion in attaining equal opportunity and achieving sustainable growth, the Labour Market Commission was charged with examining these difficulties and providing a framework for a more equitable labour market which fosters fairness and inclusivity.</w:t>
      </w:r>
    </w:p>
    <w:p w14:paraId="7693CCB0" w14:textId="3DEB4001"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lastRenderedPageBreak/>
        <w:t>The Labour Market Commission's report</w:t>
      </w:r>
      <w:r w:rsidRPr="009F38E3">
        <w:rPr>
          <w:rFonts w:ascii="Arial" w:hAnsi="Arial" w:cs="Arial"/>
          <w:sz w:val="24"/>
          <w:szCs w:val="24"/>
          <w:vertAlign w:val="superscript"/>
        </w:rPr>
        <w:footnoteReference w:id="129"/>
      </w:r>
      <w:r w:rsidRPr="009F38E3">
        <w:rPr>
          <w:rFonts w:ascii="Arial" w:hAnsi="Arial" w:cs="Arial"/>
          <w:sz w:val="24"/>
          <w:szCs w:val="24"/>
        </w:rPr>
        <w:t xml:space="preserve"> emphasized the need to eliminate all types of employment discrimination. It highlighted racial discrimination as the most prevalent and devastating type of inequality, pointing out that apartheid-era regulations had established a racially divided system in which Black South Africans were consigned to the lowest-paying positions and denied opportunities for progress. Gender discrimination was also emphasized as a serious concern, since women, especially Black women, faced fewer options in the labour market, lower pay, and high levels of employment insecurity. In promoting anti-discrimination laws, the Commission underlined the importance of making these regulations enforceable and accessible to all workers, particularly those with low incomes and vulnerable positions. It suggested the formation of specialized organizations or processes to monitor compliance and examine discrimination complaints, which were essential for fostering a climate of accountability and justice in the workplace. </w:t>
      </w:r>
      <w:r w:rsidRPr="009F38E3">
        <w:rPr>
          <w:rFonts w:ascii="Arial" w:hAnsi="Arial" w:cs="Arial"/>
          <w:sz w:val="24"/>
          <w:szCs w:val="24"/>
          <w:vertAlign w:val="superscript"/>
        </w:rPr>
        <w:footnoteReference w:id="130"/>
      </w:r>
    </w:p>
    <w:p w14:paraId="1F206E22" w14:textId="1262B1E3"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The Labour Market Commission</w:t>
      </w:r>
      <w:r w:rsidRPr="009F38E3">
        <w:rPr>
          <w:rFonts w:ascii="Arial" w:hAnsi="Arial" w:cs="Arial"/>
          <w:sz w:val="24"/>
          <w:szCs w:val="24"/>
          <w:vertAlign w:val="superscript"/>
        </w:rPr>
        <w:footnoteReference w:id="131"/>
      </w:r>
      <w:r w:rsidRPr="009F38E3">
        <w:rPr>
          <w:rFonts w:ascii="Arial" w:hAnsi="Arial" w:cs="Arial"/>
          <w:sz w:val="24"/>
          <w:szCs w:val="24"/>
        </w:rPr>
        <w:t xml:space="preserve"> looked at the creation of a national labour market policy in 1995 concurrently with the discussion of the </w:t>
      </w:r>
      <w:r w:rsidRPr="009F38E3">
        <w:rPr>
          <w:rFonts w:ascii="Arial" w:hAnsi="Arial" w:cs="Arial"/>
          <w:i/>
          <w:iCs/>
          <w:sz w:val="24"/>
          <w:szCs w:val="24"/>
        </w:rPr>
        <w:t>Labour Relations Act</w:t>
      </w:r>
      <w:r w:rsidRPr="009F38E3">
        <w:rPr>
          <w:rFonts w:ascii="Arial" w:hAnsi="Arial" w:cs="Arial"/>
          <w:sz w:val="24"/>
          <w:szCs w:val="24"/>
        </w:rPr>
        <w:t xml:space="preserve"> revisions. It </w:t>
      </w:r>
      <w:proofErr w:type="gramStart"/>
      <w:r w:rsidRPr="009F38E3">
        <w:rPr>
          <w:rFonts w:ascii="Arial" w:hAnsi="Arial" w:cs="Arial"/>
          <w:sz w:val="24"/>
          <w:szCs w:val="24"/>
        </w:rPr>
        <w:t>looked into</w:t>
      </w:r>
      <w:proofErr w:type="gramEnd"/>
      <w:r w:rsidRPr="009F38E3">
        <w:rPr>
          <w:rFonts w:ascii="Arial" w:hAnsi="Arial" w:cs="Arial"/>
          <w:sz w:val="24"/>
          <w:szCs w:val="24"/>
        </w:rPr>
        <w:t xml:space="preserve"> ways to address labour market discrimination and establish a structure for employment affirmative action policies. The Labour Market Commission's suggestions on affirmative action were crucial to its vision of a fair labour market. The Commission's policy regarding affirmative action was influenced by the realization that formal equality alone would not be sufficient to achieve significant transformation; instead, affirmative action was thus perceived as a necessary means of ensuring that historically disadvantaged groups could overcome structural barriers and achieve equal representation in all levels of employment.</w:t>
      </w:r>
      <w:r w:rsidRPr="009F38E3">
        <w:rPr>
          <w:rFonts w:ascii="Arial" w:hAnsi="Arial" w:cs="Arial"/>
          <w:sz w:val="24"/>
          <w:szCs w:val="24"/>
          <w:vertAlign w:val="superscript"/>
        </w:rPr>
        <w:footnoteReference w:id="132"/>
      </w:r>
      <w:r w:rsidRPr="009F38E3">
        <w:rPr>
          <w:rFonts w:ascii="Arial" w:hAnsi="Arial" w:cs="Arial"/>
          <w:sz w:val="24"/>
          <w:szCs w:val="24"/>
        </w:rPr>
        <w:t xml:space="preserve"> It proposed that affirmative action programs be applied in both the public and private sectors, with a focus on areas where disparities were most significant.</w:t>
      </w:r>
    </w:p>
    <w:p w14:paraId="3A2DC679"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To assist the creation of these regulations, the Commission proposed setting targets for disadvantaged group representation, recognizing that numerical goals may help monitor progress and hold businesses accountable for genuine inclusion. However, it advised against inflexible quotas, alternatively pushing for a flexible approach that </w:t>
      </w:r>
      <w:proofErr w:type="gramStart"/>
      <w:r w:rsidRPr="009F38E3">
        <w:rPr>
          <w:rFonts w:ascii="Arial" w:hAnsi="Arial" w:cs="Arial"/>
          <w:sz w:val="24"/>
          <w:szCs w:val="24"/>
        </w:rPr>
        <w:t>took into account</w:t>
      </w:r>
      <w:proofErr w:type="gramEnd"/>
      <w:r w:rsidRPr="009F38E3">
        <w:rPr>
          <w:rFonts w:ascii="Arial" w:hAnsi="Arial" w:cs="Arial"/>
          <w:sz w:val="24"/>
          <w:szCs w:val="24"/>
        </w:rPr>
        <w:t xml:space="preserve"> the specific needs and environment of each industry. By encouraging a </w:t>
      </w:r>
      <w:r w:rsidRPr="009F38E3">
        <w:rPr>
          <w:rFonts w:ascii="Arial" w:hAnsi="Arial" w:cs="Arial"/>
          <w:sz w:val="24"/>
          <w:szCs w:val="24"/>
        </w:rPr>
        <w:lastRenderedPageBreak/>
        <w:t>fair implementation of affirmative action, the Commission hoped to reduce resistance to these policies and persuade companies to accept them as part of a larger commitment to social and economic development.</w:t>
      </w:r>
      <w:r w:rsidRPr="009F38E3">
        <w:rPr>
          <w:rFonts w:ascii="Arial" w:hAnsi="Arial" w:cs="Arial"/>
          <w:sz w:val="24"/>
          <w:szCs w:val="24"/>
          <w:vertAlign w:val="superscript"/>
        </w:rPr>
        <w:footnoteReference w:id="133"/>
      </w:r>
    </w:p>
    <w:p w14:paraId="0923EBAC" w14:textId="4542B9FB"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To help with the implementation of anti-discrimination and affirmative action policies, the Commission advocated the establishment of organizations focused on evaluating, implementation, and consultation. It proposed the creation of a regulatory body with jurisdiction to monitor compliance with labour market rules and to advise firms on establishing and implementing affirmative action programs.</w:t>
      </w:r>
      <w:r w:rsidRPr="009F38E3">
        <w:rPr>
          <w:rFonts w:ascii="Arial" w:hAnsi="Arial" w:cs="Arial"/>
          <w:sz w:val="24"/>
          <w:szCs w:val="24"/>
          <w:vertAlign w:val="superscript"/>
        </w:rPr>
        <w:footnoteReference w:id="134"/>
      </w:r>
      <w:r w:rsidRPr="009F38E3">
        <w:rPr>
          <w:rFonts w:ascii="Arial" w:hAnsi="Arial" w:cs="Arial"/>
          <w:sz w:val="24"/>
          <w:szCs w:val="24"/>
        </w:rPr>
        <w:t xml:space="preserve"> This entity, it claimed, should work closely with trade unions, employer groups, and civil society to construct a collaborative approach to labour market restructuring.</w:t>
      </w:r>
      <w:r w:rsidRPr="009F38E3">
        <w:rPr>
          <w:rFonts w:ascii="Arial" w:hAnsi="Arial" w:cs="Arial"/>
          <w:sz w:val="24"/>
          <w:szCs w:val="24"/>
          <w:vertAlign w:val="superscript"/>
        </w:rPr>
        <w:footnoteReference w:id="135"/>
      </w:r>
      <w:r w:rsidRPr="009F38E3">
        <w:rPr>
          <w:rFonts w:ascii="Arial" w:hAnsi="Arial" w:cs="Arial"/>
          <w:sz w:val="24"/>
          <w:szCs w:val="24"/>
        </w:rPr>
        <w:t xml:space="preserve"> </w:t>
      </w:r>
    </w:p>
    <w:p w14:paraId="4214E58C"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As a result, the Labour Market Commission's 1996 report outlined a comprehensive strategy for reforming South Africa's labour market to prioritize equity and inclusion. Its proposals regarding minimizing unfair discrimination and instituting affirmative action measures helped shape the post-apartheid government's approach to employment policy changes. </w:t>
      </w:r>
    </w:p>
    <w:p w14:paraId="36B71150" w14:textId="77777777" w:rsidR="00664603" w:rsidRPr="009F38E3" w:rsidRDefault="00664603" w:rsidP="002F1691">
      <w:pPr>
        <w:pStyle w:val="Heading2"/>
        <w:ind w:left="360"/>
      </w:pPr>
      <w:bookmarkStart w:id="100" w:name="_Toc189739293"/>
      <w:r w:rsidRPr="009F38E3">
        <w:t>2.3.7 The Broad-Based Black Economic Empowerment Act</w:t>
      </w:r>
      <w:bookmarkEnd w:id="100"/>
    </w:p>
    <w:p w14:paraId="282001A8"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w:t>
      </w:r>
      <w:bookmarkStart w:id="101" w:name="_Hlk183120371"/>
      <w:r w:rsidRPr="009F38E3">
        <w:rPr>
          <w:rFonts w:ascii="Arial" w:hAnsi="Arial" w:cs="Arial"/>
          <w:sz w:val="24"/>
          <w:szCs w:val="24"/>
        </w:rPr>
        <w:t>Department of Trade and Industry (hereinafter referred to as the DTI</w:t>
      </w:r>
      <w:bookmarkEnd w:id="101"/>
      <w:r w:rsidRPr="009F38E3">
        <w:rPr>
          <w:rFonts w:ascii="Arial" w:hAnsi="Arial" w:cs="Arial"/>
          <w:sz w:val="24"/>
          <w:szCs w:val="24"/>
        </w:rPr>
        <w:t xml:space="preserve">) unveiled its draft "broad based black economic empowerment" strategy document in March 2003, introducing the idea of a scorecard for evaluating the advancement of empowerment followed by the signing of the </w:t>
      </w:r>
      <w:r w:rsidRPr="009F38E3">
        <w:rPr>
          <w:rFonts w:ascii="Arial" w:hAnsi="Arial" w:cs="Arial"/>
          <w:i/>
          <w:iCs/>
          <w:sz w:val="24"/>
          <w:szCs w:val="24"/>
        </w:rPr>
        <w:t>Broad-based Black Economic Empowerment Act</w:t>
      </w:r>
      <w:r w:rsidRPr="009F38E3">
        <w:rPr>
          <w:rFonts w:ascii="Arial" w:hAnsi="Arial" w:cs="Arial"/>
          <w:sz w:val="24"/>
          <w:szCs w:val="24"/>
        </w:rPr>
        <w:t xml:space="preserve"> 53 of 2003 on January 7, 2004.</w:t>
      </w:r>
    </w:p>
    <w:p w14:paraId="6EEC4A78" w14:textId="77777777"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Through the implementation of affirmative action measures that promote black people's economic involvement, the </w:t>
      </w:r>
      <w:r w:rsidRPr="009F38E3">
        <w:rPr>
          <w:rFonts w:ascii="Arial" w:hAnsi="Arial" w:cs="Arial"/>
          <w:i/>
          <w:iCs/>
          <w:sz w:val="24"/>
          <w:szCs w:val="24"/>
        </w:rPr>
        <w:t xml:space="preserve">BBBEE </w:t>
      </w:r>
      <w:r w:rsidRPr="009F38E3">
        <w:rPr>
          <w:rFonts w:ascii="Arial" w:hAnsi="Arial" w:cs="Arial"/>
          <w:sz w:val="24"/>
          <w:szCs w:val="24"/>
        </w:rPr>
        <w:t xml:space="preserve">Act seeks to advance black economic empowerment. This includes programs that enable black South Africans the chance to engage in the economy in a meaningful way, like enterprise development, skills development, and preferential procurement. In contrast to the </w:t>
      </w:r>
      <w:r w:rsidRPr="009F38E3">
        <w:rPr>
          <w:rFonts w:ascii="Arial" w:hAnsi="Arial" w:cs="Arial"/>
          <w:i/>
          <w:iCs/>
          <w:sz w:val="24"/>
          <w:szCs w:val="24"/>
        </w:rPr>
        <w:t>EEA</w:t>
      </w:r>
      <w:r w:rsidRPr="009F38E3">
        <w:rPr>
          <w:rFonts w:ascii="Arial" w:hAnsi="Arial" w:cs="Arial"/>
          <w:sz w:val="24"/>
          <w:szCs w:val="24"/>
        </w:rPr>
        <w:t xml:space="preserve">, the </w:t>
      </w:r>
      <w:r w:rsidRPr="009F38E3">
        <w:rPr>
          <w:rFonts w:ascii="Arial" w:hAnsi="Arial" w:cs="Arial"/>
          <w:i/>
          <w:iCs/>
          <w:sz w:val="24"/>
          <w:szCs w:val="24"/>
        </w:rPr>
        <w:t xml:space="preserve">BBBEE </w:t>
      </w:r>
      <w:r w:rsidRPr="009F38E3">
        <w:rPr>
          <w:rFonts w:ascii="Arial" w:hAnsi="Arial" w:cs="Arial"/>
          <w:sz w:val="24"/>
          <w:szCs w:val="24"/>
        </w:rPr>
        <w:t xml:space="preserve">Act concentrates on workplaces that have a wider economic impact. It aims to give black people access to capital, company ownership, and management roles in already-existing organizations. In this way, the </w:t>
      </w:r>
      <w:r w:rsidRPr="009F38E3">
        <w:rPr>
          <w:rFonts w:ascii="Arial" w:hAnsi="Arial" w:cs="Arial"/>
          <w:i/>
          <w:iCs/>
          <w:sz w:val="24"/>
          <w:szCs w:val="24"/>
        </w:rPr>
        <w:t xml:space="preserve">BBBEE </w:t>
      </w:r>
      <w:r w:rsidRPr="009F38E3">
        <w:rPr>
          <w:rFonts w:ascii="Arial" w:hAnsi="Arial" w:cs="Arial"/>
          <w:sz w:val="24"/>
          <w:szCs w:val="24"/>
        </w:rPr>
        <w:t xml:space="preserve">Act addresses the historical exclusion </w:t>
      </w:r>
      <w:r w:rsidRPr="009F38E3">
        <w:rPr>
          <w:rFonts w:ascii="Arial" w:hAnsi="Arial" w:cs="Arial"/>
          <w:sz w:val="24"/>
          <w:szCs w:val="24"/>
        </w:rPr>
        <w:lastRenderedPageBreak/>
        <w:t xml:space="preserve">of black people from the mainstream of the economy, complementing the affirmative action provisions in the </w:t>
      </w:r>
      <w:r w:rsidRPr="009F38E3">
        <w:rPr>
          <w:rFonts w:ascii="Arial" w:hAnsi="Arial" w:cs="Arial"/>
          <w:i/>
          <w:iCs/>
          <w:sz w:val="24"/>
          <w:szCs w:val="24"/>
        </w:rPr>
        <w:t>EEA.</w:t>
      </w:r>
    </w:p>
    <w:p w14:paraId="79F1BF86" w14:textId="39ED6C2B"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three main pillars of </w:t>
      </w:r>
      <w:bookmarkStart w:id="102" w:name="_Hlk183120546"/>
      <w:r w:rsidR="00717506" w:rsidRPr="009F38E3">
        <w:rPr>
          <w:rFonts w:ascii="Arial" w:hAnsi="Arial" w:cs="Arial"/>
          <w:sz w:val="24"/>
          <w:szCs w:val="24"/>
        </w:rPr>
        <w:t>b</w:t>
      </w:r>
      <w:r w:rsidRPr="009F38E3">
        <w:rPr>
          <w:rFonts w:ascii="Arial" w:hAnsi="Arial" w:cs="Arial"/>
          <w:sz w:val="24"/>
          <w:szCs w:val="24"/>
        </w:rPr>
        <w:t xml:space="preserve">lack </w:t>
      </w:r>
      <w:r w:rsidR="00717506" w:rsidRPr="009F38E3">
        <w:rPr>
          <w:rFonts w:ascii="Arial" w:hAnsi="Arial" w:cs="Arial"/>
          <w:sz w:val="24"/>
          <w:szCs w:val="24"/>
        </w:rPr>
        <w:t>e</w:t>
      </w:r>
      <w:r w:rsidRPr="009F38E3">
        <w:rPr>
          <w:rFonts w:ascii="Arial" w:hAnsi="Arial" w:cs="Arial"/>
          <w:sz w:val="24"/>
          <w:szCs w:val="24"/>
        </w:rPr>
        <w:t xml:space="preserve">conomic </w:t>
      </w:r>
      <w:r w:rsidR="00717506" w:rsidRPr="009F38E3">
        <w:rPr>
          <w:rFonts w:ascii="Arial" w:hAnsi="Arial" w:cs="Arial"/>
          <w:sz w:val="24"/>
          <w:szCs w:val="24"/>
        </w:rPr>
        <w:t>e</w:t>
      </w:r>
      <w:r w:rsidRPr="009F38E3">
        <w:rPr>
          <w:rFonts w:ascii="Arial" w:hAnsi="Arial" w:cs="Arial"/>
          <w:sz w:val="24"/>
          <w:szCs w:val="24"/>
        </w:rPr>
        <w:t>mpowerment (hereinafter referred to as the BEE)</w:t>
      </w:r>
      <w:bookmarkEnd w:id="102"/>
      <w:r w:rsidRPr="009F38E3">
        <w:rPr>
          <w:rFonts w:ascii="Arial" w:hAnsi="Arial" w:cs="Arial"/>
          <w:sz w:val="24"/>
          <w:szCs w:val="24"/>
        </w:rPr>
        <w:t xml:space="preserve"> are human resource development, preferential procurement, enterprise development, profit and contract sharing by black businesses, local content requirements, etc., and direct empowerment through ownership and control of businesses and assets.</w:t>
      </w:r>
      <w:r w:rsidRPr="009F38E3">
        <w:rPr>
          <w:rFonts w:ascii="Arial" w:hAnsi="Arial" w:cs="Arial"/>
          <w:sz w:val="24"/>
          <w:szCs w:val="24"/>
          <w:vertAlign w:val="superscript"/>
        </w:rPr>
        <w:footnoteReference w:id="136"/>
      </w:r>
      <w:r w:rsidRPr="009F38E3">
        <w:rPr>
          <w:rFonts w:ascii="Arial" w:hAnsi="Arial" w:cs="Arial"/>
          <w:sz w:val="24"/>
          <w:szCs w:val="24"/>
        </w:rPr>
        <w:t xml:space="preserve"> Through a system of scorecards that measure how well companies have executed empowerment programs, the </w:t>
      </w:r>
      <w:r w:rsidRPr="009F38E3">
        <w:rPr>
          <w:rFonts w:ascii="Arial" w:hAnsi="Arial" w:cs="Arial"/>
          <w:i/>
          <w:iCs/>
          <w:sz w:val="24"/>
          <w:szCs w:val="24"/>
        </w:rPr>
        <w:t>BBBEE Act</w:t>
      </w:r>
      <w:r w:rsidRPr="009F38E3">
        <w:rPr>
          <w:rFonts w:ascii="Arial" w:hAnsi="Arial" w:cs="Arial"/>
          <w:sz w:val="24"/>
          <w:szCs w:val="24"/>
        </w:rPr>
        <w:t xml:space="preserve"> encourages companies to abide by its terms. Businesses </w:t>
      </w:r>
      <w:r w:rsidR="00717506" w:rsidRPr="009F38E3">
        <w:rPr>
          <w:rFonts w:ascii="Arial" w:hAnsi="Arial" w:cs="Arial"/>
          <w:sz w:val="24"/>
          <w:szCs w:val="24"/>
        </w:rPr>
        <w:t>that</w:t>
      </w:r>
      <w:r w:rsidRPr="009F38E3">
        <w:rPr>
          <w:rFonts w:ascii="Arial" w:hAnsi="Arial" w:cs="Arial"/>
          <w:sz w:val="24"/>
          <w:szCs w:val="24"/>
        </w:rPr>
        <w:t xml:space="preserve"> score highly on the BBBEE scorecard have a higher chance of obtaining government contracts and other business opportunities.</w:t>
      </w:r>
    </w:p>
    <w:p w14:paraId="4A4D611A" w14:textId="7413C6DC"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Constitutional Court looked at the relationship between merit-based standards in public service and affirmative action in </w:t>
      </w:r>
      <w:r w:rsidRPr="009F38E3">
        <w:rPr>
          <w:rFonts w:ascii="Arial" w:hAnsi="Arial" w:cs="Arial"/>
          <w:i/>
          <w:iCs/>
          <w:sz w:val="24"/>
          <w:szCs w:val="24"/>
        </w:rPr>
        <w:t>South African Police Service</w:t>
      </w:r>
      <w:r w:rsidR="000E7785">
        <w:rPr>
          <w:rFonts w:ascii="Arial" w:hAnsi="Arial" w:cs="Arial"/>
          <w:i/>
          <w:iCs/>
          <w:sz w:val="24"/>
          <w:szCs w:val="24"/>
        </w:rPr>
        <w:t xml:space="preserve"> </w:t>
      </w:r>
      <w:r w:rsidR="00717506" w:rsidRPr="009F38E3">
        <w:rPr>
          <w:rFonts w:ascii="Arial" w:hAnsi="Arial" w:cs="Arial"/>
          <w:i/>
          <w:iCs/>
          <w:sz w:val="24"/>
          <w:szCs w:val="24"/>
        </w:rPr>
        <w:t>v</w:t>
      </w:r>
      <w:r w:rsidRPr="009F38E3">
        <w:rPr>
          <w:rFonts w:ascii="Arial" w:hAnsi="Arial" w:cs="Arial"/>
          <w:i/>
          <w:iCs/>
          <w:sz w:val="24"/>
          <w:szCs w:val="24"/>
        </w:rPr>
        <w:t xml:space="preserve"> Solidarity obo Barnard.</w:t>
      </w:r>
      <w:r w:rsidRPr="009F38E3">
        <w:rPr>
          <w:rFonts w:ascii="Arial" w:hAnsi="Arial" w:cs="Arial"/>
          <w:i/>
          <w:iCs/>
          <w:sz w:val="24"/>
          <w:szCs w:val="24"/>
          <w:vertAlign w:val="superscript"/>
        </w:rPr>
        <w:footnoteReference w:id="137"/>
      </w:r>
      <w:r w:rsidRPr="009F38E3">
        <w:rPr>
          <w:rFonts w:ascii="Arial" w:hAnsi="Arial" w:cs="Arial"/>
          <w:sz w:val="24"/>
          <w:szCs w:val="24"/>
        </w:rPr>
        <w:t xml:space="preserve"> The case concerned Ms. Barnard, an employee who was consistently passed over for promotions in favour of less competent applicants from specific categories. The court maintained the employer's choice, ruling that although merit plays a significant role in promotions, affirmative action is also a legitimate factor. Affirmative action policies under the </w:t>
      </w:r>
      <w:r w:rsidRPr="009F38E3">
        <w:rPr>
          <w:rFonts w:ascii="Arial" w:hAnsi="Arial" w:cs="Arial"/>
          <w:i/>
          <w:iCs/>
          <w:sz w:val="24"/>
          <w:szCs w:val="24"/>
        </w:rPr>
        <w:t xml:space="preserve">EEA </w:t>
      </w:r>
      <w:r w:rsidRPr="009F38E3">
        <w:rPr>
          <w:rFonts w:ascii="Arial" w:hAnsi="Arial" w:cs="Arial"/>
          <w:sz w:val="24"/>
          <w:szCs w:val="24"/>
        </w:rPr>
        <w:t xml:space="preserve">and </w:t>
      </w:r>
      <w:r w:rsidRPr="009F38E3">
        <w:rPr>
          <w:rFonts w:ascii="Arial" w:hAnsi="Arial" w:cs="Arial"/>
          <w:i/>
          <w:iCs/>
          <w:sz w:val="24"/>
          <w:szCs w:val="24"/>
        </w:rPr>
        <w:t xml:space="preserve">BBBEE </w:t>
      </w:r>
      <w:r w:rsidRPr="009F38E3">
        <w:rPr>
          <w:rFonts w:ascii="Arial" w:hAnsi="Arial" w:cs="Arial"/>
          <w:sz w:val="24"/>
          <w:szCs w:val="24"/>
        </w:rPr>
        <w:t>Act must be adopted to promote equality, but they must also be adaptable enough to permit nuanced implementation in certain situations, as the Barnard case highlighted.</w:t>
      </w:r>
    </w:p>
    <w:p w14:paraId="1593122B" w14:textId="645B6ECF" w:rsidR="00664603" w:rsidRPr="009F38E3" w:rsidRDefault="00664603" w:rsidP="00664603">
      <w:pPr>
        <w:spacing w:line="360" w:lineRule="auto"/>
        <w:jc w:val="both"/>
        <w:rPr>
          <w:rFonts w:ascii="Arial" w:hAnsi="Arial" w:cs="Arial"/>
          <w:sz w:val="24"/>
          <w:szCs w:val="24"/>
        </w:rPr>
      </w:pPr>
      <w:r w:rsidRPr="009F38E3">
        <w:rPr>
          <w:rFonts w:ascii="Arial" w:hAnsi="Arial" w:cs="Arial"/>
          <w:sz w:val="24"/>
          <w:szCs w:val="24"/>
        </w:rPr>
        <w:t xml:space="preserve">The use of </w:t>
      </w:r>
      <w:r w:rsidRPr="009F38E3">
        <w:rPr>
          <w:rFonts w:ascii="Arial" w:hAnsi="Arial" w:cs="Arial"/>
          <w:i/>
          <w:iCs/>
          <w:sz w:val="24"/>
          <w:szCs w:val="24"/>
        </w:rPr>
        <w:t>BBBEE</w:t>
      </w:r>
      <w:r w:rsidRPr="009F38E3">
        <w:rPr>
          <w:rFonts w:ascii="Arial" w:hAnsi="Arial" w:cs="Arial"/>
          <w:sz w:val="24"/>
          <w:szCs w:val="24"/>
        </w:rPr>
        <w:t xml:space="preserve"> in the context of procurement was examined in </w:t>
      </w:r>
      <w:r w:rsidRPr="009F38E3">
        <w:rPr>
          <w:rFonts w:ascii="Arial" w:hAnsi="Arial" w:cs="Arial"/>
          <w:i/>
          <w:iCs/>
          <w:sz w:val="24"/>
          <w:szCs w:val="24"/>
        </w:rPr>
        <w:t>SCAW South Africa (Pty) Ltd v National Union of Metalworkers of South Africa (NUMSA</w:t>
      </w:r>
      <w:r w:rsidRPr="009F38E3">
        <w:rPr>
          <w:rFonts w:ascii="Arial" w:hAnsi="Arial" w:cs="Arial"/>
          <w:sz w:val="24"/>
          <w:szCs w:val="24"/>
        </w:rPr>
        <w:t>).</w:t>
      </w:r>
      <w:r w:rsidRPr="009F38E3">
        <w:rPr>
          <w:rFonts w:ascii="Arial" w:hAnsi="Arial" w:cs="Arial"/>
          <w:sz w:val="24"/>
          <w:szCs w:val="24"/>
          <w:vertAlign w:val="superscript"/>
        </w:rPr>
        <w:footnoteReference w:id="138"/>
      </w:r>
      <w:r w:rsidRPr="009F38E3">
        <w:rPr>
          <w:rFonts w:ascii="Arial" w:hAnsi="Arial" w:cs="Arial"/>
          <w:sz w:val="24"/>
          <w:szCs w:val="24"/>
        </w:rPr>
        <w:t xml:space="preserve"> In order to address the long-standing economic imbalances that still exist in South Africa, the court affirmed the </w:t>
      </w:r>
      <w:r w:rsidRPr="009F38E3">
        <w:rPr>
          <w:rFonts w:ascii="Arial" w:hAnsi="Arial" w:cs="Arial"/>
          <w:i/>
          <w:iCs/>
          <w:sz w:val="24"/>
          <w:szCs w:val="24"/>
        </w:rPr>
        <w:t>BBBEE Act's</w:t>
      </w:r>
      <w:r w:rsidRPr="009F38E3">
        <w:rPr>
          <w:rFonts w:ascii="Arial" w:hAnsi="Arial" w:cs="Arial"/>
          <w:sz w:val="24"/>
          <w:szCs w:val="24"/>
        </w:rPr>
        <w:t xml:space="preserve"> tenets, holding that affirmative action policies in economic empowerment are essential.</w:t>
      </w:r>
    </w:p>
    <w:p w14:paraId="60E14204" w14:textId="77777777" w:rsidR="00A93AE7" w:rsidRDefault="00664603" w:rsidP="00A93AE7">
      <w:pPr>
        <w:spacing w:line="360" w:lineRule="auto"/>
        <w:jc w:val="both"/>
        <w:rPr>
          <w:rFonts w:ascii="Arial" w:hAnsi="Arial" w:cs="Arial"/>
          <w:sz w:val="24"/>
          <w:szCs w:val="24"/>
        </w:rPr>
      </w:pPr>
      <w:r w:rsidRPr="009F38E3">
        <w:rPr>
          <w:rFonts w:ascii="Arial" w:hAnsi="Arial" w:cs="Arial"/>
          <w:sz w:val="24"/>
          <w:szCs w:val="24"/>
        </w:rPr>
        <w:t xml:space="preserve">With time, the judiciary's perspective on affirmative action has changed from strict interpretation of distinctions of race to a more sophisticated and advanced view of how affirmative action may contribute to substantive equality. Affirmative action's evolution </w:t>
      </w:r>
      <w:r w:rsidRPr="009F38E3">
        <w:rPr>
          <w:rFonts w:ascii="Arial" w:hAnsi="Arial" w:cs="Arial"/>
          <w:sz w:val="24"/>
          <w:szCs w:val="24"/>
        </w:rPr>
        <w:lastRenderedPageBreak/>
        <w:t xml:space="preserve">in South Africa has been greatly influenced by judicial interpretation. Evolving legal matters continue to wrestle with challenges such as the intersection of gender, race, and disability in affirmative action policy and the need to strike a balance between merit-based considerations and remedy. The courts have continuously maintained affirmative action's validity while also offering important perspectives on its use and constraints. Numerous significant decisions, such as </w:t>
      </w:r>
      <w:r w:rsidRPr="009F38E3">
        <w:rPr>
          <w:rFonts w:ascii="Arial" w:hAnsi="Arial" w:cs="Arial"/>
          <w:i/>
          <w:iCs/>
          <w:sz w:val="24"/>
          <w:szCs w:val="24"/>
        </w:rPr>
        <w:t>Solidarity</w:t>
      </w:r>
      <w:r w:rsidR="00DF6BC2" w:rsidRPr="009F38E3">
        <w:rPr>
          <w:rFonts w:ascii="Arial" w:hAnsi="Arial" w:cs="Arial"/>
          <w:i/>
          <w:iCs/>
          <w:sz w:val="24"/>
          <w:szCs w:val="24"/>
        </w:rPr>
        <w:t xml:space="preserve"> </w:t>
      </w:r>
      <w:r w:rsidR="00717506" w:rsidRPr="009F38E3">
        <w:rPr>
          <w:rFonts w:ascii="Arial" w:hAnsi="Arial" w:cs="Arial"/>
          <w:i/>
          <w:iCs/>
          <w:sz w:val="24"/>
          <w:szCs w:val="24"/>
        </w:rPr>
        <w:t>v</w:t>
      </w:r>
      <w:r w:rsidRPr="009F38E3">
        <w:rPr>
          <w:rFonts w:ascii="Arial" w:hAnsi="Arial" w:cs="Arial"/>
          <w:i/>
          <w:iCs/>
          <w:sz w:val="24"/>
          <w:szCs w:val="24"/>
        </w:rPr>
        <w:t xml:space="preserve"> Minister of Correctional Services</w:t>
      </w:r>
      <w:r w:rsidRPr="009F38E3">
        <w:rPr>
          <w:rFonts w:ascii="Arial" w:hAnsi="Arial" w:cs="Arial"/>
          <w:sz w:val="24"/>
          <w:szCs w:val="24"/>
        </w:rPr>
        <w:t xml:space="preserve">, </w:t>
      </w:r>
      <w:r w:rsidRPr="009F38E3">
        <w:rPr>
          <w:rFonts w:ascii="Arial" w:hAnsi="Arial" w:cs="Arial"/>
          <w:i/>
          <w:iCs/>
          <w:sz w:val="24"/>
          <w:szCs w:val="24"/>
        </w:rPr>
        <w:t>Van Heerden</w:t>
      </w:r>
      <w:r w:rsidRPr="009F38E3">
        <w:rPr>
          <w:rFonts w:ascii="Arial" w:hAnsi="Arial" w:cs="Arial"/>
          <w:sz w:val="24"/>
          <w:szCs w:val="24"/>
        </w:rPr>
        <w:t xml:space="preserve">, and </w:t>
      </w:r>
      <w:r w:rsidRPr="009F38E3">
        <w:rPr>
          <w:rFonts w:ascii="Arial" w:hAnsi="Arial" w:cs="Arial"/>
          <w:i/>
          <w:iCs/>
          <w:sz w:val="24"/>
          <w:szCs w:val="24"/>
        </w:rPr>
        <w:t>Barnard,</w:t>
      </w:r>
      <w:r w:rsidRPr="009F38E3">
        <w:rPr>
          <w:rFonts w:ascii="Arial" w:hAnsi="Arial" w:cs="Arial"/>
          <w:sz w:val="24"/>
          <w:szCs w:val="24"/>
        </w:rPr>
        <w:t xml:space="preserve"> have established the bounds of affirmative action, especially when it comes to striking a balance between individual rights and the group's objective of obtaining substantive equality. Affirmative action is an essential instrument for accomplishing the </w:t>
      </w:r>
      <w:r w:rsidRPr="009F38E3">
        <w:rPr>
          <w:rFonts w:ascii="Arial" w:hAnsi="Arial" w:cs="Arial"/>
          <w:i/>
          <w:iCs/>
          <w:sz w:val="24"/>
          <w:szCs w:val="24"/>
        </w:rPr>
        <w:t>Constitution</w:t>
      </w:r>
      <w:r w:rsidRPr="009F38E3">
        <w:rPr>
          <w:rFonts w:ascii="Arial" w:hAnsi="Arial" w:cs="Arial"/>
          <w:sz w:val="24"/>
          <w:szCs w:val="24"/>
        </w:rPr>
        <w:t xml:space="preserve">'s transformative goals, as the Constitutional Court has underlined time and time again. </w:t>
      </w:r>
      <w:r w:rsidR="00717506" w:rsidRPr="009F38E3">
        <w:rPr>
          <w:rFonts w:ascii="Arial" w:hAnsi="Arial" w:cs="Arial"/>
          <w:sz w:val="24"/>
          <w:szCs w:val="24"/>
        </w:rPr>
        <w:t>However,</w:t>
      </w:r>
      <w:r w:rsidRPr="009F38E3">
        <w:rPr>
          <w:rFonts w:ascii="Arial" w:hAnsi="Arial" w:cs="Arial"/>
          <w:sz w:val="24"/>
          <w:szCs w:val="24"/>
        </w:rPr>
        <w:t xml:space="preserve"> the courts have also warned against the overreach of affirmative action policies, emphasizing that they must always be reasonable and fit for the situation. Affirmative action is crucial for addressing structural injustices, but it must be applied in a way that does not unnecessarily violate the rights of those who do not belong to specific groups, the court recognized in </w:t>
      </w:r>
      <w:r w:rsidRPr="00A93AE7">
        <w:rPr>
          <w:rFonts w:ascii="Arial" w:hAnsi="Arial" w:cs="Arial"/>
          <w:i/>
          <w:iCs/>
          <w:sz w:val="24"/>
          <w:szCs w:val="24"/>
        </w:rPr>
        <w:t>Barnard</w:t>
      </w:r>
      <w:r w:rsidRPr="009F38E3">
        <w:rPr>
          <w:rFonts w:ascii="Arial" w:hAnsi="Arial" w:cs="Arial"/>
          <w:sz w:val="24"/>
          <w:szCs w:val="24"/>
        </w:rPr>
        <w:t>.</w:t>
      </w:r>
    </w:p>
    <w:p w14:paraId="22D823FC" w14:textId="004C1FE3" w:rsidR="00DD7122" w:rsidRPr="00A93AE7" w:rsidRDefault="00A93AE7" w:rsidP="00A93AE7">
      <w:pPr>
        <w:pStyle w:val="Heading1"/>
      </w:pPr>
      <w:bookmarkStart w:id="104" w:name="_Toc189739294"/>
      <w:r>
        <w:t xml:space="preserve">2.4 </w:t>
      </w:r>
      <w:r w:rsidRPr="00A93AE7">
        <w:t>Substantive equality as conceptual foundation of affirmative action</w:t>
      </w:r>
      <w:bookmarkEnd w:id="104"/>
    </w:p>
    <w:p w14:paraId="06F312B2" w14:textId="134C1260" w:rsidR="00DD7122" w:rsidRPr="00023106" w:rsidRDefault="00023106" w:rsidP="00DD7122">
      <w:pPr>
        <w:spacing w:line="360" w:lineRule="auto"/>
        <w:jc w:val="both"/>
        <w:rPr>
          <w:rFonts w:ascii="Arial" w:hAnsi="Arial" w:cs="Arial"/>
          <w:sz w:val="24"/>
          <w:szCs w:val="24"/>
          <w:lang w:val="en-ZA"/>
        </w:rPr>
      </w:pPr>
      <w:r w:rsidRPr="00023106">
        <w:rPr>
          <w:rFonts w:ascii="Arial" w:hAnsi="Arial" w:cs="Arial"/>
          <w:sz w:val="24"/>
          <w:szCs w:val="24"/>
          <w:lang w:val="en-ZA"/>
        </w:rPr>
        <w:t>The concept of equality serves as the conceptual underpinning of affirmative action and offers the tenets that direct its application in recruitment processes. The South African legal system acknowledges that historical injustices necessitate proactive steps to provide fair chances in the workplace, and its constitutional commitment to equality extends beyond formal equality to substantive equality.</w:t>
      </w:r>
      <w:r>
        <w:rPr>
          <w:rFonts w:ascii="Arial" w:hAnsi="Arial" w:cs="Arial"/>
          <w:sz w:val="24"/>
          <w:szCs w:val="24"/>
          <w:lang w:val="en-ZA"/>
        </w:rPr>
        <w:t xml:space="preserve">  </w:t>
      </w:r>
      <w:r w:rsidR="00DD7122" w:rsidRPr="009F38E3">
        <w:rPr>
          <w:rFonts w:ascii="Arial" w:hAnsi="Arial" w:cs="Arial"/>
          <w:sz w:val="24"/>
          <w:szCs w:val="24"/>
        </w:rPr>
        <w:t xml:space="preserve">According to section 9 of the South African </w:t>
      </w:r>
      <w:r w:rsidR="00DD7122" w:rsidRPr="009F38E3">
        <w:rPr>
          <w:rFonts w:ascii="Arial" w:hAnsi="Arial" w:cs="Arial"/>
          <w:i/>
          <w:iCs/>
          <w:sz w:val="24"/>
          <w:szCs w:val="24"/>
        </w:rPr>
        <w:t>Constitution</w:t>
      </w:r>
      <w:r w:rsidR="00DD7122" w:rsidRPr="009F38E3">
        <w:rPr>
          <w:rFonts w:ascii="Arial" w:hAnsi="Arial" w:cs="Arial"/>
          <w:sz w:val="24"/>
          <w:szCs w:val="24"/>
        </w:rPr>
        <w:t>, everyone has the right to equality. Section 9 provides that this right consists of the right not to be unfairly discriminated against as well as the right to equal protection and benefits under the law.</w:t>
      </w:r>
      <w:r w:rsidR="00DD7122" w:rsidRPr="009F38E3">
        <w:rPr>
          <w:rFonts w:ascii="Arial" w:hAnsi="Arial" w:cs="Arial"/>
          <w:sz w:val="24"/>
          <w:szCs w:val="24"/>
          <w:vertAlign w:val="superscript"/>
        </w:rPr>
        <w:footnoteReference w:id="139"/>
      </w:r>
      <w:r w:rsidR="00DD7122" w:rsidRPr="009F38E3">
        <w:rPr>
          <w:rFonts w:ascii="Arial" w:hAnsi="Arial" w:cs="Arial"/>
          <w:sz w:val="24"/>
          <w:szCs w:val="24"/>
        </w:rPr>
        <w:t xml:space="preserve"> The preamble, which acts as a crucial guide for interpreting the </w:t>
      </w:r>
      <w:r w:rsidR="00DD7122" w:rsidRPr="009F38E3">
        <w:rPr>
          <w:rFonts w:ascii="Arial" w:hAnsi="Arial" w:cs="Arial"/>
          <w:i/>
          <w:iCs/>
          <w:sz w:val="24"/>
          <w:szCs w:val="24"/>
        </w:rPr>
        <w:t>Constitution</w:t>
      </w:r>
      <w:r w:rsidR="00DD7122" w:rsidRPr="009F38E3">
        <w:rPr>
          <w:rFonts w:ascii="Arial" w:hAnsi="Arial" w:cs="Arial"/>
          <w:sz w:val="24"/>
          <w:szCs w:val="24"/>
        </w:rPr>
        <w:t>,</w:t>
      </w:r>
      <w:r w:rsidR="00F13B7C" w:rsidRPr="009F38E3">
        <w:rPr>
          <w:rFonts w:ascii="Arial" w:hAnsi="Arial" w:cs="Arial"/>
          <w:sz w:val="24"/>
          <w:szCs w:val="24"/>
        </w:rPr>
        <w:t xml:space="preserve"> also</w:t>
      </w:r>
      <w:r w:rsidR="00DD7122" w:rsidRPr="009F38E3">
        <w:rPr>
          <w:rFonts w:ascii="Arial" w:hAnsi="Arial" w:cs="Arial"/>
          <w:sz w:val="24"/>
          <w:szCs w:val="24"/>
        </w:rPr>
        <w:t xml:space="preserve"> acknowledges equality as a fundamental constitutional value. Equality is recognized as the first substantive right in the Bill of Rights itself.</w:t>
      </w:r>
      <w:r w:rsidR="00DD7122" w:rsidRPr="009F38E3">
        <w:rPr>
          <w:rFonts w:ascii="Arial" w:hAnsi="Arial" w:cs="Arial"/>
          <w:sz w:val="24"/>
          <w:szCs w:val="24"/>
          <w:vertAlign w:val="superscript"/>
        </w:rPr>
        <w:footnoteReference w:id="140"/>
      </w:r>
      <w:r w:rsidR="00DD7122" w:rsidRPr="009F38E3">
        <w:rPr>
          <w:rFonts w:ascii="Arial" w:hAnsi="Arial" w:cs="Arial"/>
          <w:sz w:val="24"/>
          <w:szCs w:val="24"/>
        </w:rPr>
        <w:t xml:space="preserve"> Along with the concepts of freedom and dignity, it affects how other rights guaranteed by the Bill, are interpreted and used.</w:t>
      </w:r>
      <w:r w:rsidR="00DD7122" w:rsidRPr="009F38E3">
        <w:rPr>
          <w:rFonts w:ascii="Arial" w:hAnsi="Arial" w:cs="Arial"/>
          <w:sz w:val="24"/>
          <w:szCs w:val="24"/>
          <w:vertAlign w:val="superscript"/>
        </w:rPr>
        <w:footnoteReference w:id="141"/>
      </w:r>
      <w:r w:rsidR="00DD7122" w:rsidRPr="009F38E3">
        <w:rPr>
          <w:rFonts w:ascii="Arial" w:hAnsi="Arial" w:cs="Arial"/>
          <w:sz w:val="24"/>
          <w:szCs w:val="24"/>
        </w:rPr>
        <w:t xml:space="preserve"> Consequently, </w:t>
      </w:r>
      <w:r w:rsidR="00DD7122" w:rsidRPr="009F38E3">
        <w:rPr>
          <w:rFonts w:ascii="Arial" w:hAnsi="Arial" w:cs="Arial"/>
          <w:sz w:val="24"/>
          <w:szCs w:val="24"/>
        </w:rPr>
        <w:lastRenderedPageBreak/>
        <w:t xml:space="preserve">equality is mandated by the </w:t>
      </w:r>
      <w:r w:rsidR="00DD7122" w:rsidRPr="009F38E3">
        <w:rPr>
          <w:rFonts w:ascii="Arial" w:hAnsi="Arial" w:cs="Arial"/>
          <w:i/>
          <w:iCs/>
          <w:sz w:val="24"/>
          <w:szCs w:val="24"/>
        </w:rPr>
        <w:t>Constitution</w:t>
      </w:r>
      <w:r w:rsidR="00DD7122" w:rsidRPr="009F38E3">
        <w:rPr>
          <w:rFonts w:ascii="Arial" w:hAnsi="Arial" w:cs="Arial"/>
          <w:sz w:val="24"/>
          <w:szCs w:val="24"/>
        </w:rPr>
        <w:t>, which upholds it as a fundamental value and enforceable constitutional right that supports the country's democratic framework.</w:t>
      </w:r>
    </w:p>
    <w:p w14:paraId="3620FAA0"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Section 9 of the Bill of Rights, which protects the right to equality, reads as follows: </w:t>
      </w:r>
    </w:p>
    <w:p w14:paraId="2A3B9C4D" w14:textId="77777777" w:rsidR="00DD7122" w:rsidRPr="009F38E3" w:rsidRDefault="00DD7122" w:rsidP="00DD7122">
      <w:pPr>
        <w:spacing w:line="360" w:lineRule="auto"/>
        <w:ind w:left="720"/>
        <w:jc w:val="both"/>
        <w:rPr>
          <w:rFonts w:ascii="Arial" w:hAnsi="Arial" w:cs="Arial"/>
          <w:sz w:val="20"/>
          <w:szCs w:val="20"/>
        </w:rPr>
      </w:pPr>
      <w:r w:rsidRPr="009F38E3">
        <w:rPr>
          <w:rFonts w:ascii="Arial" w:hAnsi="Arial" w:cs="Arial"/>
          <w:sz w:val="20"/>
          <w:szCs w:val="20"/>
        </w:rPr>
        <w:t xml:space="preserve">(1) Everyone is equal before the law and has the right to equal protection and benefit of the law. </w:t>
      </w:r>
    </w:p>
    <w:p w14:paraId="4BE7F716" w14:textId="77777777" w:rsidR="00DD7122" w:rsidRPr="009F38E3" w:rsidRDefault="00DD7122" w:rsidP="00DD7122">
      <w:pPr>
        <w:spacing w:line="360" w:lineRule="auto"/>
        <w:ind w:left="720"/>
        <w:jc w:val="both"/>
        <w:rPr>
          <w:rFonts w:ascii="Arial" w:hAnsi="Arial" w:cs="Arial"/>
          <w:sz w:val="20"/>
          <w:szCs w:val="20"/>
        </w:rPr>
      </w:pPr>
      <w:r w:rsidRPr="009F38E3">
        <w:rPr>
          <w:rFonts w:ascii="Arial" w:hAnsi="Arial" w:cs="Arial"/>
          <w:sz w:val="20"/>
          <w:szCs w:val="20"/>
        </w:rPr>
        <w:t xml:space="preserve">(2) Equality includes full and equal enjoyment of all rights and freedoms. To promote the achievement of equality, legislative and other measures designed to protect or advance persons, or categories of persons, disadvantaged by unfair discrimination may be taken. </w:t>
      </w:r>
    </w:p>
    <w:p w14:paraId="1CFEDAEA" w14:textId="77777777" w:rsidR="00DD7122" w:rsidRPr="009F38E3" w:rsidRDefault="00DD7122" w:rsidP="00DD7122">
      <w:pPr>
        <w:spacing w:line="360" w:lineRule="auto"/>
        <w:ind w:left="720"/>
        <w:jc w:val="both"/>
        <w:rPr>
          <w:rFonts w:ascii="Arial" w:hAnsi="Arial" w:cs="Arial"/>
          <w:sz w:val="20"/>
          <w:szCs w:val="20"/>
        </w:rPr>
      </w:pPr>
      <w:r w:rsidRPr="009F38E3">
        <w:rPr>
          <w:rFonts w:ascii="Arial" w:hAnsi="Arial" w:cs="Arial"/>
          <w:sz w:val="20"/>
          <w:szCs w:val="20"/>
        </w:rPr>
        <w:t xml:space="preserve">(3) The state may not unfairly discriminate directly or indirectly against anyone on one or more grounds, including race, gender, sex, pregnancy, marital status, ethnic or social origin, colour, sexual orientation, age, disability, religion, conscience, belief, culture, language and birth. </w:t>
      </w:r>
    </w:p>
    <w:p w14:paraId="78210744" w14:textId="77777777" w:rsidR="00DD7122" w:rsidRPr="009F38E3" w:rsidRDefault="00DD7122" w:rsidP="00DD7122">
      <w:pPr>
        <w:spacing w:line="360" w:lineRule="auto"/>
        <w:ind w:left="720"/>
        <w:jc w:val="both"/>
        <w:rPr>
          <w:rFonts w:ascii="Arial" w:hAnsi="Arial" w:cs="Arial"/>
          <w:sz w:val="20"/>
          <w:szCs w:val="20"/>
        </w:rPr>
      </w:pPr>
      <w:r w:rsidRPr="009F38E3">
        <w:rPr>
          <w:rFonts w:ascii="Arial" w:hAnsi="Arial" w:cs="Arial"/>
          <w:sz w:val="20"/>
          <w:szCs w:val="20"/>
        </w:rPr>
        <w:t xml:space="preserve">(4) No person may unfairly discriminate directly or indirectly against anyone on one or more grounds in terms of subsection (3). National legislation must be enacted to prevent or prohibit unfair discrimination. </w:t>
      </w:r>
    </w:p>
    <w:p w14:paraId="2620A7C0" w14:textId="77777777" w:rsidR="00DD7122" w:rsidRPr="009F38E3" w:rsidRDefault="00DD7122" w:rsidP="00DD7122">
      <w:pPr>
        <w:spacing w:line="360" w:lineRule="auto"/>
        <w:ind w:left="720"/>
        <w:jc w:val="both"/>
        <w:rPr>
          <w:rFonts w:ascii="Arial" w:hAnsi="Arial" w:cs="Arial"/>
          <w:sz w:val="20"/>
          <w:szCs w:val="20"/>
        </w:rPr>
      </w:pPr>
      <w:r w:rsidRPr="009F38E3">
        <w:rPr>
          <w:rFonts w:ascii="Arial" w:hAnsi="Arial" w:cs="Arial"/>
          <w:sz w:val="20"/>
          <w:szCs w:val="20"/>
        </w:rPr>
        <w:t>(5) Discrimination on one or more of the grounds listed in subsection (3) is unfair unless it is established that the discrimination is fair.”</w:t>
      </w:r>
    </w:p>
    <w:p w14:paraId="4DD047E4"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There are two concepts of equality which must be discussed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fully comprehend how the courts have interpreted the right to equality, and those are "formal equality" and "substantive equality".</w:t>
      </w:r>
      <w:r w:rsidRPr="009F38E3">
        <w:rPr>
          <w:rFonts w:ascii="Arial" w:hAnsi="Arial" w:cs="Arial"/>
          <w:sz w:val="24"/>
          <w:szCs w:val="24"/>
          <w:vertAlign w:val="superscript"/>
        </w:rPr>
        <w:footnoteReference w:id="142"/>
      </w:r>
    </w:p>
    <w:p w14:paraId="4A62D92F" w14:textId="3D2E5DF4"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According to formal equality, an employer must treat </w:t>
      </w:r>
      <w:proofErr w:type="gramStart"/>
      <w:r w:rsidRPr="009F38E3">
        <w:rPr>
          <w:rFonts w:ascii="Arial" w:hAnsi="Arial" w:cs="Arial"/>
          <w:sz w:val="24"/>
          <w:szCs w:val="24"/>
        </w:rPr>
        <w:t>all of</w:t>
      </w:r>
      <w:proofErr w:type="gramEnd"/>
      <w:r w:rsidRPr="009F38E3">
        <w:rPr>
          <w:rFonts w:ascii="Arial" w:hAnsi="Arial" w:cs="Arial"/>
          <w:sz w:val="24"/>
          <w:szCs w:val="24"/>
        </w:rPr>
        <w:t xml:space="preserve"> its workers equally and without favouring anyone over another. It </w:t>
      </w:r>
      <w:proofErr w:type="gramStart"/>
      <w:r w:rsidRPr="009F38E3">
        <w:rPr>
          <w:rFonts w:ascii="Arial" w:hAnsi="Arial" w:cs="Arial"/>
          <w:sz w:val="24"/>
          <w:szCs w:val="24"/>
        </w:rPr>
        <w:t>is based on the assumption</w:t>
      </w:r>
      <w:proofErr w:type="gramEnd"/>
      <w:r w:rsidRPr="009F38E3">
        <w:rPr>
          <w:rFonts w:ascii="Arial" w:hAnsi="Arial" w:cs="Arial"/>
          <w:sz w:val="24"/>
          <w:szCs w:val="24"/>
        </w:rPr>
        <w:t xml:space="preserve"> that all people are equal and that treating everyone equally, will ensure equality. Therefore, formal equality ignores structural inequality. Institutionalised and systemic disparities in equality are not the focus of this type of equality, as inequalities tend to be reinforced and entrenched rather than eliminated because </w:t>
      </w:r>
      <w:r w:rsidR="00F13B7C" w:rsidRPr="009F38E3">
        <w:rPr>
          <w:rFonts w:ascii="Arial" w:hAnsi="Arial" w:cs="Arial"/>
          <w:sz w:val="24"/>
          <w:szCs w:val="24"/>
        </w:rPr>
        <w:t>they</w:t>
      </w:r>
      <w:r w:rsidRPr="009F38E3">
        <w:rPr>
          <w:rFonts w:ascii="Arial" w:hAnsi="Arial" w:cs="Arial"/>
          <w:sz w:val="24"/>
          <w:szCs w:val="24"/>
        </w:rPr>
        <w:t xml:space="preserve"> ignore the real social and economic differences that exist between people and groups in society.</w:t>
      </w:r>
      <w:r w:rsidRPr="009F38E3">
        <w:rPr>
          <w:rFonts w:ascii="Arial" w:hAnsi="Arial" w:cs="Arial"/>
          <w:sz w:val="24"/>
          <w:szCs w:val="24"/>
          <w:vertAlign w:val="superscript"/>
        </w:rPr>
        <w:footnoteReference w:id="143"/>
      </w:r>
      <w:r w:rsidRPr="009F38E3">
        <w:rPr>
          <w:rFonts w:ascii="Arial" w:hAnsi="Arial" w:cs="Arial"/>
          <w:sz w:val="24"/>
          <w:szCs w:val="24"/>
        </w:rPr>
        <w:t xml:space="preserve"> Since disparities in treatment between individuals are seen as violations of the right to equality, such as different treatment based on affirmative action or redress programs, </w:t>
      </w:r>
      <w:r w:rsidRPr="009F38E3">
        <w:rPr>
          <w:rFonts w:ascii="Arial" w:hAnsi="Arial" w:cs="Arial"/>
          <w:sz w:val="24"/>
          <w:szCs w:val="24"/>
        </w:rPr>
        <w:lastRenderedPageBreak/>
        <w:t>formal equality cannot tolerate these differences.</w:t>
      </w:r>
      <w:r w:rsidRPr="009F38E3">
        <w:rPr>
          <w:rFonts w:ascii="Arial" w:hAnsi="Arial" w:cs="Arial"/>
          <w:sz w:val="24"/>
          <w:szCs w:val="24"/>
          <w:vertAlign w:val="superscript"/>
        </w:rPr>
        <w:footnoteReference w:id="144"/>
      </w:r>
      <w:r w:rsidRPr="009F38E3">
        <w:rPr>
          <w:rFonts w:ascii="Arial" w:hAnsi="Arial" w:cs="Arial"/>
          <w:sz w:val="24"/>
          <w:szCs w:val="24"/>
        </w:rPr>
        <w:t xml:space="preserve"> Instead, it primarily calls for the law to act impartially toward various groups.</w:t>
      </w:r>
      <w:r w:rsidRPr="009F38E3">
        <w:rPr>
          <w:rFonts w:ascii="Arial" w:hAnsi="Arial" w:cs="Arial"/>
          <w:sz w:val="24"/>
          <w:szCs w:val="24"/>
          <w:vertAlign w:val="superscript"/>
        </w:rPr>
        <w:footnoteReference w:id="145"/>
      </w:r>
    </w:p>
    <w:p w14:paraId="4D32B45E" w14:textId="71D1B3A1"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In contrast to formal equality, substantive equality upholds the principle that differentiating between individuals and groups to meet their various needs and interests is the fundamental component of equality, and as such, discrimination is </w:t>
      </w:r>
      <w:r w:rsidR="003B4F37" w:rsidRPr="009F38E3">
        <w:rPr>
          <w:rFonts w:ascii="Arial" w:hAnsi="Arial" w:cs="Arial"/>
          <w:sz w:val="24"/>
          <w:szCs w:val="24"/>
        </w:rPr>
        <w:t xml:space="preserve">focused on the </w:t>
      </w:r>
      <w:r w:rsidRPr="009F38E3">
        <w:rPr>
          <w:rFonts w:ascii="Arial" w:hAnsi="Arial" w:cs="Arial"/>
          <w:sz w:val="24"/>
          <w:szCs w:val="24"/>
        </w:rPr>
        <w:t xml:space="preserve">historically disadvantaged groups as qualitatively intended to address that disadvantage. For substantive equality to be achieved, the law must guarantee equality of results and be willing to accept disparate treatment. Affirmative action is one of the many laws and programs demonstrating this idea of equality in different jurisdictions. </w:t>
      </w:r>
    </w:p>
    <w:p w14:paraId="4D25ABB1" w14:textId="224CB3E7" w:rsidR="00DD7122" w:rsidRPr="002F1691" w:rsidRDefault="00DD7122" w:rsidP="002F1691">
      <w:pPr>
        <w:spacing w:line="360" w:lineRule="auto"/>
        <w:jc w:val="both"/>
        <w:rPr>
          <w:rFonts w:ascii="Arial" w:hAnsi="Arial" w:cs="Arial"/>
          <w:sz w:val="24"/>
          <w:szCs w:val="24"/>
        </w:rPr>
      </w:pPr>
      <w:r w:rsidRPr="009F38E3">
        <w:rPr>
          <w:rFonts w:ascii="Arial" w:hAnsi="Arial" w:cs="Arial"/>
          <w:sz w:val="24"/>
          <w:szCs w:val="24"/>
        </w:rPr>
        <w:t xml:space="preserve">It can thus be said that South Africa’s </w:t>
      </w:r>
      <w:r w:rsidRPr="009F38E3">
        <w:rPr>
          <w:rFonts w:ascii="Arial" w:hAnsi="Arial" w:cs="Arial"/>
          <w:i/>
          <w:iCs/>
          <w:sz w:val="24"/>
          <w:szCs w:val="24"/>
        </w:rPr>
        <w:t>Constitution</w:t>
      </w:r>
      <w:r w:rsidRPr="009F38E3">
        <w:rPr>
          <w:rFonts w:ascii="Arial" w:hAnsi="Arial" w:cs="Arial"/>
          <w:sz w:val="24"/>
          <w:szCs w:val="24"/>
        </w:rPr>
        <w:t xml:space="preserve"> reflects the concessions made in an effort to address the conflicting visions and interpretations of the new democratic order.</w:t>
      </w:r>
      <w:r w:rsidRPr="009F38E3">
        <w:rPr>
          <w:rFonts w:ascii="Arial" w:hAnsi="Arial" w:cs="Arial"/>
          <w:sz w:val="24"/>
          <w:szCs w:val="24"/>
          <w:vertAlign w:val="superscript"/>
        </w:rPr>
        <w:footnoteReference w:id="146"/>
      </w:r>
      <w:r w:rsidR="00023106">
        <w:rPr>
          <w:rFonts w:ascii="Arial" w:hAnsi="Arial" w:cs="Arial"/>
          <w:sz w:val="24"/>
          <w:szCs w:val="24"/>
        </w:rPr>
        <w:t xml:space="preserve"> </w:t>
      </w:r>
      <w:r w:rsidRPr="009F38E3">
        <w:rPr>
          <w:rFonts w:ascii="Arial" w:hAnsi="Arial" w:cs="Arial"/>
          <w:sz w:val="24"/>
          <w:szCs w:val="24"/>
        </w:rPr>
        <w:t>When evaluating substantive equality from a constitutional standpoint, it can be said that it is both a value and a legally enforceable right since it creates an aspirational ideal</w:t>
      </w:r>
      <w:r w:rsidR="003B4F37" w:rsidRPr="009F38E3">
        <w:rPr>
          <w:rFonts w:ascii="Arial" w:hAnsi="Arial" w:cs="Arial"/>
          <w:sz w:val="24"/>
          <w:szCs w:val="24"/>
        </w:rPr>
        <w:t>,</w:t>
      </w:r>
      <w:r w:rsidRPr="009F38E3">
        <w:rPr>
          <w:rFonts w:ascii="Arial" w:hAnsi="Arial" w:cs="Arial"/>
          <w:sz w:val="24"/>
          <w:szCs w:val="24"/>
        </w:rPr>
        <w:t xml:space="preserve"> being the realization of a society where everyone is treated equally.</w:t>
      </w:r>
      <w:r w:rsidRPr="009F38E3">
        <w:rPr>
          <w:rFonts w:ascii="Arial" w:hAnsi="Arial" w:cs="Arial"/>
          <w:sz w:val="24"/>
          <w:szCs w:val="24"/>
          <w:vertAlign w:val="superscript"/>
        </w:rPr>
        <w:footnoteReference w:id="147"/>
      </w:r>
      <w:r w:rsidRPr="009F38E3">
        <w:rPr>
          <w:rFonts w:ascii="Arial" w:hAnsi="Arial" w:cs="Arial"/>
          <w:sz w:val="24"/>
          <w:szCs w:val="24"/>
        </w:rPr>
        <w:t xml:space="preserve"> As such, this chapter makes the case that affirmative action is crucial to achieving substantive equality in South Africa by looking at pertinent legislation and significant court rulings.</w:t>
      </w:r>
    </w:p>
    <w:p w14:paraId="39387E2B" w14:textId="6C47C08D" w:rsidR="00DD7122" w:rsidRPr="009F38E3" w:rsidRDefault="00F61E8A" w:rsidP="002F1691">
      <w:pPr>
        <w:pStyle w:val="Heading1"/>
        <w:rPr>
          <w:bCs/>
        </w:rPr>
      </w:pPr>
      <w:bookmarkStart w:id="105" w:name="_Toc189739295"/>
      <w:r>
        <w:rPr>
          <w:bCs/>
        </w:rPr>
        <w:t>2.4</w:t>
      </w:r>
      <w:r w:rsidR="00DD7122" w:rsidRPr="009F38E3">
        <w:rPr>
          <w:bCs/>
        </w:rPr>
        <w:t>.</w:t>
      </w:r>
      <w:r>
        <w:rPr>
          <w:bCs/>
        </w:rPr>
        <w:t>1</w:t>
      </w:r>
      <w:r w:rsidR="00DD7122" w:rsidRPr="009F38E3">
        <w:rPr>
          <w:bCs/>
        </w:rPr>
        <w:t xml:space="preserve"> The constitutional guarantee of equality</w:t>
      </w:r>
      <w:bookmarkEnd w:id="105"/>
    </w:p>
    <w:p w14:paraId="474CFB6E" w14:textId="61A53776" w:rsidR="00DD7122" w:rsidRPr="009F38E3" w:rsidRDefault="00DD7122" w:rsidP="00DD7122">
      <w:pPr>
        <w:spacing w:line="360" w:lineRule="auto"/>
        <w:jc w:val="both"/>
        <w:rPr>
          <w:rFonts w:ascii="Arial" w:hAnsi="Arial" w:cs="Arial"/>
          <w:sz w:val="24"/>
          <w:szCs w:val="24"/>
        </w:rPr>
      </w:pP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address the gross violations of apartheid and eliminate systematic inequality, the </w:t>
      </w:r>
      <w:r w:rsidR="003B4F37" w:rsidRPr="009F38E3">
        <w:rPr>
          <w:rFonts w:ascii="Arial" w:hAnsi="Arial" w:cs="Arial"/>
          <w:sz w:val="24"/>
          <w:szCs w:val="24"/>
        </w:rPr>
        <w:t>e</w:t>
      </w:r>
      <w:r w:rsidRPr="009F38E3">
        <w:rPr>
          <w:rFonts w:ascii="Arial" w:hAnsi="Arial" w:cs="Arial"/>
          <w:sz w:val="24"/>
          <w:szCs w:val="24"/>
        </w:rPr>
        <w:t xml:space="preserve">quality </w:t>
      </w:r>
      <w:r w:rsidR="003B4F37" w:rsidRPr="009F38E3">
        <w:rPr>
          <w:rFonts w:ascii="Arial" w:hAnsi="Arial" w:cs="Arial"/>
          <w:sz w:val="24"/>
          <w:szCs w:val="24"/>
        </w:rPr>
        <w:t>c</w:t>
      </w:r>
      <w:r w:rsidRPr="009F38E3">
        <w:rPr>
          <w:rFonts w:ascii="Arial" w:hAnsi="Arial" w:cs="Arial"/>
          <w:sz w:val="24"/>
          <w:szCs w:val="24"/>
        </w:rPr>
        <w:t xml:space="preserve">lause, which is enshrined in section 9 of the </w:t>
      </w:r>
      <w:r w:rsidRPr="009F38E3">
        <w:rPr>
          <w:rFonts w:ascii="Arial" w:hAnsi="Arial" w:cs="Arial"/>
          <w:i/>
          <w:iCs/>
          <w:sz w:val="24"/>
          <w:szCs w:val="24"/>
        </w:rPr>
        <w:t>Constitution</w:t>
      </w:r>
      <w:r w:rsidRPr="009F38E3">
        <w:rPr>
          <w:rFonts w:ascii="Arial" w:hAnsi="Arial" w:cs="Arial"/>
          <w:sz w:val="24"/>
          <w:szCs w:val="24"/>
        </w:rPr>
        <w:t xml:space="preserve">, provides a progressive agenda. The </w:t>
      </w:r>
      <w:r w:rsidRPr="009F38E3">
        <w:rPr>
          <w:rFonts w:ascii="Arial" w:hAnsi="Arial" w:cs="Arial"/>
          <w:i/>
          <w:iCs/>
          <w:sz w:val="24"/>
          <w:szCs w:val="24"/>
        </w:rPr>
        <w:t>Constitution</w:t>
      </w:r>
      <w:r w:rsidRPr="009F38E3">
        <w:rPr>
          <w:rFonts w:ascii="Arial" w:hAnsi="Arial" w:cs="Arial"/>
          <w:sz w:val="24"/>
          <w:szCs w:val="24"/>
        </w:rPr>
        <w:t xml:space="preserve"> recognizes the significance of overcoming institutional disadvantages and supports substantive equality, in contrast to conventional ideas of formal equality</w:t>
      </w:r>
      <w:r w:rsidR="003B4F37" w:rsidRPr="009F38E3">
        <w:rPr>
          <w:rFonts w:ascii="Arial" w:hAnsi="Arial" w:cs="Arial"/>
          <w:sz w:val="24"/>
          <w:szCs w:val="24"/>
        </w:rPr>
        <w:t xml:space="preserve"> (</w:t>
      </w:r>
      <w:r w:rsidRPr="009F38E3">
        <w:rPr>
          <w:rFonts w:ascii="Arial" w:hAnsi="Arial" w:cs="Arial"/>
          <w:sz w:val="24"/>
          <w:szCs w:val="24"/>
        </w:rPr>
        <w:t>which primarily focus on ensuring equal treatment</w:t>
      </w:r>
      <w:r w:rsidR="003B4F37" w:rsidRPr="009F38E3">
        <w:rPr>
          <w:rFonts w:ascii="Arial" w:hAnsi="Arial" w:cs="Arial"/>
          <w:sz w:val="24"/>
          <w:szCs w:val="24"/>
        </w:rPr>
        <w:t>)</w:t>
      </w:r>
      <w:r w:rsidRPr="009F38E3">
        <w:rPr>
          <w:rFonts w:ascii="Arial" w:hAnsi="Arial" w:cs="Arial"/>
          <w:sz w:val="24"/>
          <w:szCs w:val="24"/>
        </w:rPr>
        <w:t xml:space="preserve">. Section 9 of the </w:t>
      </w:r>
      <w:r w:rsidRPr="009F38E3">
        <w:rPr>
          <w:rFonts w:ascii="Arial" w:hAnsi="Arial" w:cs="Arial"/>
          <w:i/>
          <w:iCs/>
          <w:sz w:val="24"/>
          <w:szCs w:val="24"/>
        </w:rPr>
        <w:t>Constitution</w:t>
      </w:r>
      <w:r w:rsidRPr="009F38E3">
        <w:rPr>
          <w:rFonts w:ascii="Arial" w:hAnsi="Arial" w:cs="Arial"/>
          <w:sz w:val="24"/>
          <w:szCs w:val="24"/>
        </w:rPr>
        <w:t xml:space="preserve"> demonstrates a comprehensive approach to equality by ensuring that everyone is equal before the law and entitled to equal protection and benefit of the law in section 9(1)</w:t>
      </w:r>
      <w:r w:rsidR="003B4F37" w:rsidRPr="009F38E3">
        <w:rPr>
          <w:rFonts w:ascii="Arial" w:hAnsi="Arial" w:cs="Arial"/>
          <w:sz w:val="24"/>
          <w:szCs w:val="24"/>
        </w:rPr>
        <w:t xml:space="preserve">. It </w:t>
      </w:r>
      <w:r w:rsidRPr="009F38E3">
        <w:rPr>
          <w:rFonts w:ascii="Arial" w:hAnsi="Arial" w:cs="Arial"/>
          <w:sz w:val="24"/>
          <w:szCs w:val="24"/>
        </w:rPr>
        <w:t>embrac</w:t>
      </w:r>
      <w:r w:rsidR="003B4F37" w:rsidRPr="009F38E3">
        <w:rPr>
          <w:rFonts w:ascii="Arial" w:hAnsi="Arial" w:cs="Arial"/>
          <w:sz w:val="24"/>
          <w:szCs w:val="24"/>
        </w:rPr>
        <w:t xml:space="preserve">es </w:t>
      </w:r>
      <w:r w:rsidRPr="009F38E3">
        <w:rPr>
          <w:rFonts w:ascii="Arial" w:hAnsi="Arial" w:cs="Arial"/>
          <w:sz w:val="24"/>
          <w:szCs w:val="24"/>
        </w:rPr>
        <w:t xml:space="preserve">substantive equality by expressly enabling affirmative action along with other measures designed to advance </w:t>
      </w:r>
      <w:r w:rsidRPr="009F38E3">
        <w:rPr>
          <w:rFonts w:ascii="Arial" w:hAnsi="Arial" w:cs="Arial"/>
          <w:sz w:val="24"/>
          <w:szCs w:val="24"/>
        </w:rPr>
        <w:lastRenderedPageBreak/>
        <w:t>disadvantaged groups in section 9(2), and finally forbidding unfair discrimination, whether by the state or private individuals, in sections 9(3) and 9(4).</w:t>
      </w:r>
    </w:p>
    <w:p w14:paraId="3CC4E569" w14:textId="4BEC4E4A" w:rsidR="00EF67B5" w:rsidRPr="00D53869" w:rsidRDefault="00D53869" w:rsidP="00DD7122">
      <w:pPr>
        <w:spacing w:line="360" w:lineRule="auto"/>
        <w:jc w:val="both"/>
        <w:rPr>
          <w:rFonts w:ascii="Arial" w:hAnsi="Arial" w:cs="Arial"/>
          <w:sz w:val="24"/>
          <w:szCs w:val="24"/>
          <w:lang w:val="en-ZA"/>
        </w:rPr>
      </w:pPr>
      <w:r>
        <w:rPr>
          <w:rFonts w:ascii="Arial" w:hAnsi="Arial" w:cs="Arial"/>
          <w:sz w:val="24"/>
          <w:szCs w:val="24"/>
        </w:rPr>
        <w:t xml:space="preserve">Therefore, </w:t>
      </w:r>
      <w:r>
        <w:rPr>
          <w:rFonts w:ascii="Arial" w:hAnsi="Arial" w:cs="Arial"/>
          <w:sz w:val="24"/>
          <w:szCs w:val="24"/>
          <w:lang w:val="en-ZA"/>
        </w:rPr>
        <w:t>e</w:t>
      </w:r>
      <w:r w:rsidRPr="00D53869">
        <w:rPr>
          <w:rFonts w:ascii="Arial" w:hAnsi="Arial" w:cs="Arial"/>
          <w:sz w:val="24"/>
          <w:szCs w:val="24"/>
          <w:lang w:val="en-ZA"/>
        </w:rPr>
        <w:t xml:space="preserve">mployers that use affirmative action must recognize that equality is more than just the lack of discrimination; it also entails an active responsibility to remove structural obstacles that continue to disadvantage </w:t>
      </w:r>
      <w:proofErr w:type="gramStart"/>
      <w:r w:rsidRPr="00D53869">
        <w:rPr>
          <w:rFonts w:ascii="Arial" w:hAnsi="Arial" w:cs="Arial"/>
          <w:sz w:val="24"/>
          <w:szCs w:val="24"/>
          <w:lang w:val="en-ZA"/>
        </w:rPr>
        <w:t>particular groups</w:t>
      </w:r>
      <w:proofErr w:type="gramEnd"/>
      <w:r w:rsidRPr="00D53869">
        <w:rPr>
          <w:rFonts w:ascii="Arial" w:hAnsi="Arial" w:cs="Arial"/>
          <w:sz w:val="24"/>
          <w:szCs w:val="24"/>
          <w:lang w:val="en-ZA"/>
        </w:rPr>
        <w:t xml:space="preserve">. </w:t>
      </w:r>
      <w:proofErr w:type="gramStart"/>
      <w:r w:rsidRPr="00D53869">
        <w:rPr>
          <w:rFonts w:ascii="Arial" w:hAnsi="Arial" w:cs="Arial"/>
          <w:sz w:val="24"/>
          <w:szCs w:val="24"/>
          <w:lang w:val="en-ZA"/>
        </w:rPr>
        <w:t>In order to</w:t>
      </w:r>
      <w:proofErr w:type="gramEnd"/>
      <w:r w:rsidRPr="00D53869">
        <w:rPr>
          <w:rFonts w:ascii="Arial" w:hAnsi="Arial" w:cs="Arial"/>
          <w:sz w:val="24"/>
          <w:szCs w:val="24"/>
          <w:lang w:val="en-ZA"/>
        </w:rPr>
        <w:t xml:space="preserve"> achieve this, formal equality, which treats every person equally, must give way to substantive equality, which recognizes disparities in opportunity and works to address systemic injustices.</w:t>
      </w:r>
      <w:r>
        <w:rPr>
          <w:rFonts w:ascii="Arial" w:hAnsi="Arial" w:cs="Arial"/>
          <w:sz w:val="24"/>
          <w:szCs w:val="24"/>
          <w:lang w:val="en-ZA"/>
        </w:rPr>
        <w:t xml:space="preserve"> However, t</w:t>
      </w:r>
      <w:r w:rsidR="00EF67B5" w:rsidRPr="009F38E3">
        <w:rPr>
          <w:rFonts w:ascii="Arial" w:hAnsi="Arial" w:cs="Arial"/>
          <w:sz w:val="24"/>
          <w:szCs w:val="24"/>
        </w:rPr>
        <w:t>o fully appreciate the constitutional guarantee of equality, one must also briefly ask the following: Equality of what?</w:t>
      </w:r>
    </w:p>
    <w:p w14:paraId="043A0FAF" w14:textId="4666CC5E" w:rsidR="004B11DB" w:rsidRPr="009F38E3" w:rsidRDefault="00F61E8A" w:rsidP="002F1691">
      <w:pPr>
        <w:pStyle w:val="Heading2"/>
        <w:ind w:left="360"/>
      </w:pPr>
      <w:bookmarkStart w:id="106" w:name="_Toc189739296"/>
      <w:r>
        <w:t>2.4.1</w:t>
      </w:r>
      <w:r w:rsidR="004B11DB" w:rsidRPr="009F38E3">
        <w:t>.1 Equality of treatment</w:t>
      </w:r>
      <w:bookmarkEnd w:id="106"/>
    </w:p>
    <w:p w14:paraId="42786512" w14:textId="71820C76" w:rsidR="004B11DB" w:rsidRPr="009F38E3" w:rsidRDefault="004B11DB" w:rsidP="004B11DB">
      <w:pPr>
        <w:spacing w:line="360" w:lineRule="auto"/>
        <w:jc w:val="both"/>
        <w:rPr>
          <w:rFonts w:ascii="Arial" w:hAnsi="Arial" w:cs="Arial"/>
          <w:sz w:val="24"/>
          <w:szCs w:val="24"/>
        </w:rPr>
      </w:pPr>
      <w:r w:rsidRPr="009F38E3">
        <w:rPr>
          <w:rFonts w:ascii="Arial" w:hAnsi="Arial" w:cs="Arial"/>
          <w:sz w:val="24"/>
          <w:szCs w:val="24"/>
        </w:rPr>
        <w:t xml:space="preserve">The constitutional guarantee that everyone will be treated equally under the law, free from unjust discrimination, is recognized as equality of treatment. Section 9(1) of the </w:t>
      </w:r>
      <w:r w:rsidRPr="009F38E3">
        <w:rPr>
          <w:rFonts w:ascii="Arial" w:hAnsi="Arial" w:cs="Arial"/>
          <w:i/>
          <w:iCs/>
          <w:sz w:val="24"/>
          <w:szCs w:val="24"/>
        </w:rPr>
        <w:t>Constitution</w:t>
      </w:r>
      <w:r w:rsidRPr="009F38E3">
        <w:rPr>
          <w:rFonts w:ascii="Arial" w:hAnsi="Arial" w:cs="Arial"/>
          <w:sz w:val="24"/>
          <w:szCs w:val="24"/>
        </w:rPr>
        <w:t xml:space="preserve"> creates the notion that "everyone is equal before the law and has the right to equal protection and benefit of the law." Notwithstanding, this does not imply that all situations will be treated </w:t>
      </w:r>
      <w:r w:rsidR="000E7785" w:rsidRPr="009F38E3">
        <w:rPr>
          <w:rFonts w:ascii="Arial" w:hAnsi="Arial" w:cs="Arial"/>
          <w:sz w:val="24"/>
          <w:szCs w:val="24"/>
        </w:rPr>
        <w:t>the same</w:t>
      </w:r>
      <w:r w:rsidRPr="009F38E3">
        <w:rPr>
          <w:rFonts w:ascii="Arial" w:hAnsi="Arial" w:cs="Arial"/>
          <w:sz w:val="24"/>
          <w:szCs w:val="24"/>
        </w:rPr>
        <w:t xml:space="preserve"> way; this is simply so because identical treatment can potentially reinforce unfairness, particularly in a culture where historical disparities still exist. For instance, in </w:t>
      </w:r>
      <w:r w:rsidRPr="009F38E3">
        <w:rPr>
          <w:rFonts w:ascii="Arial" w:hAnsi="Arial" w:cs="Arial"/>
          <w:i/>
          <w:iCs/>
          <w:sz w:val="24"/>
          <w:szCs w:val="24"/>
        </w:rPr>
        <w:t>President of the Republic of South Africa</w:t>
      </w:r>
      <w:r w:rsidR="000E7785">
        <w:rPr>
          <w:rFonts w:ascii="Arial" w:hAnsi="Arial" w:cs="Arial"/>
          <w:i/>
          <w:iCs/>
          <w:sz w:val="24"/>
          <w:szCs w:val="24"/>
        </w:rPr>
        <w:t xml:space="preserve"> </w:t>
      </w:r>
      <w:r w:rsidRPr="009F38E3">
        <w:rPr>
          <w:rFonts w:ascii="Arial" w:hAnsi="Arial" w:cs="Arial"/>
          <w:i/>
          <w:iCs/>
          <w:sz w:val="24"/>
          <w:szCs w:val="24"/>
        </w:rPr>
        <w:t>v Hugo</w:t>
      </w:r>
      <w:r w:rsidRPr="009F38E3">
        <w:rPr>
          <w:rFonts w:ascii="Arial" w:hAnsi="Arial" w:cs="Arial"/>
          <w:i/>
          <w:iCs/>
          <w:sz w:val="24"/>
          <w:szCs w:val="24"/>
          <w:vertAlign w:val="superscript"/>
        </w:rPr>
        <w:footnoteReference w:id="148"/>
      </w:r>
      <w:r w:rsidRPr="009F38E3">
        <w:rPr>
          <w:rFonts w:ascii="Arial" w:hAnsi="Arial" w:cs="Arial"/>
          <w:sz w:val="24"/>
          <w:szCs w:val="24"/>
        </w:rPr>
        <w:t xml:space="preserve">  the court recognized that, </w:t>
      </w:r>
      <w:r w:rsidR="000E7785" w:rsidRPr="009F38E3">
        <w:rPr>
          <w:rFonts w:ascii="Arial" w:hAnsi="Arial" w:cs="Arial"/>
          <w:sz w:val="24"/>
          <w:szCs w:val="24"/>
        </w:rPr>
        <w:t>to</w:t>
      </w:r>
      <w:r w:rsidRPr="009F38E3">
        <w:rPr>
          <w:rFonts w:ascii="Arial" w:hAnsi="Arial" w:cs="Arial"/>
          <w:sz w:val="24"/>
          <w:szCs w:val="24"/>
        </w:rPr>
        <w:t xml:space="preserve"> overcome systematic limitations, substantive equality occasionally necessitates treating different groups differently in its affirmation of a policy that pardons mothers of young children but not dads.</w:t>
      </w:r>
    </w:p>
    <w:p w14:paraId="1DC7138F" w14:textId="5DEBCFAB" w:rsidR="004B11DB" w:rsidRPr="009F38E3" w:rsidRDefault="004B11DB" w:rsidP="00DD7122">
      <w:pPr>
        <w:spacing w:line="360" w:lineRule="auto"/>
        <w:jc w:val="both"/>
        <w:rPr>
          <w:rFonts w:ascii="Arial" w:hAnsi="Arial" w:cs="Arial"/>
          <w:sz w:val="24"/>
          <w:szCs w:val="24"/>
        </w:rPr>
      </w:pPr>
      <w:r w:rsidRPr="009F38E3">
        <w:rPr>
          <w:rFonts w:ascii="Arial" w:hAnsi="Arial" w:cs="Arial"/>
          <w:sz w:val="24"/>
          <w:szCs w:val="24"/>
        </w:rPr>
        <w:t xml:space="preserve">The principle of non-discrimination in section 9(3), which discusses forbidden grounds of discrimination, including race, gender, and religion, is closely aligned with this idea of equal treatment. In </w:t>
      </w:r>
      <w:r w:rsidRPr="009F38E3">
        <w:rPr>
          <w:rFonts w:ascii="Arial" w:hAnsi="Arial" w:cs="Arial"/>
          <w:i/>
          <w:iCs/>
          <w:sz w:val="24"/>
          <w:szCs w:val="24"/>
        </w:rPr>
        <w:t>Harksen v Lane NO and Others</w:t>
      </w:r>
      <w:r w:rsidRPr="009F38E3">
        <w:rPr>
          <w:rFonts w:ascii="Arial" w:hAnsi="Arial" w:cs="Arial"/>
          <w:sz w:val="24"/>
          <w:szCs w:val="24"/>
        </w:rPr>
        <w:t>,</w:t>
      </w:r>
      <w:r w:rsidRPr="009F38E3">
        <w:rPr>
          <w:rFonts w:ascii="Arial" w:hAnsi="Arial" w:cs="Arial"/>
          <w:sz w:val="24"/>
          <w:szCs w:val="24"/>
          <w:vertAlign w:val="superscript"/>
        </w:rPr>
        <w:footnoteReference w:id="149"/>
      </w:r>
      <w:r w:rsidRPr="009F38E3">
        <w:rPr>
          <w:rFonts w:ascii="Arial" w:hAnsi="Arial" w:cs="Arial"/>
          <w:sz w:val="24"/>
          <w:szCs w:val="24"/>
        </w:rPr>
        <w:t xml:space="preserve"> the Constitutional Court established a precise standard for judging whether differentiation qualifies as unjust discrimination. The court underlined the importance of evaluating how differentiation affects the person or group and whether it perpetuates past trends of disadvantage. Thus, the equality of treatment principle ensures that the law is conscious of societal realities by bridging the gap between theoretical legal equality and actual lived experiences.</w:t>
      </w:r>
    </w:p>
    <w:p w14:paraId="6767C4AA" w14:textId="657D4000" w:rsidR="00DD7122" w:rsidRPr="009F38E3" w:rsidRDefault="00F61E8A" w:rsidP="002F1691">
      <w:pPr>
        <w:pStyle w:val="Heading2"/>
        <w:ind w:left="360"/>
      </w:pPr>
      <w:bookmarkStart w:id="107" w:name="_Toc189739297"/>
      <w:r>
        <w:lastRenderedPageBreak/>
        <w:t>2.4.1</w:t>
      </w:r>
      <w:r w:rsidR="00DD7122" w:rsidRPr="009F38E3">
        <w:t>.2 Equality of opportunity</w:t>
      </w:r>
      <w:bookmarkEnd w:id="107"/>
    </w:p>
    <w:p w14:paraId="12F0A75F" w14:textId="782689C6" w:rsidR="00DD7122" w:rsidRPr="009F38E3" w:rsidRDefault="00DD7122" w:rsidP="00DD7122">
      <w:pPr>
        <w:spacing w:line="360" w:lineRule="auto"/>
        <w:jc w:val="both"/>
        <w:rPr>
          <w:rFonts w:ascii="Arial" w:hAnsi="Arial" w:cs="Arial"/>
          <w:sz w:val="24"/>
          <w:szCs w:val="24"/>
        </w:rPr>
      </w:pPr>
      <w:proofErr w:type="gramStart"/>
      <w:r w:rsidRPr="009F38E3">
        <w:rPr>
          <w:rFonts w:ascii="Arial" w:hAnsi="Arial" w:cs="Arial"/>
          <w:sz w:val="24"/>
          <w:szCs w:val="24"/>
        </w:rPr>
        <w:t>Each individual</w:t>
      </w:r>
      <w:proofErr w:type="gramEnd"/>
      <w:r w:rsidRPr="009F38E3">
        <w:rPr>
          <w:rFonts w:ascii="Arial" w:hAnsi="Arial" w:cs="Arial"/>
          <w:sz w:val="24"/>
          <w:szCs w:val="24"/>
        </w:rPr>
        <w:t xml:space="preserve">, regardless of their gender, race, financial status, or various other characteristics, has an equal chance to access opportunities and resources by virtue of equality of opportunity. This encompasses socio-economic rights established in sections 26 (housing), 27 (healthcare), and 29 (education) and has its roots in section 9 of the </w:t>
      </w:r>
      <w:r w:rsidRPr="009F38E3">
        <w:rPr>
          <w:rFonts w:ascii="Arial" w:hAnsi="Arial" w:cs="Arial"/>
          <w:i/>
          <w:iCs/>
          <w:sz w:val="24"/>
          <w:szCs w:val="24"/>
        </w:rPr>
        <w:t>Constitution</w:t>
      </w:r>
      <w:r w:rsidRPr="009F38E3">
        <w:rPr>
          <w:rFonts w:ascii="Arial" w:hAnsi="Arial" w:cs="Arial"/>
          <w:sz w:val="24"/>
          <w:szCs w:val="24"/>
        </w:rPr>
        <w:t xml:space="preserve">. </w:t>
      </w:r>
      <w:proofErr w:type="gramStart"/>
      <w:r w:rsidRPr="009F38E3">
        <w:rPr>
          <w:rFonts w:ascii="Arial" w:hAnsi="Arial" w:cs="Arial"/>
          <w:sz w:val="24"/>
          <w:szCs w:val="24"/>
        </w:rPr>
        <w:t>In actuality, this</w:t>
      </w:r>
      <w:proofErr w:type="gramEnd"/>
      <w:r w:rsidRPr="009F38E3">
        <w:rPr>
          <w:rFonts w:ascii="Arial" w:hAnsi="Arial" w:cs="Arial"/>
          <w:sz w:val="24"/>
          <w:szCs w:val="24"/>
        </w:rPr>
        <w:t xml:space="preserve"> type of equality entails taking down obstacles that keep underprivileged people from fully engaging in society, whether in the areas of employment, education, or public service access. For example, affirmative action policies backed up by judgments such as </w:t>
      </w:r>
      <w:r w:rsidRPr="009F38E3">
        <w:rPr>
          <w:rFonts w:ascii="Arial" w:hAnsi="Arial" w:cs="Arial"/>
          <w:i/>
          <w:iCs/>
          <w:sz w:val="24"/>
          <w:szCs w:val="24"/>
        </w:rPr>
        <w:t>Minister of Finance v Van Heerden</w:t>
      </w:r>
      <w:r w:rsidRPr="009F38E3">
        <w:rPr>
          <w:rFonts w:ascii="Arial" w:hAnsi="Arial" w:cs="Arial"/>
          <w:i/>
          <w:iCs/>
          <w:sz w:val="24"/>
          <w:szCs w:val="24"/>
          <w:vertAlign w:val="superscript"/>
        </w:rPr>
        <w:footnoteReference w:id="150"/>
      </w:r>
      <w:r w:rsidRPr="009F38E3">
        <w:rPr>
          <w:rFonts w:ascii="Arial" w:hAnsi="Arial" w:cs="Arial"/>
          <w:sz w:val="24"/>
          <w:szCs w:val="24"/>
        </w:rPr>
        <w:t xml:space="preserve"> are intended to level the playing field by correcting the systemic disadvantages that historically underprivileged groups endured. These actions are corrective rather than punitive toward privileged groups, with the goal of establishing fair structures that encourage inclusive involvement</w:t>
      </w:r>
      <w:r w:rsidR="00EF67B5" w:rsidRPr="009F38E3">
        <w:rPr>
          <w:rFonts w:ascii="Arial" w:hAnsi="Arial" w:cs="Arial"/>
          <w:sz w:val="24"/>
          <w:szCs w:val="24"/>
        </w:rPr>
        <w:t xml:space="preserve"> and being able to make use of opportunities</w:t>
      </w:r>
      <w:r w:rsidRPr="009F38E3">
        <w:rPr>
          <w:rFonts w:ascii="Arial" w:hAnsi="Arial" w:cs="Arial"/>
          <w:sz w:val="24"/>
          <w:szCs w:val="24"/>
        </w:rPr>
        <w:t>.</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The focus on opportunity as a constitutional promise reflects the state's responsibility to create the conditions necessary for equitable treatment, as opposed to presuming that equality will emerge once legal inequalities are eliminated.</w:t>
      </w:r>
    </w:p>
    <w:p w14:paraId="6F46460F" w14:textId="5639BC70" w:rsidR="00DD7122" w:rsidRPr="009F38E3" w:rsidRDefault="00F61E8A" w:rsidP="002F1691">
      <w:pPr>
        <w:pStyle w:val="Heading2"/>
        <w:ind w:left="360"/>
      </w:pPr>
      <w:bookmarkStart w:id="108" w:name="_Toc189739298"/>
      <w:r>
        <w:t>2.4.1</w:t>
      </w:r>
      <w:r w:rsidR="00DD7122" w:rsidRPr="009F38E3">
        <w:t>.3 Equality in dignity</w:t>
      </w:r>
      <w:bookmarkEnd w:id="108"/>
    </w:p>
    <w:p w14:paraId="75FAA9FA" w14:textId="56203E00"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Dignity and equality are inextricably linked since they are both fundamental principles of the </w:t>
      </w:r>
      <w:r w:rsidRPr="009F38E3">
        <w:rPr>
          <w:rFonts w:ascii="Arial" w:hAnsi="Arial" w:cs="Arial"/>
          <w:i/>
          <w:iCs/>
          <w:sz w:val="24"/>
          <w:szCs w:val="24"/>
        </w:rPr>
        <w:t>Constitution</w:t>
      </w:r>
      <w:r w:rsidRPr="009F38E3">
        <w:rPr>
          <w:rFonts w:ascii="Arial" w:hAnsi="Arial" w:cs="Arial"/>
          <w:sz w:val="24"/>
          <w:szCs w:val="24"/>
        </w:rPr>
        <w:t xml:space="preserve">. The right to dignity is protected by section 10, and the constitutional court in </w:t>
      </w:r>
      <w:r w:rsidRPr="009F38E3">
        <w:rPr>
          <w:rFonts w:ascii="Arial" w:hAnsi="Arial" w:cs="Arial"/>
          <w:i/>
          <w:iCs/>
          <w:sz w:val="24"/>
          <w:szCs w:val="24"/>
        </w:rPr>
        <w:t>Harksen</w:t>
      </w:r>
      <w:r w:rsidR="000E7785">
        <w:rPr>
          <w:rFonts w:ascii="Arial" w:hAnsi="Arial" w:cs="Arial"/>
          <w:i/>
          <w:iCs/>
          <w:sz w:val="24"/>
          <w:szCs w:val="24"/>
        </w:rPr>
        <w:t xml:space="preserve"> </w:t>
      </w:r>
      <w:r w:rsidR="00717506" w:rsidRPr="009F38E3">
        <w:rPr>
          <w:rFonts w:ascii="Arial" w:hAnsi="Arial" w:cs="Arial"/>
          <w:i/>
          <w:iCs/>
          <w:sz w:val="24"/>
          <w:szCs w:val="24"/>
        </w:rPr>
        <w:t>v</w:t>
      </w:r>
      <w:r w:rsidRPr="009F38E3">
        <w:rPr>
          <w:rFonts w:ascii="Arial" w:hAnsi="Arial" w:cs="Arial"/>
          <w:i/>
          <w:iCs/>
          <w:sz w:val="24"/>
          <w:szCs w:val="24"/>
        </w:rPr>
        <w:t xml:space="preserve"> Lane</w:t>
      </w:r>
      <w:r w:rsidRPr="009F38E3">
        <w:rPr>
          <w:rFonts w:ascii="Arial" w:hAnsi="Arial" w:cs="Arial"/>
          <w:i/>
          <w:iCs/>
          <w:sz w:val="24"/>
          <w:szCs w:val="24"/>
          <w:vertAlign w:val="superscript"/>
        </w:rPr>
        <w:footnoteReference w:id="151"/>
      </w:r>
      <w:r w:rsidRPr="009F38E3">
        <w:rPr>
          <w:rFonts w:ascii="Arial" w:hAnsi="Arial" w:cs="Arial"/>
          <w:sz w:val="24"/>
          <w:szCs w:val="24"/>
        </w:rPr>
        <w:t xml:space="preserve"> underlined that equality has significance when it is linked to human dignity. When discrimination diminishes people or groups, it perpetuates stigma and exclusion, consequently, undermining dignity. This justification underscores the </w:t>
      </w:r>
      <w:r w:rsidRPr="009F38E3">
        <w:rPr>
          <w:rFonts w:ascii="Arial" w:hAnsi="Arial" w:cs="Arial"/>
          <w:i/>
          <w:iCs/>
          <w:sz w:val="24"/>
          <w:szCs w:val="24"/>
        </w:rPr>
        <w:t>Constitution</w:t>
      </w:r>
      <w:r w:rsidRPr="009F38E3">
        <w:rPr>
          <w:rFonts w:ascii="Arial" w:hAnsi="Arial" w:cs="Arial"/>
          <w:sz w:val="24"/>
          <w:szCs w:val="24"/>
        </w:rPr>
        <w:t xml:space="preserve">'s understanding that oppressive historical tendencies frequently target the intrinsic value of oppressed populations. In </w:t>
      </w:r>
      <w:r w:rsidRPr="009F38E3">
        <w:rPr>
          <w:rFonts w:ascii="Arial" w:hAnsi="Arial" w:cs="Arial"/>
          <w:i/>
          <w:iCs/>
          <w:sz w:val="24"/>
          <w:szCs w:val="24"/>
        </w:rPr>
        <w:t>National Coalition for Gay and Lesbian Equality</w:t>
      </w:r>
      <w:r w:rsidR="004B11DB" w:rsidRPr="009F38E3">
        <w:rPr>
          <w:rFonts w:ascii="Arial" w:hAnsi="Arial" w:cs="Arial"/>
          <w:i/>
          <w:iCs/>
          <w:sz w:val="24"/>
          <w:szCs w:val="24"/>
        </w:rPr>
        <w:t xml:space="preserve"> </w:t>
      </w:r>
      <w:r w:rsidR="00717506" w:rsidRPr="009F38E3">
        <w:rPr>
          <w:rFonts w:ascii="Arial" w:hAnsi="Arial" w:cs="Arial"/>
          <w:i/>
          <w:iCs/>
          <w:sz w:val="24"/>
          <w:szCs w:val="24"/>
        </w:rPr>
        <w:t>v</w:t>
      </w:r>
      <w:r w:rsidRPr="009F38E3">
        <w:rPr>
          <w:rFonts w:ascii="Arial" w:hAnsi="Arial" w:cs="Arial"/>
          <w:i/>
          <w:iCs/>
          <w:sz w:val="24"/>
          <w:szCs w:val="24"/>
        </w:rPr>
        <w:t xml:space="preserve"> Minister of Justice</w:t>
      </w:r>
      <w:r w:rsidRPr="009F38E3">
        <w:rPr>
          <w:rFonts w:ascii="Arial" w:hAnsi="Arial" w:cs="Arial"/>
          <w:sz w:val="24"/>
          <w:szCs w:val="24"/>
        </w:rPr>
        <w:t>,</w:t>
      </w:r>
      <w:r w:rsidRPr="009F38E3">
        <w:rPr>
          <w:rFonts w:ascii="Arial" w:hAnsi="Arial" w:cs="Arial"/>
          <w:sz w:val="24"/>
          <w:szCs w:val="24"/>
          <w:vertAlign w:val="superscript"/>
        </w:rPr>
        <w:footnoteReference w:id="152"/>
      </w:r>
      <w:r w:rsidRPr="009F38E3">
        <w:rPr>
          <w:rFonts w:ascii="Arial" w:hAnsi="Arial" w:cs="Arial"/>
          <w:sz w:val="24"/>
          <w:szCs w:val="24"/>
        </w:rPr>
        <w:t xml:space="preserve"> the connection between equality and dignity was further explored. The court determined that laws that criminalized same-sex partnerships were unconstitutional because they perpetuated discrimination and exclusion, which diminished the dignity of those who identify as LGBTQ+. The </w:t>
      </w:r>
      <w:r w:rsidRPr="009F38E3">
        <w:rPr>
          <w:rFonts w:ascii="Arial" w:hAnsi="Arial" w:cs="Arial"/>
          <w:sz w:val="24"/>
          <w:szCs w:val="24"/>
        </w:rPr>
        <w:lastRenderedPageBreak/>
        <w:t>court's decision emphasized that equality is a dedication to preserving each person's inherent value rather than a mechanical application of the law.</w:t>
      </w:r>
    </w:p>
    <w:p w14:paraId="2C57D7D4" w14:textId="6FFA4779" w:rsidR="00DD7122" w:rsidRPr="009F38E3" w:rsidRDefault="00F61E8A" w:rsidP="002F1691">
      <w:pPr>
        <w:pStyle w:val="Heading2"/>
        <w:ind w:left="360"/>
      </w:pPr>
      <w:bookmarkStart w:id="109" w:name="_Toc189739299"/>
      <w:r>
        <w:t>2.4.1</w:t>
      </w:r>
      <w:r w:rsidR="00DD7122" w:rsidRPr="009F38E3">
        <w:t xml:space="preserve">.4 Equality </w:t>
      </w:r>
      <w:r w:rsidR="004B11DB" w:rsidRPr="009F38E3">
        <w:t>of</w:t>
      </w:r>
      <w:r w:rsidR="00DD7122" w:rsidRPr="009F38E3">
        <w:t xml:space="preserve"> outcome</w:t>
      </w:r>
      <w:bookmarkEnd w:id="109"/>
    </w:p>
    <w:p w14:paraId="40FFAB2B" w14:textId="29E9A336" w:rsidR="00DD7122" w:rsidRPr="009F38E3" w:rsidRDefault="00DD7122" w:rsidP="00DD7122">
      <w:pPr>
        <w:spacing w:line="360" w:lineRule="auto"/>
        <w:jc w:val="both"/>
        <w:rPr>
          <w:rFonts w:ascii="Arial" w:hAnsi="Arial" w:cs="Arial"/>
          <w:sz w:val="24"/>
          <w:szCs w:val="24"/>
        </w:rPr>
      </w:pPr>
      <w:proofErr w:type="gramStart"/>
      <w:r w:rsidRPr="009F38E3">
        <w:rPr>
          <w:rFonts w:ascii="Arial" w:hAnsi="Arial" w:cs="Arial"/>
          <w:sz w:val="24"/>
          <w:szCs w:val="24"/>
        </w:rPr>
        <w:t>In order to</w:t>
      </w:r>
      <w:proofErr w:type="gramEnd"/>
      <w:r w:rsidRPr="009F38E3">
        <w:rPr>
          <w:rFonts w:ascii="Arial" w:hAnsi="Arial" w:cs="Arial"/>
          <w:sz w:val="24"/>
          <w:szCs w:val="24"/>
        </w:rPr>
        <w:t xml:space="preserve"> fulfil the </w:t>
      </w:r>
      <w:r w:rsidRPr="009F38E3">
        <w:rPr>
          <w:rFonts w:ascii="Arial" w:hAnsi="Arial" w:cs="Arial"/>
          <w:i/>
          <w:iCs/>
          <w:sz w:val="24"/>
          <w:szCs w:val="24"/>
        </w:rPr>
        <w:t>Constitution</w:t>
      </w:r>
      <w:r w:rsidRPr="009F38E3">
        <w:rPr>
          <w:rFonts w:ascii="Arial" w:hAnsi="Arial" w:cs="Arial"/>
          <w:sz w:val="24"/>
          <w:szCs w:val="24"/>
        </w:rPr>
        <w:t xml:space="preserve">'s transformative goals, equality of outcomes aims to guarantee that historically underprivileged groups attain equilibrium in socioeconomic scenarios. The concept of equal treatment is closely related to substantive equality, which acknowledges that formal equality is insufficient to eliminate ingrained inequalities and systemic discrimination. As maintained in </w:t>
      </w:r>
      <w:r w:rsidRPr="009F38E3">
        <w:rPr>
          <w:rFonts w:ascii="Arial" w:hAnsi="Arial" w:cs="Arial"/>
          <w:i/>
          <w:iCs/>
          <w:sz w:val="24"/>
          <w:szCs w:val="24"/>
        </w:rPr>
        <w:t>Van Heerden</w:t>
      </w:r>
      <w:r w:rsidRPr="009F38E3">
        <w:rPr>
          <w:rFonts w:ascii="Arial" w:hAnsi="Arial" w:cs="Arial"/>
          <w:sz w:val="24"/>
          <w:szCs w:val="24"/>
        </w:rPr>
        <w:t>,</w:t>
      </w:r>
      <w:r w:rsidRPr="009F38E3">
        <w:rPr>
          <w:rFonts w:ascii="Arial" w:hAnsi="Arial" w:cs="Arial"/>
          <w:sz w:val="24"/>
          <w:szCs w:val="24"/>
          <w:vertAlign w:val="superscript"/>
        </w:rPr>
        <w:footnoteReference w:id="153"/>
      </w:r>
      <w:r w:rsidRPr="009F38E3">
        <w:rPr>
          <w:rFonts w:ascii="Arial" w:hAnsi="Arial" w:cs="Arial"/>
          <w:sz w:val="24"/>
          <w:szCs w:val="24"/>
        </w:rPr>
        <w:t xml:space="preserve"> affirmative action policies seek to level the playing field by redressing historical and ongoing injustices. According to the court, these policies are constitutional </w:t>
      </w:r>
      <w:proofErr w:type="gramStart"/>
      <w:r w:rsidRPr="009F38E3">
        <w:rPr>
          <w:rFonts w:ascii="Arial" w:hAnsi="Arial" w:cs="Arial"/>
          <w:sz w:val="24"/>
          <w:szCs w:val="24"/>
        </w:rPr>
        <w:t>as long as</w:t>
      </w:r>
      <w:proofErr w:type="gramEnd"/>
      <w:r w:rsidRPr="009F38E3">
        <w:rPr>
          <w:rFonts w:ascii="Arial" w:hAnsi="Arial" w:cs="Arial"/>
          <w:sz w:val="24"/>
          <w:szCs w:val="24"/>
        </w:rPr>
        <w:t xml:space="preserve"> they address marginalized groups, are intended to promote equality, and advance substantive equality rather than establishing new disparities. In issues involving socio-economic rights, the search for equitable results is especially prominent. </w:t>
      </w:r>
      <w:r w:rsidR="004B11DB" w:rsidRPr="009F38E3">
        <w:rPr>
          <w:rFonts w:ascii="Arial" w:hAnsi="Arial" w:cs="Arial"/>
          <w:sz w:val="24"/>
          <w:szCs w:val="24"/>
        </w:rPr>
        <w:t xml:space="preserve">In </w:t>
      </w:r>
      <w:r w:rsidRPr="009F38E3">
        <w:rPr>
          <w:rFonts w:ascii="Arial" w:hAnsi="Arial" w:cs="Arial"/>
          <w:i/>
          <w:iCs/>
          <w:sz w:val="24"/>
          <w:szCs w:val="24"/>
        </w:rPr>
        <w:t>Grootboom</w:t>
      </w:r>
      <w:r w:rsidR="004B11DB" w:rsidRPr="009F38E3">
        <w:rPr>
          <w:rFonts w:ascii="Arial" w:hAnsi="Arial" w:cs="Arial"/>
          <w:i/>
          <w:iCs/>
          <w:sz w:val="24"/>
          <w:szCs w:val="24"/>
        </w:rPr>
        <w:t xml:space="preserve"> </w:t>
      </w:r>
      <w:r w:rsidR="00717506" w:rsidRPr="009F38E3">
        <w:rPr>
          <w:rFonts w:ascii="Arial" w:hAnsi="Arial" w:cs="Arial"/>
          <w:i/>
          <w:iCs/>
          <w:sz w:val="24"/>
          <w:szCs w:val="24"/>
        </w:rPr>
        <w:t>v</w:t>
      </w:r>
      <w:r w:rsidRPr="009F38E3">
        <w:rPr>
          <w:rFonts w:ascii="Arial" w:hAnsi="Arial" w:cs="Arial"/>
          <w:i/>
          <w:iCs/>
          <w:sz w:val="24"/>
          <w:szCs w:val="24"/>
        </w:rPr>
        <w:t xml:space="preserve"> Government of the Republic of South Africa</w:t>
      </w:r>
      <w:r w:rsidR="004B11DB" w:rsidRPr="009F38E3">
        <w:rPr>
          <w:rFonts w:ascii="Arial" w:hAnsi="Arial" w:cs="Arial"/>
          <w:i/>
          <w:iCs/>
          <w:sz w:val="24"/>
          <w:szCs w:val="24"/>
        </w:rPr>
        <w:t>,</w:t>
      </w:r>
      <w:r w:rsidRPr="009F38E3">
        <w:rPr>
          <w:rFonts w:ascii="Arial" w:hAnsi="Arial" w:cs="Arial"/>
          <w:i/>
          <w:iCs/>
          <w:sz w:val="24"/>
          <w:szCs w:val="24"/>
          <w:vertAlign w:val="superscript"/>
        </w:rPr>
        <w:footnoteReference w:id="154"/>
      </w:r>
      <w:r w:rsidRPr="009F38E3">
        <w:rPr>
          <w:rFonts w:ascii="Arial" w:hAnsi="Arial" w:cs="Arial"/>
          <w:sz w:val="24"/>
          <w:szCs w:val="24"/>
        </w:rPr>
        <w:t xml:space="preserve"> </w:t>
      </w:r>
      <w:r w:rsidR="004B11DB" w:rsidRPr="009F38E3">
        <w:rPr>
          <w:rFonts w:ascii="Arial" w:hAnsi="Arial" w:cs="Arial"/>
          <w:sz w:val="24"/>
          <w:szCs w:val="24"/>
        </w:rPr>
        <w:t xml:space="preserve">the court emphasized </w:t>
      </w:r>
      <w:r w:rsidRPr="009F38E3">
        <w:rPr>
          <w:rFonts w:ascii="Arial" w:hAnsi="Arial" w:cs="Arial"/>
          <w:sz w:val="24"/>
          <w:szCs w:val="24"/>
        </w:rPr>
        <w:t xml:space="preserve">that the state must take reasonable measures to guarantee the progressive realization of housing rights for everyone, with an emphasis on underprivileged groups. This ruling demonstrated that equality of outcomes is not only a goal but also a legal obligation, necessitating proactive steps from the state to guarantee that social injustices are addressed. The </w:t>
      </w:r>
      <w:r w:rsidRPr="009F38E3">
        <w:rPr>
          <w:rFonts w:ascii="Arial" w:hAnsi="Arial" w:cs="Arial"/>
          <w:i/>
          <w:iCs/>
          <w:sz w:val="24"/>
          <w:szCs w:val="24"/>
        </w:rPr>
        <w:t>Constitution</w:t>
      </w:r>
      <w:r w:rsidRPr="009F38E3">
        <w:rPr>
          <w:rFonts w:ascii="Arial" w:hAnsi="Arial" w:cs="Arial"/>
          <w:sz w:val="24"/>
          <w:szCs w:val="24"/>
        </w:rPr>
        <w:t xml:space="preserve"> goes beyond idealistic concepts by ensuring equality of results, integrating social justice and equity into the very structure of government.</w:t>
      </w:r>
    </w:p>
    <w:p w14:paraId="2E501641" w14:textId="4384594E"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Therefore, affirmative action serves as a constitutional obligation in South Africa, where the legacy of apartheid has resulted in persistent racial, social, and economic disparities, with the goal of attaining </w:t>
      </w:r>
      <w:r w:rsidR="004B11DB" w:rsidRPr="009F38E3">
        <w:rPr>
          <w:rFonts w:ascii="Arial" w:hAnsi="Arial" w:cs="Arial"/>
          <w:sz w:val="24"/>
          <w:szCs w:val="24"/>
        </w:rPr>
        <w:t xml:space="preserve">a </w:t>
      </w:r>
      <w:r w:rsidRPr="009F38E3">
        <w:rPr>
          <w:rFonts w:ascii="Arial" w:hAnsi="Arial" w:cs="Arial"/>
          <w:sz w:val="24"/>
          <w:szCs w:val="24"/>
        </w:rPr>
        <w:t xml:space="preserve">fair outcome for all residents. Affirmative action policies are supported by South Africa's distinctive legislative structure, especially section 9(2) of the </w:t>
      </w:r>
      <w:r w:rsidRPr="009F38E3">
        <w:rPr>
          <w:rFonts w:ascii="Arial" w:hAnsi="Arial" w:cs="Arial"/>
          <w:i/>
          <w:iCs/>
          <w:sz w:val="24"/>
          <w:szCs w:val="24"/>
        </w:rPr>
        <w:t>Constitution</w:t>
      </w:r>
      <w:r w:rsidRPr="009F38E3">
        <w:rPr>
          <w:rFonts w:ascii="Arial" w:hAnsi="Arial" w:cs="Arial"/>
          <w:sz w:val="24"/>
          <w:szCs w:val="24"/>
        </w:rPr>
        <w:t>, which aims to address historical injustices and advance substantive equality. Affirmative action policies must be seen as a necessary part of equality rather than as an exception to it.</w:t>
      </w:r>
    </w:p>
    <w:p w14:paraId="51728D22" w14:textId="6222BC9B" w:rsidR="00DD7122" w:rsidRPr="009F38E3" w:rsidRDefault="00F61E8A" w:rsidP="002F1691">
      <w:pPr>
        <w:pStyle w:val="Heading1"/>
      </w:pPr>
      <w:bookmarkStart w:id="111" w:name="_Toc189739300"/>
      <w:r>
        <w:lastRenderedPageBreak/>
        <w:t>2.5</w:t>
      </w:r>
      <w:r w:rsidR="00DD7122" w:rsidRPr="009F38E3">
        <w:t xml:space="preserve"> Defining formal equality</w:t>
      </w:r>
      <w:bookmarkEnd w:id="111"/>
    </w:p>
    <w:p w14:paraId="329D432B" w14:textId="59CBE013"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Formal equality, generally translated as "equality before the law," is </w:t>
      </w:r>
      <w:r w:rsidR="004B11DB" w:rsidRPr="009F38E3">
        <w:rPr>
          <w:rFonts w:ascii="Arial" w:hAnsi="Arial" w:cs="Arial"/>
          <w:sz w:val="24"/>
          <w:szCs w:val="24"/>
        </w:rPr>
        <w:t>a</w:t>
      </w:r>
      <w:r w:rsidRPr="009F38E3">
        <w:rPr>
          <w:rFonts w:ascii="Arial" w:hAnsi="Arial" w:cs="Arial"/>
          <w:sz w:val="24"/>
          <w:szCs w:val="24"/>
        </w:rPr>
        <w:t xml:space="preserve"> concept </w:t>
      </w:r>
      <w:r w:rsidR="004B11DB" w:rsidRPr="009F38E3">
        <w:rPr>
          <w:rFonts w:ascii="Arial" w:hAnsi="Arial" w:cs="Arial"/>
          <w:sz w:val="24"/>
          <w:szCs w:val="24"/>
        </w:rPr>
        <w:t xml:space="preserve">indicating </w:t>
      </w:r>
      <w:r w:rsidRPr="009F38E3">
        <w:rPr>
          <w:rFonts w:ascii="Arial" w:hAnsi="Arial" w:cs="Arial"/>
          <w:sz w:val="24"/>
          <w:szCs w:val="24"/>
        </w:rPr>
        <w:t>that everyone should be treated equally in situations that are comparable</w:t>
      </w:r>
      <w:r w:rsidR="004B11DB" w:rsidRPr="009F38E3">
        <w:rPr>
          <w:rFonts w:ascii="Arial" w:hAnsi="Arial" w:cs="Arial"/>
          <w:sz w:val="24"/>
          <w:szCs w:val="24"/>
        </w:rPr>
        <w:t xml:space="preserve"> and</w:t>
      </w:r>
      <w:r w:rsidRPr="009F38E3">
        <w:rPr>
          <w:rFonts w:ascii="Arial" w:hAnsi="Arial" w:cs="Arial"/>
          <w:sz w:val="24"/>
          <w:szCs w:val="24"/>
        </w:rPr>
        <w:t xml:space="preserve"> free from prejudice and improper preference.</w:t>
      </w:r>
      <w:r w:rsidRPr="009F38E3">
        <w:rPr>
          <w:rFonts w:ascii="Arial" w:hAnsi="Arial" w:cs="Arial"/>
          <w:sz w:val="24"/>
          <w:szCs w:val="24"/>
          <w:vertAlign w:val="superscript"/>
        </w:rPr>
        <w:footnoteReference w:id="155"/>
      </w:r>
      <w:r w:rsidRPr="009F38E3">
        <w:rPr>
          <w:rFonts w:ascii="Arial" w:hAnsi="Arial" w:cs="Arial"/>
          <w:sz w:val="24"/>
          <w:szCs w:val="24"/>
        </w:rPr>
        <w:t xml:space="preserve"> This perspective, which emphasizes impartiality and the consistent implementation of laws, has its roots in the liberal tradition of equality. According to section 9(1) of the </w:t>
      </w:r>
      <w:r w:rsidRPr="009F38E3">
        <w:rPr>
          <w:rFonts w:ascii="Arial" w:hAnsi="Arial" w:cs="Arial"/>
          <w:i/>
          <w:iCs/>
          <w:sz w:val="24"/>
          <w:szCs w:val="24"/>
        </w:rPr>
        <w:t>Constitution</w:t>
      </w:r>
      <w:r w:rsidRPr="009F38E3">
        <w:rPr>
          <w:rFonts w:ascii="Arial" w:hAnsi="Arial" w:cs="Arial"/>
          <w:sz w:val="24"/>
          <w:szCs w:val="24"/>
        </w:rPr>
        <w:t>, "everyone is equal before the law and has the right to equal protection and benefit of the law" and as such formal equality seems to be in line with the constitutional obligation. It considers inequality to be a phenomenon that can be eliminated by treating everyone equally and draws an inference that everyone is an equal holder of rights.</w:t>
      </w:r>
      <w:r w:rsidRPr="009F38E3">
        <w:rPr>
          <w:rFonts w:ascii="Arial" w:hAnsi="Arial" w:cs="Arial"/>
          <w:sz w:val="24"/>
          <w:szCs w:val="24"/>
          <w:vertAlign w:val="superscript"/>
        </w:rPr>
        <w:footnoteReference w:id="156"/>
      </w:r>
      <w:r w:rsidRPr="009F38E3">
        <w:rPr>
          <w:rFonts w:ascii="Arial" w:hAnsi="Arial" w:cs="Arial"/>
          <w:sz w:val="24"/>
          <w:szCs w:val="24"/>
        </w:rPr>
        <w:t xml:space="preserve"> Consequently, formal equality bypasses systemic disparities. Real social and economic discrepancies between individuals are disregarded, and norms that seem unbiased are </w:t>
      </w:r>
      <w:proofErr w:type="gramStart"/>
      <w:r w:rsidRPr="009F38E3">
        <w:rPr>
          <w:rFonts w:ascii="Arial" w:hAnsi="Arial" w:cs="Arial"/>
          <w:sz w:val="24"/>
          <w:szCs w:val="24"/>
        </w:rPr>
        <w:t>actually driven</w:t>
      </w:r>
      <w:proofErr w:type="gramEnd"/>
      <w:r w:rsidRPr="009F38E3">
        <w:rPr>
          <w:rFonts w:ascii="Arial" w:hAnsi="Arial" w:cs="Arial"/>
          <w:sz w:val="24"/>
          <w:szCs w:val="24"/>
        </w:rPr>
        <w:t xml:space="preserve"> by a series of specific requirements and standards held by leading or historically elite groups.</w:t>
      </w:r>
      <w:r w:rsidRPr="009F38E3">
        <w:rPr>
          <w:rFonts w:ascii="Arial" w:hAnsi="Arial" w:cs="Arial"/>
          <w:sz w:val="24"/>
          <w:szCs w:val="24"/>
          <w:vertAlign w:val="superscript"/>
        </w:rPr>
        <w:footnoteReference w:id="157"/>
      </w:r>
    </w:p>
    <w:p w14:paraId="56269F16" w14:textId="1406957D"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By ignoring the differences that already exist in society and </w:t>
      </w:r>
      <w:r w:rsidR="00C64BE2" w:rsidRPr="009F38E3">
        <w:rPr>
          <w:rFonts w:ascii="Arial" w:hAnsi="Arial" w:cs="Arial"/>
          <w:sz w:val="24"/>
          <w:szCs w:val="24"/>
        </w:rPr>
        <w:t xml:space="preserve">by rather </w:t>
      </w:r>
      <w:r w:rsidRPr="009F38E3">
        <w:rPr>
          <w:rFonts w:ascii="Arial" w:hAnsi="Arial" w:cs="Arial"/>
          <w:sz w:val="24"/>
          <w:szCs w:val="24"/>
        </w:rPr>
        <w:t>concentrating on the demands of dominant groups, formal equality might inadvertently exacerbate inequality.</w:t>
      </w:r>
      <w:r w:rsidRPr="009F38E3">
        <w:rPr>
          <w:rFonts w:ascii="Arial" w:hAnsi="Arial" w:cs="Arial"/>
          <w:sz w:val="24"/>
          <w:szCs w:val="24"/>
          <w:vertAlign w:val="superscript"/>
        </w:rPr>
        <w:footnoteReference w:id="158"/>
      </w:r>
      <w:r w:rsidRPr="009F38E3">
        <w:rPr>
          <w:rFonts w:ascii="Arial" w:hAnsi="Arial" w:cs="Arial"/>
          <w:sz w:val="24"/>
          <w:szCs w:val="24"/>
        </w:rPr>
        <w:t xml:space="preserve"> Based on the viewpoints of those whose circumstances are historically privileged, this strategy treats everyone equally, ignoring the systemic disadvantages that those without opportunity </w:t>
      </w:r>
      <w:proofErr w:type="gramStart"/>
      <w:r w:rsidRPr="009F38E3">
        <w:rPr>
          <w:rFonts w:ascii="Arial" w:hAnsi="Arial" w:cs="Arial"/>
          <w:sz w:val="24"/>
          <w:szCs w:val="24"/>
        </w:rPr>
        <w:t>have to</w:t>
      </w:r>
      <w:proofErr w:type="gramEnd"/>
      <w:r w:rsidRPr="009F38E3">
        <w:rPr>
          <w:rFonts w:ascii="Arial" w:hAnsi="Arial" w:cs="Arial"/>
          <w:sz w:val="24"/>
          <w:szCs w:val="24"/>
        </w:rPr>
        <w:t xml:space="preserve"> face. This viewpoint</w:t>
      </w:r>
      <w:r w:rsidR="00C64BE2" w:rsidRPr="009F38E3">
        <w:rPr>
          <w:rFonts w:ascii="Arial" w:hAnsi="Arial" w:cs="Arial"/>
          <w:sz w:val="24"/>
          <w:szCs w:val="24"/>
        </w:rPr>
        <w:t xml:space="preserve">, </w:t>
      </w:r>
      <w:r w:rsidRPr="009F38E3">
        <w:rPr>
          <w:rFonts w:ascii="Arial" w:hAnsi="Arial" w:cs="Arial"/>
          <w:sz w:val="24"/>
          <w:szCs w:val="24"/>
        </w:rPr>
        <w:t>therefore</w:t>
      </w:r>
      <w:r w:rsidR="00C64BE2" w:rsidRPr="009F38E3">
        <w:rPr>
          <w:rFonts w:ascii="Arial" w:hAnsi="Arial" w:cs="Arial"/>
          <w:sz w:val="24"/>
          <w:szCs w:val="24"/>
        </w:rPr>
        <w:t>,</w:t>
      </w:r>
      <w:r w:rsidRPr="009F38E3">
        <w:rPr>
          <w:rFonts w:ascii="Arial" w:hAnsi="Arial" w:cs="Arial"/>
          <w:sz w:val="24"/>
          <w:szCs w:val="24"/>
        </w:rPr>
        <w:t xml:space="preserve"> falls short in recognizing or resolving disparities, let alone effectively defending and advancing equality.</w:t>
      </w:r>
      <w:r w:rsidRPr="009F38E3">
        <w:rPr>
          <w:rFonts w:ascii="Arial" w:hAnsi="Arial" w:cs="Arial"/>
          <w:sz w:val="24"/>
          <w:szCs w:val="24"/>
          <w:vertAlign w:val="superscript"/>
        </w:rPr>
        <w:footnoteReference w:id="159"/>
      </w:r>
      <w:r w:rsidRPr="009F38E3">
        <w:rPr>
          <w:rFonts w:ascii="Arial" w:hAnsi="Arial" w:cs="Arial"/>
          <w:sz w:val="24"/>
          <w:szCs w:val="24"/>
        </w:rPr>
        <w:t xml:space="preserve"> Additionally, formal equality ignores the fact that organizations and systems of society commonly conceal inbuilt prejudices that marginalize people without financial, educational, or social power privileges while favouring those who do.</w:t>
      </w:r>
      <w:r w:rsidRPr="009F38E3">
        <w:rPr>
          <w:rFonts w:ascii="Arial" w:hAnsi="Arial" w:cs="Arial"/>
          <w:sz w:val="24"/>
          <w:szCs w:val="24"/>
          <w:vertAlign w:val="superscript"/>
        </w:rPr>
        <w:footnoteReference w:id="160"/>
      </w:r>
    </w:p>
    <w:p w14:paraId="22B2005C" w14:textId="5BA190DC"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Formal equality is an idealistic goal as opposed to a feasible means of attaining justice since it cannot eliminate deeply ingrained discriminatory conduct. It regularly disputes the validity of affirmative action on the grounds of ethical objections and does not support proactive steps towards eliminating inequality.</w:t>
      </w:r>
      <w:r w:rsidRPr="009F38E3">
        <w:rPr>
          <w:rFonts w:ascii="Arial" w:hAnsi="Arial" w:cs="Arial"/>
          <w:sz w:val="24"/>
          <w:szCs w:val="24"/>
          <w:vertAlign w:val="superscript"/>
        </w:rPr>
        <w:footnoteReference w:id="161"/>
      </w:r>
      <w:r w:rsidRPr="009F38E3">
        <w:rPr>
          <w:rFonts w:ascii="Arial" w:hAnsi="Arial" w:cs="Arial"/>
          <w:sz w:val="24"/>
          <w:szCs w:val="24"/>
        </w:rPr>
        <w:t xml:space="preserve"> By ignoring the necessity of intentional engagement to address structural deficiencies, this complacent approach </w:t>
      </w:r>
      <w:r w:rsidRPr="009F38E3">
        <w:rPr>
          <w:rFonts w:ascii="Arial" w:hAnsi="Arial" w:cs="Arial"/>
          <w:sz w:val="24"/>
          <w:szCs w:val="24"/>
        </w:rPr>
        <w:lastRenderedPageBreak/>
        <w:t>ignores the underlying causes of inequality and lengthens periods of inequality and marginalization.</w:t>
      </w:r>
      <w:r w:rsidRPr="009F38E3">
        <w:rPr>
          <w:rFonts w:ascii="Arial" w:hAnsi="Arial" w:cs="Arial"/>
          <w:sz w:val="24"/>
          <w:szCs w:val="24"/>
          <w:vertAlign w:val="superscript"/>
        </w:rPr>
        <w:footnoteReference w:id="162"/>
      </w:r>
    </w:p>
    <w:p w14:paraId="0EB27EC9"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The core idea and value of diversity are undermined when conformity is emphasized.</w:t>
      </w:r>
      <w:r w:rsidRPr="009F38E3">
        <w:rPr>
          <w:rFonts w:ascii="Arial" w:hAnsi="Arial" w:cs="Arial"/>
          <w:sz w:val="24"/>
          <w:szCs w:val="24"/>
          <w:vertAlign w:val="superscript"/>
        </w:rPr>
        <w:footnoteReference w:id="163"/>
      </w:r>
      <w:r w:rsidRPr="009F38E3">
        <w:rPr>
          <w:rFonts w:ascii="Arial" w:hAnsi="Arial" w:cs="Arial"/>
          <w:sz w:val="24"/>
          <w:szCs w:val="24"/>
        </w:rPr>
        <w:t xml:space="preserve"> Finley's criticism of formal equality, which she argues marginalizes, disempowers, and makes obscured groups like women who are most unlikely to meet the white male criterion of homogeneity aligns with this viewpoint.</w:t>
      </w:r>
      <w:r w:rsidRPr="009F38E3">
        <w:rPr>
          <w:rFonts w:ascii="Arial" w:hAnsi="Arial" w:cs="Arial"/>
          <w:sz w:val="24"/>
          <w:szCs w:val="24"/>
          <w:vertAlign w:val="superscript"/>
        </w:rPr>
        <w:footnoteReference w:id="164"/>
      </w:r>
      <w:r w:rsidRPr="009F38E3">
        <w:rPr>
          <w:rFonts w:ascii="Arial" w:hAnsi="Arial" w:cs="Arial"/>
          <w:sz w:val="24"/>
          <w:szCs w:val="24"/>
        </w:rPr>
        <w:t xml:space="preserve"> As opposed to recognizing and appreciating the diversity of society, such a strategy eradicates the unique lived experiences of marginalized groups and maintains their exclusion and thus it reduces the chance to correct structural injustices and promote a more inclusive definition of equality. </w:t>
      </w:r>
    </w:p>
    <w:p w14:paraId="26A94175" w14:textId="4762D8CE"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Due to the restrictions of formal equality, an increasingly beneficial approach is aimed at ensuring that legislation and regulations do not exacerbate or reinforce the excluded status of people who are already socially, politically, or economically impoverished. Such a strategy places greater importance on addressing systemic inequalities while minimizing the introduction of additional burdens on vulnerable groups.</w:t>
      </w:r>
      <w:r w:rsidRPr="009F38E3">
        <w:rPr>
          <w:rFonts w:ascii="Arial" w:hAnsi="Arial" w:cs="Arial"/>
          <w:sz w:val="24"/>
          <w:szCs w:val="24"/>
          <w:vertAlign w:val="superscript"/>
        </w:rPr>
        <w:footnoteReference w:id="165"/>
      </w:r>
      <w:r w:rsidRPr="009F38E3">
        <w:rPr>
          <w:rFonts w:ascii="Arial" w:hAnsi="Arial" w:cs="Arial"/>
          <w:sz w:val="24"/>
          <w:szCs w:val="24"/>
        </w:rPr>
        <w:t xml:space="preserve"> By shifting its attention from neutrality to actively combating subordination, </w:t>
      </w:r>
      <w:r w:rsidR="00C64BE2" w:rsidRPr="009F38E3">
        <w:rPr>
          <w:rFonts w:ascii="Arial" w:hAnsi="Arial" w:cs="Arial"/>
          <w:sz w:val="24"/>
          <w:szCs w:val="24"/>
        </w:rPr>
        <w:t xml:space="preserve">a more substantive </w:t>
      </w:r>
      <w:r w:rsidRPr="009F38E3">
        <w:rPr>
          <w:rFonts w:ascii="Arial" w:hAnsi="Arial" w:cs="Arial"/>
          <w:sz w:val="24"/>
          <w:szCs w:val="24"/>
        </w:rPr>
        <w:t>concept of equality would be better equipped to promote a far more equitable and inclusive society that takes historical and structural disparities into consideration.</w:t>
      </w:r>
      <w:r w:rsidRPr="009F38E3">
        <w:rPr>
          <w:rFonts w:ascii="Arial" w:hAnsi="Arial" w:cs="Arial"/>
          <w:sz w:val="24"/>
          <w:szCs w:val="24"/>
          <w:vertAlign w:val="superscript"/>
        </w:rPr>
        <w:footnoteReference w:id="166"/>
      </w:r>
      <w:r w:rsidRPr="009F38E3">
        <w:rPr>
          <w:rFonts w:ascii="Arial" w:hAnsi="Arial" w:cs="Arial"/>
          <w:sz w:val="24"/>
          <w:szCs w:val="24"/>
        </w:rPr>
        <w:t xml:space="preserve"> A democratic society has thus been predicated on the fundamental tenet of equality since it is widely acknowledged that equality and non-discrimination are correlated.</w:t>
      </w:r>
      <w:r w:rsidRPr="009F38E3">
        <w:rPr>
          <w:rFonts w:ascii="Arial" w:hAnsi="Arial" w:cs="Arial"/>
          <w:sz w:val="24"/>
          <w:szCs w:val="24"/>
          <w:vertAlign w:val="superscript"/>
        </w:rPr>
        <w:footnoteReference w:id="167"/>
      </w:r>
      <w:r w:rsidRPr="009F38E3">
        <w:rPr>
          <w:rFonts w:ascii="Arial" w:hAnsi="Arial" w:cs="Arial"/>
          <w:sz w:val="24"/>
          <w:szCs w:val="24"/>
        </w:rPr>
        <w:t xml:space="preserve"> Although the term "discrimination" in daily speech implies difference, in legal contexts, it typically refers to the differential treatment of an individual or group of individuals that places them at a disadvantage. It has been argued that equality by itself doesn't really help fight significant disadvantage.</w:t>
      </w:r>
      <w:r w:rsidRPr="009F38E3">
        <w:rPr>
          <w:rFonts w:ascii="Arial" w:hAnsi="Arial" w:cs="Arial"/>
          <w:sz w:val="24"/>
          <w:szCs w:val="24"/>
          <w:vertAlign w:val="superscript"/>
        </w:rPr>
        <w:footnoteReference w:id="168"/>
      </w:r>
      <w:r w:rsidRPr="009F38E3">
        <w:rPr>
          <w:rFonts w:ascii="Arial" w:hAnsi="Arial" w:cs="Arial"/>
          <w:sz w:val="24"/>
          <w:szCs w:val="24"/>
        </w:rPr>
        <w:t xml:space="preserve"> An evolution from the conventional idea of formal equality or treating like the same and those that are unlike, differently,</w:t>
      </w:r>
      <w:r w:rsidRPr="009F38E3">
        <w:rPr>
          <w:rFonts w:ascii="Arial" w:hAnsi="Arial" w:cs="Arial"/>
          <w:sz w:val="24"/>
          <w:szCs w:val="24"/>
          <w:vertAlign w:val="superscript"/>
        </w:rPr>
        <w:footnoteReference w:id="169"/>
      </w:r>
      <w:r w:rsidRPr="009F38E3">
        <w:rPr>
          <w:rFonts w:ascii="Arial" w:hAnsi="Arial" w:cs="Arial"/>
          <w:sz w:val="24"/>
          <w:szCs w:val="24"/>
        </w:rPr>
        <w:t xml:space="preserve"> is represented by the concept of substantive equality. </w:t>
      </w:r>
    </w:p>
    <w:p w14:paraId="4640FEE5" w14:textId="2E6599BB" w:rsidR="00DD7122" w:rsidRPr="009F38E3" w:rsidRDefault="00F61E8A" w:rsidP="002F1691">
      <w:pPr>
        <w:pStyle w:val="Heading1"/>
      </w:pPr>
      <w:bookmarkStart w:id="114" w:name="_Toc189739301"/>
      <w:r>
        <w:lastRenderedPageBreak/>
        <w:t>2.6</w:t>
      </w:r>
      <w:r w:rsidR="00DD7122" w:rsidRPr="009F38E3">
        <w:t xml:space="preserve"> Defining substantive equality</w:t>
      </w:r>
      <w:bookmarkEnd w:id="114"/>
    </w:p>
    <w:p w14:paraId="467F656B" w14:textId="525F7273" w:rsidR="00DD7122" w:rsidRPr="009F38E3" w:rsidRDefault="00F61E8A" w:rsidP="002F1691">
      <w:pPr>
        <w:pStyle w:val="Heading2"/>
        <w:ind w:left="360"/>
      </w:pPr>
      <w:bookmarkStart w:id="115" w:name="_Toc189739302"/>
      <w:r>
        <w:t>2.6</w:t>
      </w:r>
      <w:r w:rsidR="00DD7122" w:rsidRPr="009F38E3">
        <w:t xml:space="preserve">.1 General </w:t>
      </w:r>
      <w:r w:rsidR="00C64BE2" w:rsidRPr="009F38E3">
        <w:t>and jurisprudential definitions</w:t>
      </w:r>
      <w:bookmarkEnd w:id="115"/>
    </w:p>
    <w:p w14:paraId="206285A0" w14:textId="7AD7D893"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In contradiction to formal equality, substantive equality advances the Aristotelian ideal by transcending beyond the assumption that equal treatment can be confined to similarities.</w:t>
      </w:r>
      <w:r w:rsidR="00C64BE2" w:rsidRPr="009F38E3">
        <w:rPr>
          <w:rFonts w:ascii="Arial" w:hAnsi="Arial" w:cs="Arial"/>
          <w:sz w:val="24"/>
          <w:szCs w:val="24"/>
        </w:rPr>
        <w:t xml:space="preserve"> Recognising that treating people </w:t>
      </w:r>
      <w:proofErr w:type="gramStart"/>
      <w:r w:rsidR="00C64BE2" w:rsidRPr="009F38E3">
        <w:rPr>
          <w:rFonts w:ascii="Arial" w:hAnsi="Arial" w:cs="Arial"/>
          <w:sz w:val="24"/>
          <w:szCs w:val="24"/>
        </w:rPr>
        <w:t>exactly the same</w:t>
      </w:r>
      <w:proofErr w:type="gramEnd"/>
      <w:r w:rsidR="00C64BE2" w:rsidRPr="009F38E3">
        <w:rPr>
          <w:rFonts w:ascii="Arial" w:hAnsi="Arial" w:cs="Arial"/>
          <w:sz w:val="24"/>
          <w:szCs w:val="24"/>
        </w:rPr>
        <w:t xml:space="preserve"> in uneven circumstances might exacerbate instead of mitigating inequities, and such, it stresses the necessity of equality by</w:t>
      </w:r>
      <w:r w:rsidRPr="009F38E3">
        <w:rPr>
          <w:rFonts w:ascii="Arial" w:hAnsi="Arial" w:cs="Arial"/>
          <w:sz w:val="24"/>
          <w:szCs w:val="24"/>
        </w:rPr>
        <w:t xml:space="preserve"> taking different perspectives into account.</w:t>
      </w:r>
      <w:r w:rsidRPr="009F38E3">
        <w:rPr>
          <w:rFonts w:ascii="Arial" w:hAnsi="Arial" w:cs="Arial"/>
          <w:sz w:val="24"/>
          <w:szCs w:val="24"/>
          <w:vertAlign w:val="superscript"/>
        </w:rPr>
        <w:footnoteReference w:id="170"/>
      </w:r>
      <w:r w:rsidRPr="009F38E3">
        <w:rPr>
          <w:rFonts w:ascii="Arial" w:hAnsi="Arial" w:cs="Arial"/>
          <w:sz w:val="24"/>
          <w:szCs w:val="24"/>
        </w:rPr>
        <w:t xml:space="preserve"> In substantive equality, the principle that "those who are different should be differently treated" is central. It emphasizes that equality involves acknowledging and attending to the unique needs and interests of various groups in addition to treating people equally in comparable circumstances and that in some situations, distinguishing between people or groups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maintain justice and account for such differences is the true significance of equality.</w:t>
      </w:r>
      <w:r w:rsidRPr="009F38E3">
        <w:rPr>
          <w:rFonts w:ascii="Arial" w:hAnsi="Arial" w:cs="Arial"/>
          <w:sz w:val="24"/>
          <w:szCs w:val="24"/>
          <w:vertAlign w:val="superscript"/>
        </w:rPr>
        <w:footnoteReference w:id="171"/>
      </w:r>
    </w:p>
    <w:p w14:paraId="7EAD1719"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In order to achieve substantive equality, an asymmetric technique that actively seeks to level the playing field by addressing "equality of opportunity" and "equality of results" needs to be implemented.</w:t>
      </w:r>
      <w:r w:rsidRPr="009F38E3">
        <w:rPr>
          <w:rFonts w:ascii="Arial" w:hAnsi="Arial" w:cs="Arial"/>
          <w:sz w:val="24"/>
          <w:szCs w:val="24"/>
          <w:vertAlign w:val="superscript"/>
        </w:rPr>
        <w:footnoteReference w:id="172"/>
      </w:r>
      <w:r w:rsidRPr="009F38E3">
        <w:rPr>
          <w:rFonts w:ascii="Arial" w:hAnsi="Arial" w:cs="Arial"/>
          <w:sz w:val="24"/>
          <w:szCs w:val="24"/>
        </w:rPr>
        <w:t xml:space="preserve"> In addition to eradicating obstacles that keep some groups from accessing the workforce or holding public office, this includes making sure that social resources and opportunities are dispersed more fairly throughout society.</w:t>
      </w:r>
      <w:r w:rsidRPr="009F38E3">
        <w:rPr>
          <w:rFonts w:ascii="Arial" w:hAnsi="Arial" w:cs="Arial"/>
          <w:sz w:val="24"/>
          <w:szCs w:val="24"/>
          <w:vertAlign w:val="superscript"/>
        </w:rPr>
        <w:footnoteReference w:id="173"/>
      </w:r>
      <w:r w:rsidRPr="009F38E3">
        <w:rPr>
          <w:rFonts w:ascii="Arial" w:hAnsi="Arial" w:cs="Arial"/>
          <w:sz w:val="24"/>
          <w:szCs w:val="24"/>
        </w:rPr>
        <w:t xml:space="preserve"> This demands that initiatives take into account the various beginning points and difficulties that people or groups may encounter, going past official, standardized approaches.</w:t>
      </w:r>
      <w:r w:rsidRPr="009F38E3">
        <w:rPr>
          <w:rFonts w:ascii="Arial" w:hAnsi="Arial" w:cs="Arial"/>
          <w:sz w:val="24"/>
          <w:szCs w:val="24"/>
          <w:vertAlign w:val="superscript"/>
        </w:rPr>
        <w:footnoteReference w:id="174"/>
      </w:r>
      <w:r w:rsidRPr="009F38E3">
        <w:rPr>
          <w:rFonts w:ascii="Arial" w:hAnsi="Arial" w:cs="Arial"/>
          <w:sz w:val="24"/>
          <w:szCs w:val="24"/>
        </w:rPr>
        <w:t xml:space="preserve"> </w:t>
      </w:r>
    </w:p>
    <w:p w14:paraId="515C2154" w14:textId="4558DF28"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The principle of equality is predicated upon the notion that knowledge and expertise are evenly distributed throughout different social classes, regardless of gender, colour, or ethnicity. This perspective assumes that people of all ethnic backgrounds, males, and women, have equal potential.</w:t>
      </w:r>
      <w:r w:rsidRPr="009F38E3">
        <w:rPr>
          <w:rFonts w:ascii="Arial" w:hAnsi="Arial" w:cs="Arial"/>
          <w:sz w:val="24"/>
          <w:szCs w:val="24"/>
          <w:vertAlign w:val="superscript"/>
        </w:rPr>
        <w:footnoteReference w:id="175"/>
      </w:r>
      <w:r w:rsidRPr="009F38E3">
        <w:rPr>
          <w:rFonts w:ascii="Arial" w:hAnsi="Arial" w:cs="Arial"/>
          <w:sz w:val="24"/>
          <w:szCs w:val="24"/>
        </w:rPr>
        <w:t xml:space="preserve"> Equal outcomes would follow naturally from the full realization of the equal opportunity concept, which would mean that groups like men, women, Blacks, whites, and ethnic minorities would be proportionately </w:t>
      </w:r>
      <w:r w:rsidRPr="009F38E3">
        <w:rPr>
          <w:rFonts w:ascii="Arial" w:hAnsi="Arial" w:cs="Arial"/>
          <w:sz w:val="24"/>
          <w:szCs w:val="24"/>
        </w:rPr>
        <w:lastRenderedPageBreak/>
        <w:t>represented in positions of influence and power based on their numbers in society.</w:t>
      </w:r>
      <w:r w:rsidR="00C64BE2" w:rsidRPr="009F38E3">
        <w:rPr>
          <w:rStyle w:val="FootnoteReference"/>
          <w:rFonts w:ascii="Arial" w:hAnsi="Arial" w:cs="Arial"/>
          <w:sz w:val="24"/>
          <w:szCs w:val="24"/>
        </w:rPr>
        <w:footnoteReference w:id="176"/>
      </w:r>
      <w:r w:rsidRPr="009F38E3">
        <w:rPr>
          <w:rFonts w:ascii="Arial" w:hAnsi="Arial" w:cs="Arial"/>
          <w:sz w:val="24"/>
          <w:szCs w:val="24"/>
        </w:rPr>
        <w:t xml:space="preserve"> According to this logic, systematic or structural discrimination ingrained in particular societal practices must be held accountable for notable differences in results, such as underrepresentation in leadership positions.</w:t>
      </w:r>
      <w:r w:rsidRPr="009F38E3">
        <w:rPr>
          <w:rFonts w:ascii="Arial" w:hAnsi="Arial" w:cs="Arial"/>
          <w:sz w:val="24"/>
          <w:szCs w:val="24"/>
          <w:vertAlign w:val="superscript"/>
        </w:rPr>
        <w:footnoteReference w:id="177"/>
      </w:r>
      <w:r w:rsidRPr="009F38E3">
        <w:rPr>
          <w:rFonts w:ascii="Arial" w:hAnsi="Arial" w:cs="Arial"/>
          <w:sz w:val="24"/>
          <w:szCs w:val="24"/>
        </w:rPr>
        <w:t xml:space="preserve"> </w:t>
      </w:r>
    </w:p>
    <w:p w14:paraId="5677681C" w14:textId="315E6D9E"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Furthermore, by admitting that opportunities are impacted by historical and social variables, such as gender and colour, this concept of equality stands in striking opposition to formal equality.</w:t>
      </w:r>
      <w:r w:rsidRPr="009F38E3">
        <w:rPr>
          <w:rFonts w:ascii="Arial" w:hAnsi="Arial" w:cs="Arial"/>
          <w:sz w:val="24"/>
          <w:szCs w:val="24"/>
          <w:vertAlign w:val="superscript"/>
        </w:rPr>
        <w:footnoteReference w:id="178"/>
      </w:r>
      <w:r w:rsidRPr="009F38E3">
        <w:rPr>
          <w:rFonts w:ascii="Arial" w:hAnsi="Arial" w:cs="Arial"/>
          <w:sz w:val="24"/>
          <w:szCs w:val="24"/>
        </w:rPr>
        <w:t xml:space="preserve"> Substantive equality</w:t>
      </w:r>
      <w:r w:rsidR="00C84F54" w:rsidRPr="009F38E3">
        <w:rPr>
          <w:rFonts w:ascii="Arial" w:hAnsi="Arial" w:cs="Arial"/>
          <w:sz w:val="24"/>
          <w:szCs w:val="24"/>
        </w:rPr>
        <w:t xml:space="preserve">, </w:t>
      </w:r>
      <w:r w:rsidRPr="009F38E3">
        <w:rPr>
          <w:rFonts w:ascii="Arial" w:hAnsi="Arial" w:cs="Arial"/>
          <w:sz w:val="24"/>
          <w:szCs w:val="24"/>
        </w:rPr>
        <w:t>therefore</w:t>
      </w:r>
      <w:r w:rsidR="00C84F54" w:rsidRPr="009F38E3">
        <w:rPr>
          <w:rFonts w:ascii="Arial" w:hAnsi="Arial" w:cs="Arial"/>
          <w:sz w:val="24"/>
          <w:szCs w:val="24"/>
        </w:rPr>
        <w:t>,</w:t>
      </w:r>
      <w:r w:rsidRPr="009F38E3">
        <w:rPr>
          <w:rFonts w:ascii="Arial" w:hAnsi="Arial" w:cs="Arial"/>
          <w:sz w:val="24"/>
          <w:szCs w:val="24"/>
        </w:rPr>
        <w:t> takes into account the manner in which such larger social dynamics affect access to opportunities and resources, whereas formal equality typically concentrates on individuality.</w:t>
      </w:r>
      <w:r w:rsidRPr="009F38E3">
        <w:rPr>
          <w:rFonts w:ascii="Arial" w:hAnsi="Arial" w:cs="Arial"/>
          <w:sz w:val="24"/>
          <w:szCs w:val="24"/>
          <w:vertAlign w:val="superscript"/>
        </w:rPr>
        <w:footnoteReference w:id="179"/>
      </w:r>
      <w:r w:rsidRPr="009F38E3">
        <w:rPr>
          <w:rFonts w:ascii="Arial" w:hAnsi="Arial" w:cs="Arial"/>
          <w:sz w:val="24"/>
          <w:szCs w:val="24"/>
        </w:rPr>
        <w:t xml:space="preserve"> Affirmative action aims to address prevailing disparities by advancing people or groups to a level where they may compete on a more equal foundation. In sectors like education, employment, and resource access, such an approach guarantees that marginalized individuals are given the opportunity </w:t>
      </w:r>
      <w:r w:rsidR="00C84F54" w:rsidRPr="009F38E3">
        <w:rPr>
          <w:rFonts w:ascii="Arial" w:hAnsi="Arial" w:cs="Arial"/>
          <w:sz w:val="24"/>
          <w:szCs w:val="24"/>
        </w:rPr>
        <w:t xml:space="preserve">to </w:t>
      </w:r>
      <w:r w:rsidRPr="009F38E3">
        <w:rPr>
          <w:rFonts w:ascii="Arial" w:hAnsi="Arial" w:cs="Arial"/>
          <w:sz w:val="24"/>
          <w:szCs w:val="24"/>
        </w:rPr>
        <w:t>catch</w:t>
      </w:r>
      <w:r w:rsidR="00C84F54" w:rsidRPr="009F38E3">
        <w:rPr>
          <w:rFonts w:ascii="Arial" w:hAnsi="Arial" w:cs="Arial"/>
          <w:sz w:val="24"/>
          <w:szCs w:val="24"/>
        </w:rPr>
        <w:t xml:space="preserve"> </w:t>
      </w:r>
      <w:r w:rsidRPr="009F38E3">
        <w:rPr>
          <w:rFonts w:ascii="Arial" w:hAnsi="Arial" w:cs="Arial"/>
          <w:sz w:val="24"/>
          <w:szCs w:val="24"/>
        </w:rPr>
        <w:t xml:space="preserve">up with </w:t>
      </w:r>
      <w:proofErr w:type="gramStart"/>
      <w:r w:rsidRPr="009F38E3">
        <w:rPr>
          <w:rFonts w:ascii="Arial" w:hAnsi="Arial" w:cs="Arial"/>
          <w:sz w:val="24"/>
          <w:szCs w:val="24"/>
        </w:rPr>
        <w:t>the majority of</w:t>
      </w:r>
      <w:proofErr w:type="gramEnd"/>
      <w:r w:rsidRPr="009F38E3">
        <w:rPr>
          <w:rFonts w:ascii="Arial" w:hAnsi="Arial" w:cs="Arial"/>
          <w:sz w:val="24"/>
          <w:szCs w:val="24"/>
        </w:rPr>
        <w:t xml:space="preserve"> the population.</w:t>
      </w:r>
      <w:r w:rsidRPr="009F38E3">
        <w:rPr>
          <w:rFonts w:ascii="Arial" w:hAnsi="Arial" w:cs="Arial"/>
          <w:sz w:val="24"/>
          <w:szCs w:val="24"/>
          <w:vertAlign w:val="superscript"/>
        </w:rPr>
        <w:footnoteReference w:id="180"/>
      </w:r>
      <w:r w:rsidRPr="009F38E3">
        <w:rPr>
          <w:rFonts w:ascii="Arial" w:hAnsi="Arial" w:cs="Arial"/>
          <w:sz w:val="24"/>
          <w:szCs w:val="24"/>
        </w:rPr>
        <w:t xml:space="preserve"> Therefore, affirmative action serves as a corrective tool, focusing on actual disparities in order to achieve proportional representation, especially in institutions such as employment.</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The fundamental principle of affirmative action being substantive equality consequently imposes a positive obligation on the state to take definitive steps to address and eradicate residual consequences of historical discrimination.</w:t>
      </w:r>
      <w:r w:rsidRPr="009F38E3">
        <w:rPr>
          <w:rFonts w:ascii="Arial" w:hAnsi="Arial" w:cs="Arial"/>
          <w:sz w:val="24"/>
          <w:szCs w:val="24"/>
          <w:vertAlign w:val="superscript"/>
        </w:rPr>
        <w:footnoteReference w:id="181"/>
      </w:r>
      <w:r w:rsidRPr="009F38E3">
        <w:rPr>
          <w:rFonts w:ascii="Arial" w:hAnsi="Arial" w:cs="Arial"/>
          <w:sz w:val="24"/>
          <w:szCs w:val="24"/>
        </w:rPr>
        <w:t xml:space="preserve"> This perspective is consistent with the section 9(2) of the </w:t>
      </w:r>
      <w:r w:rsidRPr="009F38E3">
        <w:rPr>
          <w:rFonts w:ascii="Arial" w:hAnsi="Arial" w:cs="Arial"/>
          <w:i/>
          <w:iCs/>
          <w:sz w:val="24"/>
          <w:szCs w:val="24"/>
        </w:rPr>
        <w:t xml:space="preserve">Constitution </w:t>
      </w:r>
      <w:r w:rsidRPr="009F38E3">
        <w:rPr>
          <w:rFonts w:ascii="Arial" w:hAnsi="Arial" w:cs="Arial"/>
          <w:sz w:val="24"/>
          <w:szCs w:val="24"/>
        </w:rPr>
        <w:t>in that a lack of action on the part of the state is seen as implicit endorsement of the persistence of social injustices.</w:t>
      </w:r>
    </w:p>
    <w:p w14:paraId="3DE1D6C9" w14:textId="0E8B4F17" w:rsidR="00DD7122" w:rsidRPr="009F38E3" w:rsidRDefault="00F61E8A" w:rsidP="002F1691">
      <w:pPr>
        <w:pStyle w:val="Subtitle"/>
        <w:numPr>
          <w:ilvl w:val="0"/>
          <w:numId w:val="0"/>
        </w:numPr>
        <w:ind w:left="1701" w:hanging="907"/>
      </w:pPr>
      <w:bookmarkStart w:id="116" w:name="_Toc189739303"/>
      <w:r>
        <w:t>2.6.1</w:t>
      </w:r>
      <w:r w:rsidR="00DD7122" w:rsidRPr="009F38E3">
        <w:t>.1 President of the Republic of South Africa and Another v Hugo (CCT11/96) [1997] ZACC 4</w:t>
      </w:r>
      <w:bookmarkEnd w:id="116"/>
    </w:p>
    <w:p w14:paraId="7151E7CB" w14:textId="70673EF6" w:rsidR="00B052BA" w:rsidRPr="00B052BA" w:rsidRDefault="00DD7122" w:rsidP="00B052BA">
      <w:pPr>
        <w:spacing w:line="360" w:lineRule="auto"/>
        <w:jc w:val="both"/>
        <w:rPr>
          <w:rFonts w:ascii="Arial" w:hAnsi="Arial" w:cs="Arial"/>
          <w:sz w:val="24"/>
          <w:szCs w:val="24"/>
          <w:lang w:val="en-ZA"/>
        </w:rPr>
      </w:pPr>
      <w:r w:rsidRPr="009F38E3">
        <w:rPr>
          <w:rFonts w:ascii="Arial" w:hAnsi="Arial" w:cs="Arial"/>
          <w:sz w:val="24"/>
          <w:szCs w:val="24"/>
        </w:rPr>
        <w:t xml:space="preserve">The Constitutional Court was entrusted with determining whether a presidential order issued under South Africa's 1996 interim </w:t>
      </w:r>
      <w:r w:rsidRPr="009F38E3">
        <w:rPr>
          <w:rFonts w:ascii="Arial" w:hAnsi="Arial" w:cs="Arial"/>
          <w:i/>
          <w:iCs/>
          <w:sz w:val="24"/>
          <w:szCs w:val="24"/>
        </w:rPr>
        <w:t>Constitution</w:t>
      </w:r>
      <w:r w:rsidRPr="009F38E3">
        <w:rPr>
          <w:rFonts w:ascii="Arial" w:hAnsi="Arial" w:cs="Arial"/>
          <w:sz w:val="24"/>
          <w:szCs w:val="24"/>
        </w:rPr>
        <w:t xml:space="preserve"> was fair in the case of </w:t>
      </w:r>
      <w:bookmarkStart w:id="117" w:name="_Hlk189586002"/>
      <w:r w:rsidRPr="009F38E3">
        <w:rPr>
          <w:rFonts w:ascii="Arial" w:hAnsi="Arial" w:cs="Arial"/>
          <w:i/>
          <w:iCs/>
          <w:sz w:val="24"/>
          <w:szCs w:val="24"/>
        </w:rPr>
        <w:t>President of the Republic of South Africa</w:t>
      </w:r>
      <w:r w:rsidR="00C84F54" w:rsidRPr="009F38E3">
        <w:rPr>
          <w:rFonts w:ascii="Arial" w:hAnsi="Arial" w:cs="Arial"/>
          <w:i/>
          <w:iCs/>
          <w:sz w:val="24"/>
          <w:szCs w:val="24"/>
        </w:rPr>
        <w:t xml:space="preserve"> </w:t>
      </w:r>
      <w:r w:rsidR="00717506" w:rsidRPr="009F38E3">
        <w:rPr>
          <w:rFonts w:ascii="Arial" w:hAnsi="Arial" w:cs="Arial"/>
          <w:i/>
          <w:iCs/>
          <w:sz w:val="24"/>
          <w:szCs w:val="24"/>
        </w:rPr>
        <w:t>v</w:t>
      </w:r>
      <w:r w:rsidRPr="009F38E3">
        <w:rPr>
          <w:rFonts w:ascii="Arial" w:hAnsi="Arial" w:cs="Arial"/>
          <w:i/>
          <w:iCs/>
          <w:sz w:val="24"/>
          <w:szCs w:val="24"/>
        </w:rPr>
        <w:t xml:space="preserve"> Hugo</w:t>
      </w:r>
      <w:bookmarkEnd w:id="117"/>
      <w:r w:rsidRPr="009F38E3">
        <w:rPr>
          <w:rFonts w:ascii="Arial" w:hAnsi="Arial" w:cs="Arial"/>
          <w:i/>
          <w:iCs/>
          <w:sz w:val="24"/>
          <w:szCs w:val="24"/>
        </w:rPr>
        <w:t>.</w:t>
      </w:r>
      <w:r w:rsidRPr="009F38E3">
        <w:rPr>
          <w:rFonts w:ascii="Arial" w:hAnsi="Arial" w:cs="Arial"/>
          <w:sz w:val="24"/>
          <w:szCs w:val="24"/>
        </w:rPr>
        <w:t xml:space="preserve"> </w:t>
      </w:r>
      <w:r w:rsidR="007D3311" w:rsidRPr="007D3311">
        <w:rPr>
          <w:rFonts w:ascii="Arial" w:hAnsi="Arial" w:cs="Arial"/>
          <w:sz w:val="24"/>
          <w:szCs w:val="24"/>
        </w:rPr>
        <w:t xml:space="preserve">In 1994, President Nelson Mandela exercised his prerogative powers under section 82(1)(k) of the interim </w:t>
      </w:r>
      <w:r w:rsidR="007D3311" w:rsidRPr="007B1FD6">
        <w:rPr>
          <w:rFonts w:ascii="Arial" w:hAnsi="Arial" w:cs="Arial"/>
          <w:i/>
          <w:iCs/>
          <w:sz w:val="24"/>
          <w:szCs w:val="24"/>
        </w:rPr>
        <w:t>Constitution</w:t>
      </w:r>
      <w:r w:rsidR="007D3311" w:rsidRPr="007D3311">
        <w:rPr>
          <w:rFonts w:ascii="Arial" w:hAnsi="Arial" w:cs="Arial"/>
          <w:sz w:val="24"/>
          <w:szCs w:val="24"/>
        </w:rPr>
        <w:t xml:space="preserve"> and issued a Presidential Act granting special remission of sentences to certain categories of </w:t>
      </w:r>
      <w:r w:rsidR="007D3311" w:rsidRPr="007D3311">
        <w:rPr>
          <w:rFonts w:ascii="Arial" w:hAnsi="Arial" w:cs="Arial"/>
          <w:sz w:val="24"/>
          <w:szCs w:val="24"/>
        </w:rPr>
        <w:lastRenderedPageBreak/>
        <w:t>prisoners.</w:t>
      </w:r>
      <w:r w:rsidR="007D3311">
        <w:rPr>
          <w:rStyle w:val="FootnoteReference"/>
          <w:rFonts w:ascii="Arial" w:hAnsi="Arial" w:cs="Arial"/>
          <w:sz w:val="24"/>
          <w:szCs w:val="24"/>
        </w:rPr>
        <w:footnoteReference w:id="182"/>
      </w:r>
      <w:r w:rsidR="007D3311" w:rsidRPr="007D3311">
        <w:rPr>
          <w:rFonts w:ascii="Arial" w:hAnsi="Arial" w:cs="Arial"/>
          <w:sz w:val="24"/>
          <w:szCs w:val="24"/>
        </w:rPr>
        <w:t xml:space="preserve"> Among the categories of beneficiaries were "all mothers in prison on 10 May 1994, with minor children under the age of twelve years"​. The respondent, John Phillip Peter Hugo, was a male prisoner with a minor child under twelve years of age. He challenged the decision, arguing that it amounted to unfair gender-based discrimination as it excluded fathers in the same position</w:t>
      </w:r>
      <w:r w:rsidR="007D3311">
        <w:rPr>
          <w:rFonts w:ascii="Arial" w:hAnsi="Arial" w:cs="Arial"/>
          <w:sz w:val="24"/>
          <w:szCs w:val="24"/>
        </w:rPr>
        <w:t>.</w:t>
      </w:r>
      <w:r w:rsidR="007D3311">
        <w:rPr>
          <w:rStyle w:val="FootnoteReference"/>
          <w:rFonts w:ascii="Arial" w:hAnsi="Arial" w:cs="Arial"/>
          <w:sz w:val="24"/>
          <w:szCs w:val="24"/>
        </w:rPr>
        <w:footnoteReference w:id="183"/>
      </w:r>
      <w:r w:rsidR="007D3311">
        <w:rPr>
          <w:rFonts w:ascii="Arial" w:hAnsi="Arial" w:cs="Arial"/>
          <w:sz w:val="24"/>
          <w:szCs w:val="24"/>
        </w:rPr>
        <w:t xml:space="preserve"> </w:t>
      </w:r>
      <w:r w:rsidR="007D3311" w:rsidRPr="007D3311">
        <w:rPr>
          <w:rFonts w:ascii="Arial" w:hAnsi="Arial" w:cs="Arial"/>
          <w:sz w:val="24"/>
          <w:szCs w:val="24"/>
          <w:lang w:val="en-ZA"/>
        </w:rPr>
        <w:t xml:space="preserve">The main question was whether, in accordance with section 8 (the equality article) of the interim </w:t>
      </w:r>
      <w:r w:rsidR="007D3311" w:rsidRPr="00B052BA">
        <w:rPr>
          <w:rFonts w:ascii="Arial" w:hAnsi="Arial" w:cs="Arial"/>
          <w:i/>
          <w:iCs/>
          <w:sz w:val="24"/>
          <w:szCs w:val="24"/>
          <w:lang w:val="en-ZA"/>
        </w:rPr>
        <w:t>Constitution</w:t>
      </w:r>
      <w:r w:rsidR="007D3311" w:rsidRPr="007D3311">
        <w:rPr>
          <w:rFonts w:ascii="Arial" w:hAnsi="Arial" w:cs="Arial"/>
          <w:sz w:val="24"/>
          <w:szCs w:val="24"/>
          <w:lang w:val="en-ZA"/>
        </w:rPr>
        <w:t>, the President's remission order, which excluded fathers and exclusively provided benefits to imprisoned mothers with minor children, amounted to unfair discrimination.</w:t>
      </w:r>
      <w:r w:rsidR="007D3311">
        <w:rPr>
          <w:rStyle w:val="FootnoteReference"/>
          <w:rFonts w:ascii="Arial" w:hAnsi="Arial" w:cs="Arial"/>
          <w:sz w:val="24"/>
          <w:szCs w:val="24"/>
          <w:lang w:val="en-ZA"/>
        </w:rPr>
        <w:footnoteReference w:id="184"/>
      </w:r>
      <w:r w:rsidR="00B052BA">
        <w:rPr>
          <w:rFonts w:ascii="Arial" w:hAnsi="Arial" w:cs="Arial"/>
          <w:sz w:val="24"/>
          <w:szCs w:val="24"/>
          <w:lang w:val="en-ZA"/>
        </w:rPr>
        <w:t xml:space="preserve"> </w:t>
      </w:r>
      <w:r w:rsidR="00B052BA" w:rsidRPr="00B052BA">
        <w:rPr>
          <w:rFonts w:ascii="Arial" w:hAnsi="Arial" w:cs="Arial"/>
          <w:sz w:val="24"/>
          <w:szCs w:val="24"/>
          <w:lang w:val="en-ZA"/>
        </w:rPr>
        <w:t xml:space="preserve">The </w:t>
      </w:r>
      <w:r w:rsidR="007B1FD6">
        <w:rPr>
          <w:rFonts w:ascii="Arial" w:hAnsi="Arial" w:cs="Arial"/>
          <w:sz w:val="24"/>
          <w:szCs w:val="24"/>
          <w:lang w:val="en-ZA"/>
        </w:rPr>
        <w:t>c</w:t>
      </w:r>
      <w:r w:rsidR="00B052BA" w:rsidRPr="00B052BA">
        <w:rPr>
          <w:rFonts w:ascii="Arial" w:hAnsi="Arial" w:cs="Arial"/>
          <w:sz w:val="24"/>
          <w:szCs w:val="24"/>
          <w:lang w:val="en-ZA"/>
        </w:rPr>
        <w:t xml:space="preserve">ourt used sections 8(1) and 8(2) of the </w:t>
      </w:r>
      <w:r w:rsidR="00B052BA">
        <w:rPr>
          <w:rFonts w:ascii="Arial" w:hAnsi="Arial" w:cs="Arial"/>
          <w:sz w:val="24"/>
          <w:szCs w:val="24"/>
          <w:lang w:val="en-ZA"/>
        </w:rPr>
        <w:t>interim</w:t>
      </w:r>
      <w:r w:rsidR="00B052BA" w:rsidRPr="00B052BA">
        <w:rPr>
          <w:rFonts w:ascii="Arial" w:hAnsi="Arial" w:cs="Arial"/>
          <w:sz w:val="24"/>
          <w:szCs w:val="24"/>
          <w:lang w:val="en-ZA"/>
        </w:rPr>
        <w:t xml:space="preserve"> </w:t>
      </w:r>
      <w:r w:rsidR="00B052BA" w:rsidRPr="00B052BA">
        <w:rPr>
          <w:rFonts w:ascii="Arial" w:hAnsi="Arial" w:cs="Arial"/>
          <w:i/>
          <w:iCs/>
          <w:sz w:val="24"/>
          <w:szCs w:val="24"/>
          <w:lang w:val="en-ZA"/>
        </w:rPr>
        <w:t>Constitution</w:t>
      </w:r>
      <w:r w:rsidR="00B052BA" w:rsidRPr="00B052BA">
        <w:rPr>
          <w:rFonts w:ascii="Arial" w:hAnsi="Arial" w:cs="Arial"/>
          <w:sz w:val="24"/>
          <w:szCs w:val="24"/>
          <w:lang w:val="en-ZA"/>
        </w:rPr>
        <w:t>, which forbid unjust discrimination on a number of reasons, including gender, and provide equality before the law. If the differentiation was based on a reasonable basis and caused substantive inequity, it was considered unfair discrimination.​</w:t>
      </w:r>
      <w:r w:rsidR="00B052BA">
        <w:rPr>
          <w:rStyle w:val="FootnoteReference"/>
          <w:rFonts w:ascii="Arial" w:hAnsi="Arial" w:cs="Arial"/>
          <w:sz w:val="24"/>
          <w:szCs w:val="24"/>
          <w:lang w:val="en-ZA"/>
        </w:rPr>
        <w:footnoteReference w:id="185"/>
      </w:r>
      <w:r w:rsidR="00B052BA">
        <w:rPr>
          <w:rFonts w:ascii="Arial" w:hAnsi="Arial" w:cs="Arial"/>
          <w:sz w:val="24"/>
          <w:szCs w:val="24"/>
          <w:lang w:val="en-ZA"/>
        </w:rPr>
        <w:t xml:space="preserve"> </w:t>
      </w:r>
    </w:p>
    <w:p w14:paraId="2F2D429B" w14:textId="5BBCBE6E" w:rsidR="004F683E" w:rsidRPr="004F683E" w:rsidRDefault="00B052BA" w:rsidP="004F683E">
      <w:pPr>
        <w:spacing w:line="360" w:lineRule="auto"/>
        <w:jc w:val="both"/>
        <w:rPr>
          <w:rFonts w:ascii="Arial" w:hAnsi="Arial" w:cs="Arial"/>
          <w:sz w:val="24"/>
          <w:szCs w:val="24"/>
          <w:lang w:val="en-ZA"/>
        </w:rPr>
      </w:pPr>
      <w:r w:rsidRPr="00B052BA">
        <w:rPr>
          <w:rFonts w:ascii="Arial" w:hAnsi="Arial" w:cs="Arial"/>
          <w:sz w:val="24"/>
          <w:szCs w:val="24"/>
          <w:lang w:val="en-ZA"/>
        </w:rPr>
        <w:t xml:space="preserve">The </w:t>
      </w:r>
      <w:r w:rsidR="007B1FD6">
        <w:rPr>
          <w:rFonts w:ascii="Arial" w:hAnsi="Arial" w:cs="Arial"/>
          <w:sz w:val="24"/>
          <w:szCs w:val="24"/>
          <w:lang w:val="en-ZA"/>
        </w:rPr>
        <w:t>c</w:t>
      </w:r>
      <w:r w:rsidRPr="00B052BA">
        <w:rPr>
          <w:rFonts w:ascii="Arial" w:hAnsi="Arial" w:cs="Arial"/>
          <w:sz w:val="24"/>
          <w:szCs w:val="24"/>
          <w:lang w:val="en-ZA"/>
        </w:rPr>
        <w:t>ourt recognized that the remission order established a discrimination based on gender</w:t>
      </w:r>
      <w:r>
        <w:rPr>
          <w:rFonts w:ascii="Arial" w:hAnsi="Arial" w:cs="Arial"/>
          <w:sz w:val="24"/>
          <w:szCs w:val="24"/>
          <w:lang w:val="en-ZA"/>
        </w:rPr>
        <w:t>, i</w:t>
      </w:r>
      <w:r w:rsidRPr="00B052BA">
        <w:rPr>
          <w:rFonts w:ascii="Arial" w:hAnsi="Arial" w:cs="Arial"/>
          <w:sz w:val="24"/>
          <w:szCs w:val="24"/>
          <w:lang w:val="en-ZA"/>
        </w:rPr>
        <w:t>t did, however, hold that the regulation was intended to address the disproportionate amount of caregiving that women often provide.</w:t>
      </w:r>
      <w:r>
        <w:rPr>
          <w:rStyle w:val="FootnoteReference"/>
          <w:rFonts w:ascii="Arial" w:hAnsi="Arial" w:cs="Arial"/>
          <w:sz w:val="24"/>
          <w:szCs w:val="24"/>
          <w:lang w:val="en-ZA"/>
        </w:rPr>
        <w:footnoteReference w:id="186"/>
      </w:r>
      <w:r>
        <w:rPr>
          <w:rFonts w:ascii="Arial" w:hAnsi="Arial" w:cs="Arial"/>
          <w:sz w:val="24"/>
          <w:szCs w:val="24"/>
          <w:lang w:val="en-ZA"/>
        </w:rPr>
        <w:t xml:space="preserve">  </w:t>
      </w:r>
      <w:r w:rsidRPr="00B052BA">
        <w:rPr>
          <w:rFonts w:ascii="Arial" w:hAnsi="Arial" w:cs="Arial"/>
          <w:sz w:val="24"/>
          <w:szCs w:val="24"/>
          <w:lang w:val="en-ZA"/>
        </w:rPr>
        <w:t xml:space="preserve">The </w:t>
      </w:r>
      <w:r w:rsidR="007B1FD6">
        <w:rPr>
          <w:rFonts w:ascii="Arial" w:hAnsi="Arial" w:cs="Arial"/>
          <w:sz w:val="24"/>
          <w:szCs w:val="24"/>
          <w:lang w:val="en-ZA"/>
        </w:rPr>
        <w:t>c</w:t>
      </w:r>
      <w:r w:rsidRPr="00B052BA">
        <w:rPr>
          <w:rFonts w:ascii="Arial" w:hAnsi="Arial" w:cs="Arial"/>
          <w:sz w:val="24"/>
          <w:szCs w:val="24"/>
          <w:lang w:val="en-ZA"/>
        </w:rPr>
        <w:t>ourt reasoned that the President's decision was predicated on the idea that mothers are typically the primary caregivers, and the remission was intended to lessen the suffering that minor children whose mothers were incarcerated endured.</w:t>
      </w:r>
      <w:r>
        <w:rPr>
          <w:rStyle w:val="FootnoteReference"/>
          <w:rFonts w:ascii="Arial" w:hAnsi="Arial" w:cs="Arial"/>
          <w:sz w:val="24"/>
          <w:szCs w:val="24"/>
          <w:lang w:val="en-ZA"/>
        </w:rPr>
        <w:footnoteReference w:id="187"/>
      </w:r>
      <w:r w:rsidRPr="00B052BA">
        <w:rPr>
          <w:rFonts w:ascii="Arial" w:hAnsi="Arial" w:cs="Arial"/>
          <w:sz w:val="24"/>
          <w:szCs w:val="24"/>
          <w:lang w:val="en-ZA"/>
        </w:rPr>
        <w:t xml:space="preserve">  Even though the decision discriminated based on gender, the </w:t>
      </w:r>
      <w:r w:rsidR="007B1FD6">
        <w:rPr>
          <w:rFonts w:ascii="Arial" w:hAnsi="Arial" w:cs="Arial"/>
          <w:sz w:val="24"/>
          <w:szCs w:val="24"/>
          <w:lang w:val="en-ZA"/>
        </w:rPr>
        <w:t>c</w:t>
      </w:r>
      <w:r w:rsidRPr="00B052BA">
        <w:rPr>
          <w:rFonts w:ascii="Arial" w:hAnsi="Arial" w:cs="Arial"/>
          <w:sz w:val="24"/>
          <w:szCs w:val="24"/>
          <w:lang w:val="en-ZA"/>
        </w:rPr>
        <w:t>ourt pointed out that the President was acting within the bounds of his vast discretionary authority of mercy and that it was neither unreasonable nor arbitrary.</w:t>
      </w:r>
      <w:r>
        <w:rPr>
          <w:rStyle w:val="FootnoteReference"/>
          <w:rFonts w:ascii="Arial" w:hAnsi="Arial" w:cs="Arial"/>
          <w:sz w:val="24"/>
          <w:szCs w:val="24"/>
          <w:lang w:val="en-ZA"/>
        </w:rPr>
        <w:footnoteReference w:id="188"/>
      </w:r>
      <w:r w:rsidRPr="00B052BA">
        <w:rPr>
          <w:rFonts w:ascii="Arial" w:hAnsi="Arial" w:cs="Arial"/>
          <w:sz w:val="24"/>
          <w:szCs w:val="24"/>
          <w:lang w:val="en-ZA"/>
        </w:rPr>
        <w:t> Protecting children's welfare by giving priority to their primary caregivers was determined to be an acceptable government goal.​</w:t>
      </w:r>
      <w:r>
        <w:rPr>
          <w:rFonts w:ascii="Arial" w:hAnsi="Arial" w:cs="Arial"/>
          <w:sz w:val="24"/>
          <w:szCs w:val="24"/>
          <w:lang w:val="en-ZA"/>
        </w:rPr>
        <w:t xml:space="preserve"> </w:t>
      </w:r>
      <w:r w:rsidR="004F683E" w:rsidRPr="004F683E">
        <w:rPr>
          <w:rFonts w:ascii="Arial" w:hAnsi="Arial" w:cs="Arial"/>
          <w:sz w:val="24"/>
          <w:szCs w:val="24"/>
          <w:lang w:val="en-ZA"/>
        </w:rPr>
        <w:t xml:space="preserve">The remission order was maintained by the Constitutional Court, which concluded that it did not constitute unjust discrimination. Although the order treated male and female inmates differently, the </w:t>
      </w:r>
      <w:r w:rsidR="007B1FD6">
        <w:rPr>
          <w:rFonts w:ascii="Arial" w:hAnsi="Arial" w:cs="Arial"/>
          <w:sz w:val="24"/>
          <w:szCs w:val="24"/>
          <w:lang w:val="en-ZA"/>
        </w:rPr>
        <w:t>c</w:t>
      </w:r>
      <w:r w:rsidR="004F683E" w:rsidRPr="004F683E">
        <w:rPr>
          <w:rFonts w:ascii="Arial" w:hAnsi="Arial" w:cs="Arial"/>
          <w:sz w:val="24"/>
          <w:szCs w:val="24"/>
          <w:lang w:val="en-ZA"/>
        </w:rPr>
        <w:t>ourt determined that it was justified in the larger context of attaining substantive equality.</w:t>
      </w:r>
      <w:r w:rsidR="004F683E">
        <w:rPr>
          <w:rFonts w:ascii="Arial" w:hAnsi="Arial" w:cs="Arial"/>
          <w:sz w:val="24"/>
          <w:szCs w:val="24"/>
          <w:lang w:val="en-ZA"/>
        </w:rPr>
        <w:t xml:space="preserve"> </w:t>
      </w:r>
      <w:r w:rsidR="004F683E" w:rsidRPr="004F683E">
        <w:rPr>
          <w:rFonts w:ascii="Arial" w:hAnsi="Arial" w:cs="Arial"/>
          <w:sz w:val="24"/>
          <w:szCs w:val="24"/>
          <w:lang w:val="en-ZA"/>
        </w:rPr>
        <w:t>The High Court's decision in Hugo's favo</w:t>
      </w:r>
      <w:r w:rsidR="004F683E">
        <w:rPr>
          <w:rFonts w:ascii="Arial" w:hAnsi="Arial" w:cs="Arial"/>
          <w:sz w:val="24"/>
          <w:szCs w:val="24"/>
          <w:lang w:val="en-ZA"/>
        </w:rPr>
        <w:t>u</w:t>
      </w:r>
      <w:r w:rsidR="004F683E" w:rsidRPr="004F683E">
        <w:rPr>
          <w:rFonts w:ascii="Arial" w:hAnsi="Arial" w:cs="Arial"/>
          <w:sz w:val="24"/>
          <w:szCs w:val="24"/>
          <w:lang w:val="en-ZA"/>
        </w:rPr>
        <w:t>r was overturned once the appeal was granted.</w:t>
      </w:r>
      <w:r w:rsidR="004F683E">
        <w:rPr>
          <w:rStyle w:val="FootnoteReference"/>
          <w:rFonts w:ascii="Arial" w:hAnsi="Arial" w:cs="Arial"/>
          <w:sz w:val="24"/>
          <w:szCs w:val="24"/>
          <w:lang w:val="en-ZA"/>
        </w:rPr>
        <w:footnoteReference w:id="189"/>
      </w:r>
    </w:p>
    <w:p w14:paraId="1BF9A3FB" w14:textId="12AA5C33" w:rsidR="00DD7122" w:rsidRPr="004F683E" w:rsidRDefault="004F683E" w:rsidP="00DD7122">
      <w:pPr>
        <w:spacing w:line="360" w:lineRule="auto"/>
        <w:jc w:val="both"/>
        <w:rPr>
          <w:rFonts w:ascii="Arial" w:hAnsi="Arial" w:cs="Arial"/>
          <w:sz w:val="24"/>
          <w:szCs w:val="24"/>
          <w:lang w:val="en-ZA"/>
        </w:rPr>
      </w:pPr>
      <w:r w:rsidRPr="004F683E">
        <w:rPr>
          <w:rFonts w:ascii="Arial" w:hAnsi="Arial" w:cs="Arial"/>
          <w:sz w:val="24"/>
          <w:szCs w:val="24"/>
          <w:lang w:val="en-ZA"/>
        </w:rPr>
        <w:lastRenderedPageBreak/>
        <w:t xml:space="preserve">The case highlights the need to take historical disadvantages and societal roles into account when determining the fairness of gender-based policies, much like employers must justify affirmative action measures in compliance with section 9(2) of the </w:t>
      </w:r>
      <w:r w:rsidRPr="004F683E">
        <w:rPr>
          <w:rFonts w:ascii="Arial" w:hAnsi="Arial" w:cs="Arial"/>
          <w:i/>
          <w:iCs/>
          <w:sz w:val="24"/>
          <w:szCs w:val="24"/>
          <w:lang w:val="en-ZA"/>
        </w:rPr>
        <w:t>Constitution</w:t>
      </w:r>
      <w:r w:rsidRPr="004F683E">
        <w:rPr>
          <w:rFonts w:ascii="Arial" w:hAnsi="Arial" w:cs="Arial"/>
          <w:sz w:val="24"/>
          <w:szCs w:val="24"/>
          <w:lang w:val="en-ZA"/>
        </w:rPr>
        <w:t xml:space="preserve">. The legal question directly related to the broader concept of equality, particularly in the workplace, as it examines whether differentiation based on gender is justifiable in law. The </w:t>
      </w:r>
      <w:r w:rsidR="007B1FD6">
        <w:rPr>
          <w:rFonts w:ascii="Arial" w:hAnsi="Arial" w:cs="Arial"/>
          <w:sz w:val="24"/>
          <w:szCs w:val="24"/>
          <w:lang w:val="en-ZA"/>
        </w:rPr>
        <w:t>c</w:t>
      </w:r>
      <w:r w:rsidRPr="004F683E">
        <w:rPr>
          <w:rFonts w:ascii="Arial" w:hAnsi="Arial" w:cs="Arial"/>
          <w:sz w:val="24"/>
          <w:szCs w:val="24"/>
          <w:lang w:val="en-ZA"/>
        </w:rPr>
        <w:t>ourt's ruling is significant for employment law, where affirmative action and gender-based distinctions in policies, such as parental leave and caregiving responsibilities, must be evaluated within the framework of substantive equality.</w:t>
      </w:r>
    </w:p>
    <w:p w14:paraId="5314882F" w14:textId="1CFAAC12" w:rsidR="00DD7122" w:rsidRPr="009F38E3" w:rsidRDefault="00F61E8A" w:rsidP="002F1691">
      <w:pPr>
        <w:pStyle w:val="Subtitle"/>
        <w:numPr>
          <w:ilvl w:val="0"/>
          <w:numId w:val="0"/>
        </w:numPr>
        <w:ind w:left="1752" w:hanging="964"/>
      </w:pPr>
      <w:bookmarkStart w:id="121" w:name="_Toc189739304"/>
      <w:r>
        <w:t>2.6.1</w:t>
      </w:r>
      <w:r w:rsidR="00DD7122" w:rsidRPr="009F38E3">
        <w:t xml:space="preserve">.2 </w:t>
      </w:r>
      <w:bookmarkStart w:id="122" w:name="_Hlk189591662"/>
      <w:r w:rsidR="00DD7122" w:rsidRPr="009F38E3">
        <w:t>National Coalition for Gay and Lesbian Equality and Another v Minister of Justice</w:t>
      </w:r>
      <w:bookmarkEnd w:id="122"/>
      <w:r w:rsidR="00DD7122" w:rsidRPr="009F38E3">
        <w:t xml:space="preserve"> and Others (CCT11/98) [1998] ZACC 15</w:t>
      </w:r>
      <w:bookmarkEnd w:id="121"/>
    </w:p>
    <w:p w14:paraId="5168596C" w14:textId="1E655CC4" w:rsidR="009341E8" w:rsidRPr="009341E8" w:rsidRDefault="00AB2F9F" w:rsidP="009341E8">
      <w:pPr>
        <w:spacing w:line="360" w:lineRule="auto"/>
        <w:jc w:val="both"/>
        <w:rPr>
          <w:rFonts w:ascii="Arial" w:hAnsi="Arial" w:cs="Arial"/>
          <w:sz w:val="24"/>
          <w:szCs w:val="24"/>
          <w:lang w:val="en-ZA"/>
        </w:rPr>
      </w:pPr>
      <w:r w:rsidRPr="00AB2F9F">
        <w:rPr>
          <w:rFonts w:ascii="Arial" w:hAnsi="Arial" w:cs="Arial"/>
          <w:sz w:val="24"/>
          <w:szCs w:val="24"/>
          <w:lang w:val="en-ZA"/>
        </w:rPr>
        <w:t xml:space="preserve">The </w:t>
      </w:r>
      <w:bookmarkStart w:id="123" w:name="_Hlk189591746"/>
      <w:r w:rsidRPr="00AB2F9F">
        <w:rPr>
          <w:rFonts w:ascii="Arial" w:hAnsi="Arial" w:cs="Arial"/>
          <w:i/>
          <w:iCs/>
          <w:sz w:val="24"/>
          <w:szCs w:val="24"/>
        </w:rPr>
        <w:t>National Coalition for Gay and Lesbian Equality and Another v Minister of Justice</w:t>
      </w:r>
      <w:r w:rsidRPr="00AB2F9F">
        <w:rPr>
          <w:rFonts w:ascii="Arial" w:hAnsi="Arial" w:cs="Arial"/>
          <w:i/>
          <w:iCs/>
          <w:sz w:val="24"/>
          <w:szCs w:val="24"/>
          <w:lang w:val="en-ZA"/>
        </w:rPr>
        <w:t xml:space="preserve"> </w:t>
      </w:r>
      <w:bookmarkEnd w:id="123"/>
      <w:r w:rsidRPr="00AB2F9F">
        <w:rPr>
          <w:rFonts w:ascii="Arial" w:hAnsi="Arial" w:cs="Arial"/>
          <w:sz w:val="24"/>
          <w:szCs w:val="24"/>
          <w:lang w:val="en-ZA"/>
        </w:rPr>
        <w:t xml:space="preserve">case focused on whether regulations that make consenting sexual activity between adult men illegal are constitutional. The South African Human Rights Commission and the National Coalition for Gay and Lesbian Equality, the applicants, contested the common law crime of sodomy as well as legal provisions that made various male-to-male sexual acts illegal and included sodomy in legislative schedules like the </w:t>
      </w:r>
      <w:r w:rsidRPr="00AB2F9F">
        <w:rPr>
          <w:rFonts w:ascii="Arial" w:hAnsi="Arial" w:cs="Arial"/>
          <w:i/>
          <w:iCs/>
          <w:sz w:val="24"/>
          <w:szCs w:val="24"/>
          <w:lang w:val="en-ZA"/>
        </w:rPr>
        <w:t>Security Officers Act</w:t>
      </w:r>
      <w:r w:rsidRPr="00AB2F9F">
        <w:rPr>
          <w:rFonts w:ascii="Arial" w:hAnsi="Arial" w:cs="Arial"/>
          <w:sz w:val="24"/>
          <w:szCs w:val="24"/>
          <w:lang w:val="en-ZA"/>
        </w:rPr>
        <w:t xml:space="preserve"> and the </w:t>
      </w:r>
      <w:r w:rsidRPr="00AB2F9F">
        <w:rPr>
          <w:rFonts w:ascii="Arial" w:hAnsi="Arial" w:cs="Arial"/>
          <w:i/>
          <w:iCs/>
          <w:sz w:val="24"/>
          <w:szCs w:val="24"/>
          <w:lang w:val="en-ZA"/>
        </w:rPr>
        <w:t>Criminal Procedure Act.</w:t>
      </w:r>
      <w:r>
        <w:rPr>
          <w:rStyle w:val="FootnoteReference"/>
          <w:rFonts w:ascii="Arial" w:hAnsi="Arial" w:cs="Arial"/>
          <w:i/>
          <w:iCs/>
          <w:sz w:val="24"/>
          <w:szCs w:val="24"/>
          <w:lang w:val="en-ZA"/>
        </w:rPr>
        <w:footnoteReference w:id="190"/>
      </w:r>
      <w:r>
        <w:rPr>
          <w:rFonts w:ascii="Arial" w:hAnsi="Arial" w:cs="Arial"/>
          <w:i/>
          <w:iCs/>
          <w:sz w:val="24"/>
          <w:szCs w:val="24"/>
          <w:lang w:val="en-ZA"/>
        </w:rPr>
        <w:t xml:space="preserve"> </w:t>
      </w:r>
      <w:r w:rsidRPr="00AB2F9F">
        <w:rPr>
          <w:rFonts w:ascii="Arial" w:hAnsi="Arial" w:cs="Arial"/>
          <w:sz w:val="24"/>
          <w:szCs w:val="24"/>
          <w:lang w:val="en-ZA"/>
        </w:rPr>
        <w:t xml:space="preserve">The main legal issue was whether the </w:t>
      </w:r>
      <w:r w:rsidRPr="009341E8">
        <w:rPr>
          <w:rFonts w:ascii="Arial" w:hAnsi="Arial" w:cs="Arial"/>
          <w:i/>
          <w:iCs/>
          <w:sz w:val="24"/>
          <w:szCs w:val="24"/>
          <w:lang w:val="en-ZA"/>
        </w:rPr>
        <w:t>Constitution</w:t>
      </w:r>
      <w:r w:rsidRPr="00AB2F9F">
        <w:rPr>
          <w:rFonts w:ascii="Arial" w:hAnsi="Arial" w:cs="Arial"/>
          <w:sz w:val="24"/>
          <w:szCs w:val="24"/>
          <w:lang w:val="en-ZA"/>
        </w:rPr>
        <w:t>'s guarantees of equality (section 9), dignity (section 10), and privacy (section 14) had been violated by prohibiting sodomy.</w:t>
      </w:r>
      <w:r w:rsidR="009341E8" w:rsidRPr="009341E8">
        <w:rPr>
          <w:rFonts w:ascii="Times New Roman" w:eastAsia="Times New Roman" w:hAnsi="Times New Roman" w:cs="Times New Roman"/>
          <w:kern w:val="0"/>
          <w:sz w:val="24"/>
          <w:szCs w:val="24"/>
          <w:lang w:val="en-ZA" w:eastAsia="en-ZA"/>
          <w14:ligatures w14:val="none"/>
        </w:rPr>
        <w:t xml:space="preserve"> </w:t>
      </w:r>
      <w:r w:rsidR="009341E8" w:rsidRPr="009341E8">
        <w:rPr>
          <w:rFonts w:ascii="Arial" w:hAnsi="Arial" w:cs="Arial"/>
          <w:sz w:val="24"/>
          <w:szCs w:val="24"/>
          <w:lang w:val="en-ZA"/>
        </w:rPr>
        <w:t xml:space="preserve">Section 36 of the </w:t>
      </w:r>
      <w:r w:rsidR="009341E8" w:rsidRPr="009341E8">
        <w:rPr>
          <w:rFonts w:ascii="Arial" w:hAnsi="Arial" w:cs="Arial"/>
          <w:i/>
          <w:iCs/>
          <w:sz w:val="24"/>
          <w:szCs w:val="24"/>
          <w:lang w:val="en-ZA"/>
        </w:rPr>
        <w:t>Constitution</w:t>
      </w:r>
      <w:r w:rsidR="009341E8" w:rsidRPr="009341E8">
        <w:rPr>
          <w:rFonts w:ascii="Arial" w:hAnsi="Arial" w:cs="Arial"/>
          <w:sz w:val="24"/>
          <w:szCs w:val="24"/>
          <w:lang w:val="en-ZA"/>
        </w:rPr>
        <w:t xml:space="preserve">, which is known as the general limitations clause, required the </w:t>
      </w:r>
      <w:r w:rsidR="007B1FD6">
        <w:rPr>
          <w:rFonts w:ascii="Arial" w:hAnsi="Arial" w:cs="Arial"/>
          <w:sz w:val="24"/>
          <w:szCs w:val="24"/>
          <w:lang w:val="en-ZA"/>
        </w:rPr>
        <w:t>c</w:t>
      </w:r>
      <w:r w:rsidR="009341E8" w:rsidRPr="009341E8">
        <w:rPr>
          <w:rFonts w:ascii="Arial" w:hAnsi="Arial" w:cs="Arial"/>
          <w:sz w:val="24"/>
          <w:szCs w:val="24"/>
          <w:lang w:val="en-ZA"/>
        </w:rPr>
        <w:t>ourt to decide whether any restrictions on fundamental rights could be justified.</w:t>
      </w:r>
      <w:r w:rsidR="009341E8">
        <w:rPr>
          <w:rFonts w:ascii="Arial" w:hAnsi="Arial" w:cs="Arial"/>
          <w:sz w:val="24"/>
          <w:szCs w:val="24"/>
          <w:lang w:val="en-ZA"/>
        </w:rPr>
        <w:t xml:space="preserve"> </w:t>
      </w:r>
      <w:r w:rsidR="009341E8" w:rsidRPr="009341E8">
        <w:rPr>
          <w:rFonts w:ascii="Arial" w:hAnsi="Arial" w:cs="Arial"/>
          <w:sz w:val="24"/>
          <w:szCs w:val="24"/>
          <w:lang w:val="en-ZA"/>
        </w:rPr>
        <w:t xml:space="preserve">The </w:t>
      </w:r>
      <w:r w:rsidR="007B1FD6">
        <w:rPr>
          <w:rFonts w:ascii="Arial" w:hAnsi="Arial" w:cs="Arial"/>
          <w:sz w:val="24"/>
          <w:szCs w:val="24"/>
          <w:lang w:val="en-ZA"/>
        </w:rPr>
        <w:t>c</w:t>
      </w:r>
      <w:r w:rsidR="009341E8" w:rsidRPr="009341E8">
        <w:rPr>
          <w:rFonts w:ascii="Arial" w:hAnsi="Arial" w:cs="Arial"/>
          <w:sz w:val="24"/>
          <w:szCs w:val="24"/>
          <w:lang w:val="en-ZA"/>
        </w:rPr>
        <w:t xml:space="preserve">ourt reiterated that formal equality, which calls for everyone to be treated equally under the law, is not the only thing that the </w:t>
      </w:r>
      <w:r w:rsidR="009341E8" w:rsidRPr="009341E8">
        <w:rPr>
          <w:rFonts w:ascii="Arial" w:hAnsi="Arial" w:cs="Arial"/>
          <w:i/>
          <w:iCs/>
          <w:sz w:val="24"/>
          <w:szCs w:val="24"/>
          <w:lang w:val="en-ZA"/>
        </w:rPr>
        <w:t>Constitution</w:t>
      </w:r>
      <w:r w:rsidR="009341E8" w:rsidRPr="009341E8">
        <w:rPr>
          <w:rFonts w:ascii="Arial" w:hAnsi="Arial" w:cs="Arial"/>
          <w:sz w:val="24"/>
          <w:szCs w:val="24"/>
          <w:lang w:val="en-ZA"/>
        </w:rPr>
        <w:t xml:space="preserve"> guarantees. Rather, it promotes substantive equality, which necessitates resolving historical and institutional barriers </w:t>
      </w:r>
      <w:proofErr w:type="gramStart"/>
      <w:r w:rsidR="009341E8" w:rsidRPr="009341E8">
        <w:rPr>
          <w:rFonts w:ascii="Arial" w:hAnsi="Arial" w:cs="Arial"/>
          <w:sz w:val="24"/>
          <w:szCs w:val="24"/>
          <w:lang w:val="en-ZA"/>
        </w:rPr>
        <w:t>in order to</w:t>
      </w:r>
      <w:proofErr w:type="gramEnd"/>
      <w:r w:rsidR="009341E8" w:rsidRPr="009341E8">
        <w:rPr>
          <w:rFonts w:ascii="Arial" w:hAnsi="Arial" w:cs="Arial"/>
          <w:sz w:val="24"/>
          <w:szCs w:val="24"/>
          <w:lang w:val="en-ZA"/>
        </w:rPr>
        <w:t xml:space="preserve"> actually attain equality.</w:t>
      </w:r>
      <w:r w:rsidR="009341E8">
        <w:rPr>
          <w:rStyle w:val="FootnoteReference"/>
          <w:rFonts w:ascii="Arial" w:hAnsi="Arial" w:cs="Arial"/>
          <w:sz w:val="24"/>
          <w:szCs w:val="24"/>
          <w:lang w:val="en-ZA"/>
        </w:rPr>
        <w:footnoteReference w:id="191"/>
      </w:r>
      <w:r w:rsidR="009341E8" w:rsidRPr="009341E8">
        <w:rPr>
          <w:rFonts w:ascii="Arial" w:hAnsi="Arial" w:cs="Arial"/>
          <w:sz w:val="24"/>
          <w:szCs w:val="24"/>
          <w:lang w:val="en-ZA"/>
        </w:rPr>
        <w:t xml:space="preserve"> This method acknowledges that some groups, like LGBTQ+ people, have experienced discrimination and that their historical and structural exclusion from full participation in society cannot be resolved by just treating them the same as everyone else.</w:t>
      </w:r>
    </w:p>
    <w:p w14:paraId="4B6DF07C" w14:textId="2AFB4AA5" w:rsidR="00AB2F9F" w:rsidRPr="00AB2F9F" w:rsidRDefault="00EC50F4" w:rsidP="00AB2F9F">
      <w:pPr>
        <w:spacing w:line="360" w:lineRule="auto"/>
        <w:jc w:val="both"/>
        <w:rPr>
          <w:rFonts w:ascii="Arial" w:hAnsi="Arial" w:cs="Arial"/>
          <w:sz w:val="24"/>
          <w:szCs w:val="24"/>
          <w:lang w:val="en-ZA"/>
        </w:rPr>
      </w:pPr>
      <w:r w:rsidRPr="00EC50F4">
        <w:rPr>
          <w:rFonts w:ascii="Arial" w:hAnsi="Arial" w:cs="Arial"/>
          <w:sz w:val="24"/>
          <w:szCs w:val="24"/>
          <w:lang w:val="en-ZA"/>
        </w:rPr>
        <w:lastRenderedPageBreak/>
        <w:t xml:space="preserve">The </w:t>
      </w:r>
      <w:r w:rsidR="007B1FD6">
        <w:rPr>
          <w:rFonts w:ascii="Arial" w:hAnsi="Arial" w:cs="Arial"/>
          <w:sz w:val="24"/>
          <w:szCs w:val="24"/>
          <w:lang w:val="en-ZA"/>
        </w:rPr>
        <w:t>c</w:t>
      </w:r>
      <w:r w:rsidRPr="00EC50F4">
        <w:rPr>
          <w:rFonts w:ascii="Arial" w:hAnsi="Arial" w:cs="Arial"/>
          <w:sz w:val="24"/>
          <w:szCs w:val="24"/>
          <w:lang w:val="en-ZA"/>
        </w:rPr>
        <w:t>ourt disregarded any argument in favo</w:t>
      </w:r>
      <w:r>
        <w:rPr>
          <w:rFonts w:ascii="Arial" w:hAnsi="Arial" w:cs="Arial"/>
          <w:sz w:val="24"/>
          <w:szCs w:val="24"/>
          <w:lang w:val="en-ZA"/>
        </w:rPr>
        <w:t>u</w:t>
      </w:r>
      <w:r w:rsidRPr="00EC50F4">
        <w:rPr>
          <w:rFonts w:ascii="Arial" w:hAnsi="Arial" w:cs="Arial"/>
          <w:sz w:val="24"/>
          <w:szCs w:val="24"/>
          <w:lang w:val="en-ZA"/>
        </w:rPr>
        <w:t>r of keeping the sodomy restrictions in place. It concluded that public morality by itself cannot be a valid justification for restricting constitutional rights because doing so would reinforce prejudice rather than eliminate it.</w:t>
      </w:r>
      <w:r>
        <w:rPr>
          <w:rStyle w:val="FootnoteReference"/>
          <w:rFonts w:ascii="Arial" w:hAnsi="Arial" w:cs="Arial"/>
          <w:sz w:val="24"/>
          <w:szCs w:val="24"/>
          <w:lang w:val="en-ZA"/>
        </w:rPr>
        <w:footnoteReference w:id="192"/>
      </w:r>
      <w:r>
        <w:rPr>
          <w:rFonts w:ascii="Arial" w:hAnsi="Arial" w:cs="Arial"/>
          <w:sz w:val="24"/>
          <w:szCs w:val="24"/>
          <w:lang w:val="en-ZA"/>
        </w:rPr>
        <w:t xml:space="preserve"> </w:t>
      </w:r>
      <w:r w:rsidRPr="00EC50F4">
        <w:rPr>
          <w:rFonts w:ascii="Arial" w:hAnsi="Arial" w:cs="Arial"/>
          <w:sz w:val="24"/>
          <w:szCs w:val="24"/>
          <w:lang w:val="en-ZA"/>
        </w:rPr>
        <w:t>It was discovered that while laws that criminalized sodomy permitted identical behaviour between heterosexual couples, they specifically targeted homosexual men. This distinction supported the High Court's invalidity decision since it had no logical relationship to any justifiable state interest.</w:t>
      </w:r>
      <w:r>
        <w:rPr>
          <w:rStyle w:val="FootnoteReference"/>
          <w:rFonts w:ascii="Arial" w:hAnsi="Arial" w:cs="Arial"/>
          <w:sz w:val="24"/>
          <w:szCs w:val="24"/>
          <w:lang w:val="en-ZA"/>
        </w:rPr>
        <w:footnoteReference w:id="193"/>
      </w:r>
      <w:r>
        <w:rPr>
          <w:rFonts w:ascii="Arial" w:hAnsi="Arial" w:cs="Arial"/>
          <w:sz w:val="24"/>
          <w:szCs w:val="24"/>
          <w:lang w:val="en-ZA"/>
        </w:rPr>
        <w:t xml:space="preserve"> </w:t>
      </w:r>
      <w:r w:rsidRPr="00EC50F4">
        <w:rPr>
          <w:rFonts w:ascii="Arial" w:hAnsi="Arial" w:cs="Arial"/>
          <w:sz w:val="24"/>
          <w:szCs w:val="24"/>
          <w:lang w:val="en-ZA"/>
        </w:rPr>
        <w:t xml:space="preserve">The </w:t>
      </w:r>
      <w:r w:rsidR="007B1FD6">
        <w:rPr>
          <w:rFonts w:ascii="Arial" w:hAnsi="Arial" w:cs="Arial"/>
          <w:sz w:val="24"/>
          <w:szCs w:val="24"/>
          <w:lang w:val="en-ZA"/>
        </w:rPr>
        <w:t>c</w:t>
      </w:r>
      <w:r w:rsidRPr="00EC50F4">
        <w:rPr>
          <w:rFonts w:ascii="Arial" w:hAnsi="Arial" w:cs="Arial"/>
          <w:sz w:val="24"/>
          <w:szCs w:val="24"/>
          <w:lang w:val="en-ZA"/>
        </w:rPr>
        <w:t xml:space="preserve">ourt emphasized in its decision that substantive equality, dignity, and privacy are the cornerstones of South Africa's constitutional democracy. It underlined that </w:t>
      </w:r>
      <w:proofErr w:type="gramStart"/>
      <w:r w:rsidRPr="00EC50F4">
        <w:rPr>
          <w:rFonts w:ascii="Arial" w:hAnsi="Arial" w:cs="Arial"/>
          <w:sz w:val="24"/>
          <w:szCs w:val="24"/>
          <w:lang w:val="en-ZA"/>
        </w:rPr>
        <w:t>in order to</w:t>
      </w:r>
      <w:proofErr w:type="gramEnd"/>
      <w:r w:rsidRPr="00EC50F4">
        <w:rPr>
          <w:rFonts w:ascii="Arial" w:hAnsi="Arial" w:cs="Arial"/>
          <w:sz w:val="24"/>
          <w:szCs w:val="24"/>
          <w:lang w:val="en-ZA"/>
        </w:rPr>
        <w:t xml:space="preserve"> guarantee that excluded groups attain full and equal participation in society, regulations that have their roots in historical prejudice must be overturned.</w:t>
      </w:r>
      <w:r>
        <w:rPr>
          <w:rStyle w:val="FootnoteReference"/>
          <w:rFonts w:ascii="Arial" w:hAnsi="Arial" w:cs="Arial"/>
          <w:sz w:val="24"/>
          <w:szCs w:val="24"/>
          <w:lang w:val="en-ZA"/>
        </w:rPr>
        <w:footnoteReference w:id="194"/>
      </w:r>
      <w:r w:rsidR="000B0760">
        <w:rPr>
          <w:rFonts w:ascii="Arial" w:hAnsi="Arial" w:cs="Arial"/>
          <w:sz w:val="24"/>
          <w:szCs w:val="24"/>
          <w:lang w:val="en-ZA"/>
        </w:rPr>
        <w:t xml:space="preserve"> </w:t>
      </w:r>
      <w:r w:rsidR="000B0760" w:rsidRPr="000B0760">
        <w:rPr>
          <w:rFonts w:ascii="Arial" w:hAnsi="Arial" w:cs="Arial"/>
          <w:sz w:val="24"/>
          <w:szCs w:val="24"/>
          <w:lang w:val="en-ZA"/>
        </w:rPr>
        <w:t>The decision established a standard to guarantee that members of the LGBTQ+ community are not denied job opportunities because of their sexual orientation.</w:t>
      </w:r>
      <w:r w:rsidR="000B0760">
        <w:rPr>
          <w:rFonts w:ascii="Arial" w:hAnsi="Arial" w:cs="Arial"/>
          <w:sz w:val="24"/>
          <w:szCs w:val="24"/>
          <w:lang w:val="en-ZA"/>
        </w:rPr>
        <w:t xml:space="preserve"> </w:t>
      </w:r>
      <w:r w:rsidR="000B0760" w:rsidRPr="000B0760">
        <w:rPr>
          <w:rFonts w:ascii="Arial" w:hAnsi="Arial" w:cs="Arial"/>
          <w:sz w:val="24"/>
          <w:szCs w:val="24"/>
          <w:lang w:val="en-ZA"/>
        </w:rPr>
        <w:t>By overturning sodomy statutes, the court upheld the rule that discrimination in the workplace should never be justified by private, consenting adult behavio</w:t>
      </w:r>
      <w:r w:rsidR="000B0760">
        <w:rPr>
          <w:rFonts w:ascii="Arial" w:hAnsi="Arial" w:cs="Arial"/>
          <w:sz w:val="24"/>
          <w:szCs w:val="24"/>
          <w:lang w:val="en-ZA"/>
        </w:rPr>
        <w:t>u</w:t>
      </w:r>
      <w:r w:rsidR="000B0760" w:rsidRPr="000B0760">
        <w:rPr>
          <w:rFonts w:ascii="Arial" w:hAnsi="Arial" w:cs="Arial"/>
          <w:sz w:val="24"/>
          <w:szCs w:val="24"/>
          <w:lang w:val="en-ZA"/>
        </w:rPr>
        <w:t>r.</w:t>
      </w:r>
    </w:p>
    <w:p w14:paraId="35F98CEB" w14:textId="77777777" w:rsidR="00AB2F9F" w:rsidRDefault="00AB2F9F" w:rsidP="00DD7122">
      <w:pPr>
        <w:spacing w:line="360" w:lineRule="auto"/>
        <w:jc w:val="both"/>
        <w:rPr>
          <w:rFonts w:ascii="Arial" w:hAnsi="Arial" w:cs="Arial"/>
          <w:sz w:val="24"/>
          <w:szCs w:val="24"/>
        </w:rPr>
      </w:pPr>
    </w:p>
    <w:p w14:paraId="52F11B52" w14:textId="40A9F641" w:rsidR="00DD7122" w:rsidRPr="009F38E3" w:rsidRDefault="00F61E8A" w:rsidP="000710D1">
      <w:pPr>
        <w:pStyle w:val="Subtitle"/>
        <w:numPr>
          <w:ilvl w:val="0"/>
          <w:numId w:val="0"/>
        </w:numPr>
        <w:ind w:left="1701" w:hanging="907"/>
      </w:pPr>
      <w:bookmarkStart w:id="125" w:name="_Toc189739305"/>
      <w:r>
        <w:t>2.6.1</w:t>
      </w:r>
      <w:r w:rsidR="00DD7122" w:rsidRPr="009F38E3">
        <w:t>.3 Minister of Finance and Other v Van Heerden (CCT 63/03) [2004] ZACC 3</w:t>
      </w:r>
      <w:bookmarkEnd w:id="125"/>
    </w:p>
    <w:p w14:paraId="29ACDBCC" w14:textId="6DE943F5" w:rsidR="003A5874" w:rsidRDefault="00DD7122" w:rsidP="003A5874">
      <w:pPr>
        <w:spacing w:line="360" w:lineRule="auto"/>
        <w:jc w:val="both"/>
        <w:rPr>
          <w:rFonts w:ascii="Arial" w:hAnsi="Arial" w:cs="Arial"/>
          <w:sz w:val="24"/>
          <w:szCs w:val="24"/>
          <w:lang w:val="en-ZA"/>
        </w:rPr>
      </w:pPr>
      <w:r w:rsidRPr="009F38E3">
        <w:rPr>
          <w:rFonts w:ascii="Arial" w:hAnsi="Arial" w:cs="Arial"/>
          <w:sz w:val="24"/>
          <w:szCs w:val="24"/>
        </w:rPr>
        <w:t xml:space="preserve">The Constitutional Court expanded the notion of substantive equality in the South African context by offering a thorough articulation of the concept in </w:t>
      </w:r>
      <w:bookmarkStart w:id="126" w:name="_Hlk189594798"/>
      <w:r w:rsidRPr="009F38E3">
        <w:rPr>
          <w:rFonts w:ascii="Arial" w:hAnsi="Arial" w:cs="Arial"/>
          <w:i/>
          <w:iCs/>
          <w:sz w:val="24"/>
          <w:szCs w:val="24"/>
        </w:rPr>
        <w:t>Minister of Finance v Van Heerden</w:t>
      </w:r>
      <w:bookmarkEnd w:id="126"/>
      <w:r w:rsidRPr="009F38E3">
        <w:rPr>
          <w:rFonts w:ascii="Arial" w:hAnsi="Arial" w:cs="Arial"/>
          <w:sz w:val="24"/>
          <w:szCs w:val="24"/>
        </w:rPr>
        <w:t>. The issue concerned the legitimacy of a pension plan that gave apartheid-disadvantaged people preferential treatment.</w:t>
      </w:r>
      <w:r w:rsidR="003A5874">
        <w:rPr>
          <w:rStyle w:val="FootnoteReference"/>
          <w:rFonts w:ascii="Arial" w:hAnsi="Arial" w:cs="Arial"/>
          <w:sz w:val="24"/>
          <w:szCs w:val="24"/>
        </w:rPr>
        <w:footnoteReference w:id="195"/>
      </w:r>
      <w:r w:rsidRPr="009F38E3">
        <w:rPr>
          <w:rFonts w:ascii="Arial" w:hAnsi="Arial" w:cs="Arial"/>
          <w:sz w:val="24"/>
          <w:szCs w:val="24"/>
        </w:rPr>
        <w:t xml:space="preserve"> </w:t>
      </w:r>
      <w:r w:rsidR="003A5874" w:rsidRPr="003A5874">
        <w:rPr>
          <w:rFonts w:ascii="Arial" w:hAnsi="Arial" w:cs="Arial"/>
          <w:sz w:val="24"/>
          <w:szCs w:val="24"/>
          <w:lang w:val="en-ZA"/>
        </w:rPr>
        <w:t>It started when regulations governing pension funds that offered political office holders varied employer contributions from 1994 to 1999 were challenged. Prior to and following 1994, Frederik Jacobus van Heerden, the respondent, was a member of Parliament for the National Party. The establishment of a new pension system, the Political Office-Bearers Pension system (the Fund), coincided with the shift to democracy.</w:t>
      </w:r>
      <w:r w:rsidR="003A5874">
        <w:rPr>
          <w:rFonts w:ascii="Arial" w:hAnsi="Arial" w:cs="Arial"/>
          <w:sz w:val="24"/>
          <w:szCs w:val="24"/>
          <w:lang w:val="en-ZA"/>
        </w:rPr>
        <w:t xml:space="preserve"> </w:t>
      </w:r>
      <w:r w:rsidR="003A5874" w:rsidRPr="003A5874">
        <w:rPr>
          <w:rFonts w:ascii="Arial" w:hAnsi="Arial" w:cs="Arial"/>
          <w:sz w:val="24"/>
          <w:szCs w:val="24"/>
          <w:lang w:val="en-ZA"/>
        </w:rPr>
        <w:t xml:space="preserve">Members of Category C received a lower employer contribution rate than those in other categories. </w:t>
      </w:r>
      <w:r w:rsidR="003A5874" w:rsidRPr="003A5874">
        <w:rPr>
          <w:rFonts w:ascii="Arial" w:hAnsi="Arial" w:cs="Arial"/>
          <w:sz w:val="24"/>
          <w:szCs w:val="24"/>
          <w:lang w:val="en-ZA"/>
        </w:rPr>
        <w:lastRenderedPageBreak/>
        <w:t>Van Heerden, a member of Category C, contested this distinction, claiming it was unjust discrimination. The High Court decided in his favo</w:t>
      </w:r>
      <w:r w:rsidR="003A5874">
        <w:rPr>
          <w:rFonts w:ascii="Arial" w:hAnsi="Arial" w:cs="Arial"/>
          <w:sz w:val="24"/>
          <w:szCs w:val="24"/>
          <w:lang w:val="en-ZA"/>
        </w:rPr>
        <w:t>u</w:t>
      </w:r>
      <w:r w:rsidR="003A5874" w:rsidRPr="003A5874">
        <w:rPr>
          <w:rFonts w:ascii="Arial" w:hAnsi="Arial" w:cs="Arial"/>
          <w:sz w:val="24"/>
          <w:szCs w:val="24"/>
          <w:lang w:val="en-ZA"/>
        </w:rPr>
        <w:t>r, ruling that the laws governing the pension fund were unconstitutional. The finance minister filed an appeal with the Constitutional Court after being displeased with the decision.</w:t>
      </w:r>
    </w:p>
    <w:p w14:paraId="1C41C880" w14:textId="229CCDA8" w:rsidR="003A5874" w:rsidRPr="003A5874" w:rsidRDefault="003A5874" w:rsidP="003A5874">
      <w:pPr>
        <w:spacing w:line="360" w:lineRule="auto"/>
        <w:jc w:val="both"/>
        <w:rPr>
          <w:rFonts w:ascii="Arial" w:hAnsi="Arial" w:cs="Arial"/>
          <w:sz w:val="24"/>
          <w:szCs w:val="24"/>
          <w:lang w:val="en-ZA"/>
        </w:rPr>
      </w:pPr>
      <w:r w:rsidRPr="003A5874">
        <w:rPr>
          <w:rFonts w:ascii="Arial" w:hAnsi="Arial" w:cs="Arial"/>
          <w:sz w:val="24"/>
          <w:szCs w:val="24"/>
          <w:lang w:val="en-ZA"/>
        </w:rPr>
        <w:t xml:space="preserve">The Constitutional Court's primary inquiry was whether the pension fund's various employer contributions violated </w:t>
      </w:r>
      <w:r w:rsidR="007B1FD6">
        <w:rPr>
          <w:rFonts w:ascii="Arial" w:hAnsi="Arial" w:cs="Arial"/>
          <w:sz w:val="24"/>
          <w:szCs w:val="24"/>
          <w:lang w:val="en-ZA"/>
        </w:rPr>
        <w:t>s</w:t>
      </w:r>
      <w:r w:rsidRPr="003A5874">
        <w:rPr>
          <w:rFonts w:ascii="Arial" w:hAnsi="Arial" w:cs="Arial"/>
          <w:sz w:val="24"/>
          <w:szCs w:val="24"/>
          <w:lang w:val="en-ZA"/>
        </w:rPr>
        <w:t xml:space="preserve">ection 9 of the </w:t>
      </w:r>
      <w:r w:rsidRPr="003A5874">
        <w:rPr>
          <w:rFonts w:ascii="Arial" w:hAnsi="Arial" w:cs="Arial"/>
          <w:i/>
          <w:iCs/>
          <w:sz w:val="24"/>
          <w:szCs w:val="24"/>
          <w:lang w:val="en-ZA"/>
        </w:rPr>
        <w:t>Constitution</w:t>
      </w:r>
      <w:r w:rsidRPr="003A5874">
        <w:rPr>
          <w:rFonts w:ascii="Arial" w:hAnsi="Arial" w:cs="Arial"/>
          <w:sz w:val="24"/>
          <w:szCs w:val="24"/>
          <w:lang w:val="en-ZA"/>
        </w:rPr>
        <w:t xml:space="preserve"> by constituting unjust discrimination. Affirmative action measures under </w:t>
      </w:r>
      <w:r w:rsidR="007B1FD6">
        <w:rPr>
          <w:rFonts w:ascii="Arial" w:hAnsi="Arial" w:cs="Arial"/>
          <w:sz w:val="24"/>
          <w:szCs w:val="24"/>
          <w:lang w:val="en-ZA"/>
        </w:rPr>
        <w:t>s</w:t>
      </w:r>
      <w:r w:rsidRPr="003A5874">
        <w:rPr>
          <w:rFonts w:ascii="Arial" w:hAnsi="Arial" w:cs="Arial"/>
          <w:sz w:val="24"/>
          <w:szCs w:val="24"/>
          <w:lang w:val="en-ZA"/>
        </w:rPr>
        <w:t xml:space="preserve">ection 9(2) of the </w:t>
      </w:r>
      <w:r w:rsidRPr="003A5874">
        <w:rPr>
          <w:rFonts w:ascii="Arial" w:hAnsi="Arial" w:cs="Arial"/>
          <w:i/>
          <w:iCs/>
          <w:sz w:val="24"/>
          <w:szCs w:val="24"/>
          <w:lang w:val="en-ZA"/>
        </w:rPr>
        <w:t>Constitution</w:t>
      </w:r>
      <w:r w:rsidRPr="003A5874">
        <w:rPr>
          <w:rFonts w:ascii="Arial" w:hAnsi="Arial" w:cs="Arial"/>
          <w:sz w:val="24"/>
          <w:szCs w:val="24"/>
          <w:lang w:val="en-ZA"/>
        </w:rPr>
        <w:t xml:space="preserve">, which permits actions intended to advance individuals or groups who were disadvantaged by prior discrimination, required the </w:t>
      </w:r>
      <w:r w:rsidR="007B1FD6">
        <w:rPr>
          <w:rFonts w:ascii="Arial" w:hAnsi="Arial" w:cs="Arial"/>
          <w:sz w:val="24"/>
          <w:szCs w:val="24"/>
          <w:lang w:val="en-ZA"/>
        </w:rPr>
        <w:t>c</w:t>
      </w:r>
      <w:r w:rsidRPr="003A5874">
        <w:rPr>
          <w:rFonts w:ascii="Arial" w:hAnsi="Arial" w:cs="Arial"/>
          <w:sz w:val="24"/>
          <w:szCs w:val="24"/>
          <w:lang w:val="en-ZA"/>
        </w:rPr>
        <w:t>ourt to decide whether this divergence was justifiable. The legitimacy of the pension fund's establishment in accordance with constitutional criteria was another issue.</w:t>
      </w:r>
    </w:p>
    <w:p w14:paraId="70540BF8" w14:textId="43E75CD3" w:rsidR="003A5874" w:rsidRPr="003A5874" w:rsidRDefault="003A5874" w:rsidP="003A5874">
      <w:pPr>
        <w:spacing w:line="360" w:lineRule="auto"/>
        <w:jc w:val="both"/>
        <w:rPr>
          <w:rFonts w:ascii="Arial" w:hAnsi="Arial" w:cs="Arial"/>
          <w:sz w:val="24"/>
          <w:szCs w:val="24"/>
          <w:lang w:val="en-ZA"/>
        </w:rPr>
      </w:pPr>
      <w:r w:rsidRPr="003A5874">
        <w:rPr>
          <w:rFonts w:ascii="Arial" w:hAnsi="Arial" w:cs="Arial"/>
          <w:sz w:val="24"/>
          <w:szCs w:val="24"/>
          <w:lang w:val="en-ZA"/>
        </w:rPr>
        <w:t xml:space="preserve">Section 9 of the </w:t>
      </w:r>
      <w:r w:rsidRPr="003A5874">
        <w:rPr>
          <w:rFonts w:ascii="Arial" w:hAnsi="Arial" w:cs="Arial"/>
          <w:i/>
          <w:iCs/>
          <w:sz w:val="24"/>
          <w:szCs w:val="24"/>
          <w:lang w:val="en-ZA"/>
        </w:rPr>
        <w:t>Constitution</w:t>
      </w:r>
      <w:r w:rsidRPr="003A5874">
        <w:rPr>
          <w:rFonts w:ascii="Arial" w:hAnsi="Arial" w:cs="Arial"/>
          <w:sz w:val="24"/>
          <w:szCs w:val="24"/>
          <w:lang w:val="en-ZA"/>
        </w:rPr>
        <w:t>, which guarantees the right to equality, was applied by the Constitutional Court in resolving these issues.</w:t>
      </w:r>
      <w:r>
        <w:rPr>
          <w:rStyle w:val="FootnoteReference"/>
          <w:rFonts w:ascii="Arial" w:hAnsi="Arial" w:cs="Arial"/>
          <w:sz w:val="24"/>
          <w:szCs w:val="24"/>
          <w:lang w:val="en-ZA"/>
        </w:rPr>
        <w:footnoteReference w:id="196"/>
      </w:r>
      <w:r w:rsidRPr="003A5874">
        <w:rPr>
          <w:rFonts w:ascii="Arial" w:hAnsi="Arial" w:cs="Arial"/>
          <w:sz w:val="24"/>
          <w:szCs w:val="24"/>
          <w:lang w:val="en-ZA"/>
        </w:rPr>
        <w:t xml:space="preserve"> The </w:t>
      </w:r>
      <w:r w:rsidR="007B1FD6">
        <w:rPr>
          <w:rFonts w:ascii="Arial" w:hAnsi="Arial" w:cs="Arial"/>
          <w:sz w:val="24"/>
          <w:szCs w:val="24"/>
          <w:lang w:val="en-ZA"/>
        </w:rPr>
        <w:t>c</w:t>
      </w:r>
      <w:r w:rsidRPr="003A5874">
        <w:rPr>
          <w:rFonts w:ascii="Arial" w:hAnsi="Arial" w:cs="Arial"/>
          <w:sz w:val="24"/>
          <w:szCs w:val="24"/>
          <w:lang w:val="en-ZA"/>
        </w:rPr>
        <w:t xml:space="preserve">ourt reaffirmed the three-pronged test for determining whether a measure qualifies as legitimate affirmative action under </w:t>
      </w:r>
      <w:r w:rsidR="007B1FD6">
        <w:rPr>
          <w:rFonts w:ascii="Arial" w:hAnsi="Arial" w:cs="Arial"/>
          <w:sz w:val="24"/>
          <w:szCs w:val="24"/>
          <w:lang w:val="en-ZA"/>
        </w:rPr>
        <w:t>s</w:t>
      </w:r>
      <w:r w:rsidRPr="003A5874">
        <w:rPr>
          <w:rFonts w:ascii="Arial" w:hAnsi="Arial" w:cs="Arial"/>
          <w:sz w:val="24"/>
          <w:szCs w:val="24"/>
          <w:lang w:val="en-ZA"/>
        </w:rPr>
        <w:t>ection 9(2):</w:t>
      </w:r>
      <w:r w:rsidR="007B1FD6">
        <w:rPr>
          <w:rStyle w:val="FootnoteReference"/>
          <w:rFonts w:ascii="Arial" w:hAnsi="Arial" w:cs="Arial"/>
          <w:sz w:val="24"/>
          <w:szCs w:val="24"/>
          <w:lang w:val="en-ZA"/>
        </w:rPr>
        <w:footnoteReference w:id="197"/>
      </w:r>
      <w:r w:rsidRPr="003A5874">
        <w:rPr>
          <w:rFonts w:ascii="Arial" w:hAnsi="Arial" w:cs="Arial"/>
          <w:sz w:val="24"/>
          <w:szCs w:val="24"/>
          <w:lang w:val="en-ZA"/>
        </w:rPr>
        <w:t xml:space="preserve"> whether the measure targets individuals or groups of individuals who have been disadvantaged by unfair discrimination; whether the measure is intended to protect or advance such individuals or groups of individuals; and whether the measure advances the achievement of substantive equality.</w:t>
      </w:r>
    </w:p>
    <w:p w14:paraId="29659D99" w14:textId="7E38B534" w:rsidR="007B1FD6" w:rsidRPr="007B1FD6" w:rsidRDefault="007B1FD6" w:rsidP="007B1FD6">
      <w:pPr>
        <w:spacing w:line="360" w:lineRule="auto"/>
        <w:jc w:val="both"/>
        <w:rPr>
          <w:rFonts w:ascii="Arial" w:hAnsi="Arial" w:cs="Arial"/>
          <w:sz w:val="24"/>
          <w:szCs w:val="24"/>
          <w:lang w:val="en-ZA"/>
        </w:rPr>
      </w:pPr>
      <w:r w:rsidRPr="007B1FD6">
        <w:rPr>
          <w:rFonts w:ascii="Arial" w:hAnsi="Arial" w:cs="Arial"/>
          <w:sz w:val="24"/>
          <w:szCs w:val="24"/>
          <w:lang w:val="en-ZA"/>
        </w:rPr>
        <w:t xml:space="preserve">The Constitutional Court determined that the pension fund rules were legitimate affirmative action measures under </w:t>
      </w:r>
      <w:r>
        <w:rPr>
          <w:rFonts w:ascii="Arial" w:hAnsi="Arial" w:cs="Arial"/>
          <w:sz w:val="24"/>
          <w:szCs w:val="24"/>
          <w:lang w:val="en-ZA"/>
        </w:rPr>
        <w:t>s</w:t>
      </w:r>
      <w:r w:rsidRPr="007B1FD6">
        <w:rPr>
          <w:rFonts w:ascii="Arial" w:hAnsi="Arial" w:cs="Arial"/>
          <w:sz w:val="24"/>
          <w:szCs w:val="24"/>
          <w:lang w:val="en-ZA"/>
        </w:rPr>
        <w:t xml:space="preserve">ection 9(2) after using this test. According to the Court, the pension plan was created to make up for previous benefit differences between members of the previous regime's Parliament, who had benefited greatly from the CPF, and members of the new democratic Parliament, who were primarily disadvantaged during apartheid. The </w:t>
      </w:r>
      <w:r>
        <w:rPr>
          <w:rFonts w:ascii="Arial" w:hAnsi="Arial" w:cs="Arial"/>
          <w:sz w:val="24"/>
          <w:szCs w:val="24"/>
          <w:lang w:val="en-ZA"/>
        </w:rPr>
        <w:t>c</w:t>
      </w:r>
      <w:r w:rsidRPr="007B1FD6">
        <w:rPr>
          <w:rFonts w:ascii="Arial" w:hAnsi="Arial" w:cs="Arial"/>
          <w:sz w:val="24"/>
          <w:szCs w:val="24"/>
          <w:lang w:val="en-ZA"/>
        </w:rPr>
        <w:t xml:space="preserve">ourt further ruled that well-crafted corrective actions need to be regarded as constitutional, rejecting the claim that affirmative action policies were to be believed to be unjust under </w:t>
      </w:r>
      <w:r>
        <w:rPr>
          <w:rFonts w:ascii="Arial" w:hAnsi="Arial" w:cs="Arial"/>
          <w:sz w:val="24"/>
          <w:szCs w:val="24"/>
          <w:lang w:val="en-ZA"/>
        </w:rPr>
        <w:t>s</w:t>
      </w:r>
      <w:r w:rsidRPr="007B1FD6">
        <w:rPr>
          <w:rFonts w:ascii="Arial" w:hAnsi="Arial" w:cs="Arial"/>
          <w:sz w:val="24"/>
          <w:szCs w:val="24"/>
          <w:lang w:val="en-ZA"/>
        </w:rPr>
        <w:t>ection 9(5). In the end, the Constitutional Court affirmed the appeal and reversed the ruling of the High Court, establishing that the disproportionate contributions made to the pension fund were legal and did not constitute unjust discrimination.</w:t>
      </w:r>
    </w:p>
    <w:p w14:paraId="49439EA4" w14:textId="27D99E4E" w:rsidR="003A5874" w:rsidRPr="003A5874" w:rsidRDefault="007B1FD6" w:rsidP="003A5874">
      <w:pPr>
        <w:spacing w:line="360" w:lineRule="auto"/>
        <w:jc w:val="both"/>
        <w:rPr>
          <w:rFonts w:ascii="Arial" w:hAnsi="Arial" w:cs="Arial"/>
          <w:sz w:val="24"/>
          <w:szCs w:val="24"/>
          <w:lang w:val="en-ZA"/>
        </w:rPr>
      </w:pPr>
      <w:r w:rsidRPr="007B1FD6">
        <w:rPr>
          <w:rFonts w:ascii="Arial" w:hAnsi="Arial" w:cs="Arial"/>
          <w:sz w:val="24"/>
          <w:szCs w:val="24"/>
          <w:lang w:val="en-ZA"/>
        </w:rPr>
        <w:lastRenderedPageBreak/>
        <w:t xml:space="preserve">The </w:t>
      </w:r>
      <w:r w:rsidRPr="007B1FD6">
        <w:rPr>
          <w:rFonts w:ascii="Arial" w:hAnsi="Arial" w:cs="Arial"/>
          <w:i/>
          <w:iCs/>
          <w:sz w:val="24"/>
          <w:szCs w:val="24"/>
          <w:lang w:val="en-ZA"/>
        </w:rPr>
        <w:t>Van Heerden</w:t>
      </w:r>
      <w:r w:rsidRPr="007B1FD6">
        <w:rPr>
          <w:rFonts w:ascii="Arial" w:hAnsi="Arial" w:cs="Arial"/>
          <w:sz w:val="24"/>
          <w:szCs w:val="24"/>
          <w:lang w:val="en-ZA"/>
        </w:rPr>
        <w:t xml:space="preserve"> case has important ramifications for workplace equality, especially with relation to employment equity initiatives and affirmative action regulations. One of the most important takeaways from this decision is that, provided they meet </w:t>
      </w:r>
      <w:r>
        <w:rPr>
          <w:rFonts w:ascii="Arial" w:hAnsi="Arial" w:cs="Arial"/>
          <w:sz w:val="24"/>
          <w:szCs w:val="24"/>
          <w:lang w:val="en-ZA"/>
        </w:rPr>
        <w:t>s</w:t>
      </w:r>
      <w:r w:rsidRPr="007B1FD6">
        <w:rPr>
          <w:rFonts w:ascii="Arial" w:hAnsi="Arial" w:cs="Arial"/>
          <w:sz w:val="24"/>
          <w:szCs w:val="24"/>
          <w:lang w:val="en-ZA"/>
        </w:rPr>
        <w:t xml:space="preserve">ection 9(2) requirements, workplace practices intended to remedy historical injustices do not constitute unfair discrimination. This idea is directly applicable to work environments when prior disadvantages are addressed by initiatives like targeted training programs, preferential hiring, or promotions. According to the ruling, affirmative action policies must be formulated to target historically underprivileged groups, be logically designed to promote those groups, and contribute to substantive equality rather than merely establishing new forms of privilege or exclusion </w:t>
      </w:r>
      <w:proofErr w:type="gramStart"/>
      <w:r w:rsidRPr="007B1FD6">
        <w:rPr>
          <w:rFonts w:ascii="Arial" w:hAnsi="Arial" w:cs="Arial"/>
          <w:sz w:val="24"/>
          <w:szCs w:val="24"/>
          <w:lang w:val="en-ZA"/>
        </w:rPr>
        <w:t>in order to</w:t>
      </w:r>
      <w:proofErr w:type="gramEnd"/>
      <w:r w:rsidRPr="007B1FD6">
        <w:rPr>
          <w:rFonts w:ascii="Arial" w:hAnsi="Arial" w:cs="Arial"/>
          <w:sz w:val="24"/>
          <w:szCs w:val="24"/>
          <w:lang w:val="en-ZA"/>
        </w:rPr>
        <w:t xml:space="preserve"> be legally valid.</w:t>
      </w:r>
    </w:p>
    <w:p w14:paraId="06B1F242" w14:textId="6778F148" w:rsidR="00DD7122" w:rsidRPr="009F38E3" w:rsidRDefault="00DD7122" w:rsidP="00DD7122">
      <w:pPr>
        <w:spacing w:line="360" w:lineRule="auto"/>
        <w:jc w:val="both"/>
        <w:rPr>
          <w:rFonts w:ascii="Arial" w:hAnsi="Arial" w:cs="Arial"/>
          <w:sz w:val="24"/>
          <w:szCs w:val="24"/>
        </w:rPr>
      </w:pPr>
    </w:p>
    <w:p w14:paraId="736A2FBA" w14:textId="39764450" w:rsidR="00DD7122" w:rsidRPr="009F38E3" w:rsidRDefault="00F61E8A" w:rsidP="000710D1">
      <w:pPr>
        <w:pStyle w:val="Heading2"/>
        <w:ind w:left="360"/>
      </w:pPr>
      <w:bookmarkStart w:id="129" w:name="_Toc189739306"/>
      <w:r>
        <w:t>2.6</w:t>
      </w:r>
      <w:r w:rsidR="00DD7122" w:rsidRPr="009F38E3">
        <w:t>.2 The goals of substantive equality</w:t>
      </w:r>
      <w:bookmarkEnd w:id="129"/>
    </w:p>
    <w:p w14:paraId="4BB5F65E"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A strong dedication to resolving long-standing injustices and advancing true social justice is reflected in the constitutional basis for substantive equality. Substantive equality recognizes the widespread effects of historical, social, and economic disadvantages and aims to address them through more comprehensive, focused approaches, in contrast to formal equality, which promotes equal treatment regardless of pre-existing imbalances. This method, which is based on constitutional ideals that place a high value on equality, freedom, and human dignity, calls for a shift away from strict uniformity and toward a more transformational conception of rights and responsibilities. The redistributive justice concept, on which it is partially based, contends that action must be made to address historical discrimination as doing otherwise would put individuals and groups in a different starting position. As a result, the concept of substantive equality holds that the state has an obligation to take positive action to address the effects of discrimination to implement affirmative action policies.</w:t>
      </w:r>
      <w:r w:rsidRPr="009F38E3">
        <w:rPr>
          <w:rFonts w:ascii="Arial" w:hAnsi="Arial" w:cs="Arial"/>
          <w:sz w:val="24"/>
          <w:szCs w:val="24"/>
          <w:vertAlign w:val="superscript"/>
        </w:rPr>
        <w:footnoteReference w:id="198"/>
      </w:r>
      <w:r w:rsidRPr="009F38E3">
        <w:rPr>
          <w:rFonts w:ascii="Arial" w:hAnsi="Arial" w:cs="Arial"/>
          <w:sz w:val="24"/>
          <w:szCs w:val="24"/>
        </w:rPr>
        <w:t xml:space="preserve"> </w:t>
      </w:r>
    </w:p>
    <w:p w14:paraId="1EB96179"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The argument for a substantive approach to equality stems from South Africa's history, as stated in the </w:t>
      </w:r>
      <w:r w:rsidRPr="009F38E3">
        <w:rPr>
          <w:rFonts w:ascii="Arial" w:hAnsi="Arial" w:cs="Arial"/>
          <w:i/>
          <w:iCs/>
          <w:sz w:val="24"/>
          <w:szCs w:val="24"/>
        </w:rPr>
        <w:t>National Coalition for Gay &amp; Lesbian Equality</w:t>
      </w:r>
      <w:r w:rsidRPr="009F38E3">
        <w:rPr>
          <w:rFonts w:ascii="Arial" w:hAnsi="Arial" w:cs="Arial"/>
          <w:sz w:val="24"/>
          <w:szCs w:val="24"/>
        </w:rPr>
        <w:t xml:space="preserve"> case: "People who belong to specific categories have historically faced significant unfair discrimination, especially in a country like South Africa." It is not enough for the </w:t>
      </w:r>
      <w:r w:rsidRPr="009F38E3">
        <w:rPr>
          <w:rFonts w:ascii="Arial" w:hAnsi="Arial" w:cs="Arial"/>
          <w:i/>
          <w:iCs/>
          <w:sz w:val="24"/>
          <w:szCs w:val="24"/>
        </w:rPr>
        <w:t>Constitution</w:t>
      </w:r>
      <w:r w:rsidRPr="009F38E3">
        <w:rPr>
          <w:rFonts w:ascii="Arial" w:hAnsi="Arial" w:cs="Arial"/>
          <w:sz w:val="24"/>
          <w:szCs w:val="24"/>
        </w:rPr>
        <w:t xml:space="preserve"> to merely guarantee the repeal of laws that have historically led to such unjust discrimination </w:t>
      </w:r>
      <w:r w:rsidRPr="009F38E3">
        <w:rPr>
          <w:rFonts w:ascii="Arial" w:hAnsi="Arial" w:cs="Arial"/>
          <w:sz w:val="24"/>
          <w:szCs w:val="24"/>
        </w:rPr>
        <w:lastRenderedPageBreak/>
        <w:t>through its Bill of Rights. The negative effects of past unfair discrimination are often long-lasting; they do not end when the underlying reasons are removed, and they may persist for a long period of time or even forever if they are not addressed. Delays in equality are just as denials of justice.”</w:t>
      </w:r>
      <w:r w:rsidRPr="009F38E3">
        <w:rPr>
          <w:rFonts w:ascii="Arial" w:hAnsi="Arial" w:cs="Arial"/>
          <w:sz w:val="24"/>
          <w:szCs w:val="24"/>
          <w:vertAlign w:val="superscript"/>
        </w:rPr>
        <w:footnoteReference w:id="199"/>
      </w:r>
    </w:p>
    <w:p w14:paraId="3D6C2C5B" w14:textId="2D22B732" w:rsidR="0013095C" w:rsidRPr="0013095C" w:rsidRDefault="0013095C" w:rsidP="00DD7122">
      <w:pPr>
        <w:spacing w:line="360" w:lineRule="auto"/>
        <w:jc w:val="both"/>
        <w:rPr>
          <w:rFonts w:ascii="Arial" w:hAnsi="Arial" w:cs="Arial"/>
          <w:sz w:val="24"/>
          <w:szCs w:val="24"/>
          <w:lang w:val="en-ZA"/>
        </w:rPr>
      </w:pPr>
      <w:r w:rsidRPr="0013095C">
        <w:rPr>
          <w:rFonts w:ascii="Arial" w:hAnsi="Arial" w:cs="Arial"/>
          <w:sz w:val="24"/>
          <w:szCs w:val="24"/>
          <w:lang w:val="en-ZA"/>
        </w:rPr>
        <w:t>By examining its goals, this discussion shows how substantive equality may improve society by removing social barriers and fostering inclusivity. The notion of substantive equality prioritizes resolving long-standing gaps through preventative approaches like affirmative action and legislation which is designed to address lasting inequalities. As it explores how substantive equality explains intersectional disadvantage, it highlights the importance of various interventions in efficiently meeting multiple needs.</w:t>
      </w:r>
    </w:p>
    <w:p w14:paraId="3DF56184" w14:textId="575A473F" w:rsidR="00C84F54" w:rsidRPr="009F38E3" w:rsidRDefault="00C84F54" w:rsidP="00DD7122">
      <w:pPr>
        <w:spacing w:line="360" w:lineRule="auto"/>
        <w:jc w:val="both"/>
        <w:rPr>
          <w:rFonts w:ascii="Arial" w:hAnsi="Arial" w:cs="Arial"/>
          <w:sz w:val="24"/>
          <w:szCs w:val="24"/>
        </w:rPr>
      </w:pPr>
      <w:r w:rsidRPr="009F38E3">
        <w:rPr>
          <w:rFonts w:ascii="Arial" w:hAnsi="Arial" w:cs="Arial"/>
          <w:sz w:val="24"/>
          <w:szCs w:val="24"/>
        </w:rPr>
        <w:t>From the definitions above, the following ‘goals / objectives’ of affirmative action can be identified: (</w:t>
      </w:r>
      <w:proofErr w:type="spellStart"/>
      <w:r w:rsidRPr="009F38E3">
        <w:rPr>
          <w:rFonts w:ascii="Arial" w:hAnsi="Arial" w:cs="Arial"/>
          <w:sz w:val="24"/>
          <w:szCs w:val="24"/>
        </w:rPr>
        <w:t>i</w:t>
      </w:r>
      <w:proofErr w:type="spellEnd"/>
      <w:r w:rsidRPr="009F38E3">
        <w:rPr>
          <w:rFonts w:ascii="Arial" w:hAnsi="Arial" w:cs="Arial"/>
          <w:sz w:val="24"/>
          <w:szCs w:val="24"/>
        </w:rPr>
        <w:t>) Addressing the effects of past discrimination; (ii) Ensuring an equal outcome for everyone; (iii) Protecting the inherent dignity of everyone; (iv) Transforming society.</w:t>
      </w:r>
    </w:p>
    <w:p w14:paraId="1D8CB1F4" w14:textId="6FAE8DF1" w:rsidR="0013095C" w:rsidRPr="0013095C" w:rsidRDefault="00F61E8A" w:rsidP="0013095C">
      <w:pPr>
        <w:pStyle w:val="Subtitle"/>
        <w:numPr>
          <w:ilvl w:val="0"/>
          <w:numId w:val="0"/>
        </w:numPr>
        <w:ind w:left="792"/>
      </w:pPr>
      <w:bookmarkStart w:id="130" w:name="_Toc189739307"/>
      <w:r>
        <w:t>2.6.2</w:t>
      </w:r>
      <w:r w:rsidR="00DD7122" w:rsidRPr="009F38E3">
        <w:t>.1 Addressing</w:t>
      </w:r>
      <w:r w:rsidR="00C84F54" w:rsidRPr="009F38E3">
        <w:t xml:space="preserve"> the</w:t>
      </w:r>
      <w:r w:rsidR="00DD7122" w:rsidRPr="009F38E3">
        <w:t xml:space="preserve"> effects of past discrimination</w:t>
      </w:r>
      <w:bookmarkEnd w:id="130"/>
    </w:p>
    <w:p w14:paraId="0ABCC4DB" w14:textId="58B040FA" w:rsidR="0013095C" w:rsidRPr="0013095C" w:rsidRDefault="0013095C" w:rsidP="00DD7122">
      <w:pPr>
        <w:spacing w:line="360" w:lineRule="auto"/>
        <w:jc w:val="both"/>
        <w:rPr>
          <w:rFonts w:ascii="Arial" w:hAnsi="Arial" w:cs="Arial"/>
          <w:sz w:val="24"/>
          <w:szCs w:val="24"/>
          <w:lang w:val="en-ZA"/>
        </w:rPr>
      </w:pPr>
      <w:r w:rsidRPr="0013095C">
        <w:rPr>
          <w:rFonts w:ascii="Arial" w:hAnsi="Arial" w:cs="Arial"/>
          <w:sz w:val="24"/>
          <w:szCs w:val="24"/>
          <w:lang w:val="en-ZA"/>
        </w:rPr>
        <w:t xml:space="preserve">The notion of substantive equality comprehends that the South African society continues to suffer persistent inequality </w:t>
      </w:r>
      <w:proofErr w:type="gramStart"/>
      <w:r w:rsidRPr="0013095C">
        <w:rPr>
          <w:rFonts w:ascii="Arial" w:hAnsi="Arial" w:cs="Arial"/>
          <w:sz w:val="24"/>
          <w:szCs w:val="24"/>
          <w:lang w:val="en-ZA"/>
        </w:rPr>
        <w:t>as a result of</w:t>
      </w:r>
      <w:proofErr w:type="gramEnd"/>
      <w:r w:rsidRPr="0013095C">
        <w:rPr>
          <w:rFonts w:ascii="Arial" w:hAnsi="Arial" w:cs="Arial"/>
          <w:sz w:val="24"/>
          <w:szCs w:val="24"/>
          <w:lang w:val="en-ZA"/>
        </w:rPr>
        <w:t xml:space="preserve"> past transgressions.</w:t>
      </w:r>
      <w:r w:rsidR="00056583">
        <w:rPr>
          <w:rStyle w:val="FootnoteReference"/>
          <w:rFonts w:ascii="Arial" w:hAnsi="Arial" w:cs="Arial"/>
          <w:sz w:val="24"/>
          <w:szCs w:val="24"/>
          <w:lang w:val="en-ZA"/>
        </w:rPr>
        <w:footnoteReference w:id="200"/>
      </w:r>
      <w:r w:rsidRPr="0013095C">
        <w:rPr>
          <w:rFonts w:ascii="Arial" w:hAnsi="Arial" w:cs="Arial"/>
          <w:sz w:val="24"/>
          <w:szCs w:val="24"/>
          <w:lang w:val="en-ZA"/>
        </w:rPr>
        <w:t xml:space="preserve"> The apartheid government cemented racial and gender inequality, leading to profound differences in the availability of and access to resources, education, and opportunities for certain designated members. Consequently, by taking these disparities and its lasting effects into account and implementing measures to overcome them, substantive equality seeks to address them.</w:t>
      </w:r>
      <w:r w:rsidR="00056583">
        <w:rPr>
          <w:rStyle w:val="FootnoteReference"/>
          <w:rFonts w:ascii="Arial" w:hAnsi="Arial" w:cs="Arial"/>
          <w:sz w:val="24"/>
          <w:szCs w:val="24"/>
          <w:lang w:val="en-ZA"/>
        </w:rPr>
        <w:footnoteReference w:id="201"/>
      </w:r>
      <w:r w:rsidRPr="0013095C">
        <w:rPr>
          <w:rFonts w:ascii="Arial" w:hAnsi="Arial" w:cs="Arial"/>
          <w:sz w:val="24"/>
          <w:szCs w:val="24"/>
          <w:lang w:val="en-ZA"/>
        </w:rPr>
        <w:t xml:space="preserve"> </w:t>
      </w:r>
    </w:p>
    <w:p w14:paraId="047A3969" w14:textId="61D717E5" w:rsidR="00056583" w:rsidRPr="00BB6D2F" w:rsidRDefault="00056583" w:rsidP="00DD7122">
      <w:pPr>
        <w:spacing w:line="360" w:lineRule="auto"/>
        <w:jc w:val="both"/>
        <w:rPr>
          <w:rFonts w:ascii="Arial" w:hAnsi="Arial" w:cs="Arial"/>
          <w:sz w:val="24"/>
          <w:szCs w:val="24"/>
          <w:lang w:val="en-ZA"/>
        </w:rPr>
      </w:pPr>
      <w:r w:rsidRPr="00056583">
        <w:rPr>
          <w:rFonts w:ascii="Arial" w:hAnsi="Arial" w:cs="Arial"/>
          <w:sz w:val="24"/>
          <w:szCs w:val="24"/>
          <w:lang w:val="en-ZA"/>
        </w:rPr>
        <w:t>The extensive political, socioeconomic and legal framework that underpins inequality in South Africa is characterized by institutional marginalization. During the apartheid era, regulations that maintained racial segregation prevented Black South Africans from obtaining property, favourable employment opportunities, and distinguished schooling chances.</w:t>
      </w:r>
      <w:r>
        <w:rPr>
          <w:rStyle w:val="FootnoteReference"/>
          <w:rFonts w:ascii="Arial" w:hAnsi="Arial" w:cs="Arial"/>
          <w:sz w:val="24"/>
          <w:szCs w:val="24"/>
          <w:lang w:val="en-ZA"/>
        </w:rPr>
        <w:footnoteReference w:id="202"/>
      </w:r>
      <w:r w:rsidRPr="00056583">
        <w:rPr>
          <w:rFonts w:ascii="Arial" w:hAnsi="Arial" w:cs="Arial"/>
          <w:sz w:val="24"/>
          <w:szCs w:val="24"/>
          <w:lang w:val="en-ZA"/>
        </w:rPr>
        <w:t xml:space="preserve"> The lack of inclusion was not just racial but also categorized according to gender with Black women </w:t>
      </w:r>
      <w:proofErr w:type="gramStart"/>
      <w:r w:rsidRPr="00056583">
        <w:rPr>
          <w:rFonts w:ascii="Arial" w:hAnsi="Arial" w:cs="Arial"/>
          <w:sz w:val="24"/>
          <w:szCs w:val="24"/>
          <w:lang w:val="en-ZA"/>
        </w:rPr>
        <w:t>in particular facing</w:t>
      </w:r>
      <w:proofErr w:type="gramEnd"/>
      <w:r w:rsidRPr="00056583">
        <w:rPr>
          <w:rFonts w:ascii="Arial" w:hAnsi="Arial" w:cs="Arial"/>
          <w:sz w:val="24"/>
          <w:szCs w:val="24"/>
          <w:lang w:val="en-ZA"/>
        </w:rPr>
        <w:t xml:space="preserve"> a range of discriminatory </w:t>
      </w:r>
      <w:r w:rsidRPr="00056583">
        <w:rPr>
          <w:rFonts w:ascii="Arial" w:hAnsi="Arial" w:cs="Arial"/>
          <w:sz w:val="24"/>
          <w:szCs w:val="24"/>
          <w:lang w:val="en-ZA"/>
        </w:rPr>
        <w:lastRenderedPageBreak/>
        <w:t>behaviours. The dedication to substantive equality in the Constitution is informed by this historical context, emphasizing the need to eradicate systemic disadvantage and advance inclusivity.</w:t>
      </w:r>
    </w:p>
    <w:p w14:paraId="08FA3520" w14:textId="553443EF" w:rsidR="003619F6" w:rsidRPr="003619F6" w:rsidRDefault="003619F6" w:rsidP="00DD7122">
      <w:pPr>
        <w:spacing w:line="360" w:lineRule="auto"/>
        <w:jc w:val="both"/>
        <w:rPr>
          <w:rFonts w:ascii="Arial" w:hAnsi="Arial" w:cs="Arial"/>
          <w:sz w:val="24"/>
          <w:szCs w:val="24"/>
          <w:lang w:val="en-ZA"/>
        </w:rPr>
      </w:pPr>
      <w:r w:rsidRPr="003619F6">
        <w:rPr>
          <w:rFonts w:ascii="Arial" w:hAnsi="Arial" w:cs="Arial"/>
          <w:sz w:val="24"/>
          <w:szCs w:val="24"/>
          <w:lang w:val="en-ZA"/>
        </w:rPr>
        <w:t xml:space="preserve">The importance of correcting past mistakes was made clear by the Constitutional Court in the case of </w:t>
      </w:r>
      <w:r w:rsidRPr="003619F6">
        <w:rPr>
          <w:rFonts w:ascii="Arial" w:hAnsi="Arial" w:cs="Arial"/>
          <w:i/>
          <w:iCs/>
          <w:sz w:val="24"/>
          <w:szCs w:val="24"/>
          <w:lang w:val="en-ZA"/>
        </w:rPr>
        <w:t>Minister of Finance v Van Heerden</w:t>
      </w:r>
      <w:r w:rsidRPr="003619F6">
        <w:rPr>
          <w:rFonts w:ascii="Arial" w:hAnsi="Arial" w:cs="Arial"/>
          <w:sz w:val="24"/>
          <w:szCs w:val="24"/>
          <w:lang w:val="en-ZA"/>
        </w:rPr>
        <w:t>. The court found that a consideration of social, political, and historical contexts is necessary for confronting the enduring prejudices faced by marginalized groups using substantive equality.</w:t>
      </w:r>
      <w:r>
        <w:rPr>
          <w:rStyle w:val="FootnoteReference"/>
          <w:rFonts w:ascii="Arial" w:hAnsi="Arial" w:cs="Arial"/>
          <w:sz w:val="24"/>
          <w:szCs w:val="24"/>
          <w:lang w:val="en-ZA"/>
        </w:rPr>
        <w:footnoteReference w:id="203"/>
      </w:r>
      <w:r w:rsidRPr="003619F6">
        <w:rPr>
          <w:rFonts w:ascii="Arial" w:hAnsi="Arial" w:cs="Arial"/>
          <w:sz w:val="24"/>
          <w:szCs w:val="24"/>
          <w:lang w:val="en-ZA"/>
        </w:rPr>
        <w:t xml:space="preserve"> This court's decision highlighted the transformational requirement of section 9(2) of the Constitution, which allows affirmative action to essentially advance equality.</w:t>
      </w:r>
    </w:p>
    <w:p w14:paraId="287AD398" w14:textId="2F5D180E" w:rsidR="003619F6" w:rsidRPr="00216D0A" w:rsidRDefault="003619F6" w:rsidP="00DD7122">
      <w:pPr>
        <w:spacing w:line="360" w:lineRule="auto"/>
        <w:jc w:val="both"/>
        <w:rPr>
          <w:rFonts w:ascii="Arial" w:hAnsi="Arial" w:cs="Arial"/>
          <w:sz w:val="24"/>
          <w:szCs w:val="24"/>
          <w:lang w:val="en-ZA"/>
        </w:rPr>
      </w:pPr>
      <w:r w:rsidRPr="003619F6">
        <w:rPr>
          <w:rFonts w:ascii="Arial" w:hAnsi="Arial" w:cs="Arial"/>
          <w:sz w:val="24"/>
          <w:szCs w:val="24"/>
          <w:lang w:val="en-ZA"/>
        </w:rPr>
        <w:t>Inequality contributes to cycles of poverty and social marginalization in addition to producing economic suffering. In South Africa, where disadvantaged groups are often pushed to the boundary of both political and economic empowerment, inequality manifests itself in a variety of ways, including differences in access to justice, education, and employment prospects.</w:t>
      </w:r>
      <w:r>
        <w:rPr>
          <w:rStyle w:val="FootnoteReference"/>
          <w:rFonts w:ascii="Arial" w:hAnsi="Arial" w:cs="Arial"/>
          <w:sz w:val="24"/>
          <w:szCs w:val="24"/>
          <w:lang w:val="en-ZA"/>
        </w:rPr>
        <w:footnoteReference w:id="204"/>
      </w:r>
      <w:r w:rsidRPr="003619F6">
        <w:rPr>
          <w:rFonts w:ascii="Arial" w:hAnsi="Arial" w:cs="Arial"/>
          <w:sz w:val="24"/>
          <w:szCs w:val="24"/>
          <w:lang w:val="en-ZA"/>
        </w:rPr>
        <w:t xml:space="preserve"> Substantive equality aims to remove the structural barriers that sustain inequality, such as differential possibilities for education, which perpetuates difficulties over generations by causing a compounding effect on employment opportunities.</w:t>
      </w:r>
      <w:r w:rsidR="00216D0A">
        <w:rPr>
          <w:rStyle w:val="FootnoteReference"/>
          <w:rFonts w:ascii="Arial" w:hAnsi="Arial" w:cs="Arial"/>
          <w:sz w:val="24"/>
          <w:szCs w:val="24"/>
          <w:lang w:val="en-ZA"/>
        </w:rPr>
        <w:footnoteReference w:id="205"/>
      </w:r>
      <w:r w:rsidRPr="003619F6">
        <w:rPr>
          <w:rFonts w:ascii="Arial" w:hAnsi="Arial" w:cs="Arial"/>
          <w:sz w:val="24"/>
          <w:szCs w:val="24"/>
          <w:lang w:val="en-ZA"/>
        </w:rPr>
        <w:t xml:space="preserve"> The Constitutional Court recognized in </w:t>
      </w:r>
      <w:r w:rsidRPr="003619F6">
        <w:rPr>
          <w:rFonts w:ascii="Arial" w:hAnsi="Arial" w:cs="Arial"/>
          <w:i/>
          <w:iCs/>
          <w:sz w:val="24"/>
          <w:szCs w:val="24"/>
          <w:lang w:val="en-ZA"/>
        </w:rPr>
        <w:t>National Coalition for Gay and Lesbian Equality v Minister of Justice</w:t>
      </w:r>
      <w:r w:rsidRPr="003619F6">
        <w:rPr>
          <w:rFonts w:ascii="Arial" w:hAnsi="Arial" w:cs="Arial"/>
          <w:sz w:val="24"/>
          <w:szCs w:val="24"/>
          <w:lang w:val="en-ZA"/>
        </w:rPr>
        <w:t xml:space="preserve"> that merely removing discriminatory laws is insufficient to eradicate the legacy of past injustices; thus, proactive measures are required.</w:t>
      </w:r>
      <w:r w:rsidR="00216D0A">
        <w:rPr>
          <w:rStyle w:val="FootnoteReference"/>
          <w:rFonts w:ascii="Arial" w:hAnsi="Arial" w:cs="Arial"/>
          <w:sz w:val="24"/>
          <w:szCs w:val="24"/>
          <w:lang w:val="en-ZA"/>
        </w:rPr>
        <w:footnoteReference w:id="206"/>
      </w:r>
    </w:p>
    <w:p w14:paraId="388A3C58" w14:textId="265DF80E" w:rsidR="00216D0A" w:rsidRDefault="00216D0A" w:rsidP="00DD7122">
      <w:pPr>
        <w:spacing w:line="360" w:lineRule="auto"/>
        <w:jc w:val="both"/>
        <w:rPr>
          <w:rFonts w:ascii="Arial" w:hAnsi="Arial" w:cs="Arial"/>
          <w:sz w:val="24"/>
          <w:szCs w:val="24"/>
          <w:lang w:val="en-ZA"/>
        </w:rPr>
      </w:pPr>
      <w:r w:rsidRPr="00216D0A">
        <w:rPr>
          <w:rFonts w:ascii="Arial" w:hAnsi="Arial" w:cs="Arial"/>
          <w:sz w:val="24"/>
          <w:szCs w:val="24"/>
          <w:lang w:val="en-ZA"/>
        </w:rPr>
        <w:t>One of the core ideas of substantive equality is the acknowledgment of intersectional disadvantage and the intensified impacts of overlapping forms of historical discrimination. For example, Black women experience prejudice due to their gender and socioeconomic situation in addition to the colour of their skin.</w:t>
      </w:r>
      <w:r w:rsidR="0070580D">
        <w:rPr>
          <w:rStyle w:val="FootnoteReference"/>
          <w:rFonts w:ascii="Arial" w:hAnsi="Arial" w:cs="Arial"/>
          <w:sz w:val="24"/>
          <w:szCs w:val="24"/>
          <w:lang w:val="en-ZA"/>
        </w:rPr>
        <w:footnoteReference w:id="207"/>
      </w:r>
      <w:r w:rsidRPr="00216D0A">
        <w:rPr>
          <w:rFonts w:ascii="Arial" w:hAnsi="Arial" w:cs="Arial"/>
          <w:sz w:val="24"/>
          <w:szCs w:val="24"/>
          <w:lang w:val="en-ZA"/>
        </w:rPr>
        <w:t xml:space="preserve"> Substantive equality, thus, necessitates a thorough strategy that considers various interconnected challenges in order for remedial initiatives to effectively address the everyday situations of marginalized groups.</w:t>
      </w:r>
      <w:r w:rsidR="0070580D">
        <w:rPr>
          <w:rStyle w:val="FootnoteReference"/>
          <w:rFonts w:ascii="Arial" w:hAnsi="Arial" w:cs="Arial"/>
          <w:sz w:val="24"/>
          <w:szCs w:val="24"/>
          <w:lang w:val="en-ZA"/>
        </w:rPr>
        <w:footnoteReference w:id="208"/>
      </w:r>
      <w:r w:rsidRPr="00216D0A">
        <w:rPr>
          <w:rFonts w:ascii="Arial" w:hAnsi="Arial" w:cs="Arial"/>
          <w:sz w:val="24"/>
          <w:szCs w:val="24"/>
          <w:lang w:val="en-ZA"/>
        </w:rPr>
        <w:t xml:space="preserve"> The Constitutional Court highlighted the overlapping nature of disadvantages in </w:t>
      </w:r>
      <w:r w:rsidRPr="00216D0A">
        <w:rPr>
          <w:rFonts w:ascii="Arial" w:hAnsi="Arial" w:cs="Arial"/>
          <w:i/>
          <w:iCs/>
          <w:sz w:val="24"/>
          <w:szCs w:val="24"/>
          <w:lang w:val="en-ZA"/>
        </w:rPr>
        <w:t xml:space="preserve">President of the Republic of South Africa </w:t>
      </w:r>
      <w:r w:rsidRPr="00216D0A">
        <w:rPr>
          <w:rFonts w:ascii="Arial" w:hAnsi="Arial" w:cs="Arial"/>
          <w:i/>
          <w:iCs/>
          <w:sz w:val="24"/>
          <w:szCs w:val="24"/>
          <w:lang w:val="en-ZA"/>
        </w:rPr>
        <w:lastRenderedPageBreak/>
        <w:t>v Hugo</w:t>
      </w:r>
      <w:r w:rsidRPr="00216D0A">
        <w:rPr>
          <w:rFonts w:ascii="Arial" w:hAnsi="Arial" w:cs="Arial"/>
          <w:sz w:val="24"/>
          <w:szCs w:val="24"/>
          <w:lang w:val="en-ZA"/>
        </w:rPr>
        <w:t>,</w:t>
      </w:r>
      <w:r w:rsidR="0070580D">
        <w:rPr>
          <w:rStyle w:val="FootnoteReference"/>
          <w:rFonts w:ascii="Arial" w:hAnsi="Arial" w:cs="Arial"/>
          <w:sz w:val="24"/>
          <w:szCs w:val="24"/>
          <w:lang w:val="en-ZA"/>
        </w:rPr>
        <w:footnoteReference w:id="209"/>
      </w:r>
      <w:r w:rsidRPr="00216D0A">
        <w:rPr>
          <w:rFonts w:ascii="Arial" w:hAnsi="Arial" w:cs="Arial"/>
          <w:sz w:val="24"/>
          <w:szCs w:val="24"/>
          <w:lang w:val="en-ZA"/>
        </w:rPr>
        <w:t xml:space="preserve"> particularly the unique challenges faced by women in patriarchal cultures as the primary caregivers. </w:t>
      </w:r>
      <w:proofErr w:type="gramStart"/>
      <w:r w:rsidR="0070580D" w:rsidRPr="0070580D">
        <w:rPr>
          <w:rFonts w:ascii="Arial" w:hAnsi="Arial" w:cs="Arial"/>
          <w:sz w:val="24"/>
          <w:szCs w:val="24"/>
          <w:lang w:val="en-ZA"/>
        </w:rPr>
        <w:t>In order to</w:t>
      </w:r>
      <w:proofErr w:type="gramEnd"/>
      <w:r w:rsidR="0070580D" w:rsidRPr="0070580D">
        <w:rPr>
          <w:rFonts w:ascii="Arial" w:hAnsi="Arial" w:cs="Arial"/>
          <w:sz w:val="24"/>
          <w:szCs w:val="24"/>
          <w:lang w:val="en-ZA"/>
        </w:rPr>
        <w:t xml:space="preserve"> rectify gendered disparities, the court recognized the need for differential treatment and established program that granted women with minors’ precedence for sentence reductions.</w:t>
      </w:r>
      <w:r w:rsidR="0070580D">
        <w:rPr>
          <w:rStyle w:val="FootnoteReference"/>
          <w:rFonts w:ascii="Arial" w:hAnsi="Arial" w:cs="Arial"/>
          <w:sz w:val="24"/>
          <w:szCs w:val="24"/>
          <w:lang w:val="en-ZA"/>
        </w:rPr>
        <w:footnoteReference w:id="210"/>
      </w:r>
      <w:r w:rsidR="0070580D" w:rsidRPr="0070580D">
        <w:rPr>
          <w:rFonts w:ascii="Arial" w:hAnsi="Arial" w:cs="Arial"/>
          <w:sz w:val="24"/>
          <w:szCs w:val="24"/>
          <w:lang w:val="en-ZA"/>
        </w:rPr>
        <w:t xml:space="preserve"> This instance shows how attaining substantive equality requires taking specific steps to achieve justice and equity.</w:t>
      </w:r>
    </w:p>
    <w:p w14:paraId="62FA62D9" w14:textId="06D1F6D1" w:rsidR="0070580D" w:rsidRPr="0070580D" w:rsidRDefault="0070580D" w:rsidP="00DD7122">
      <w:pPr>
        <w:spacing w:line="360" w:lineRule="auto"/>
        <w:jc w:val="both"/>
        <w:rPr>
          <w:rFonts w:ascii="Arial" w:hAnsi="Arial" w:cs="Arial"/>
          <w:sz w:val="24"/>
          <w:szCs w:val="24"/>
          <w:lang w:val="en-ZA"/>
        </w:rPr>
      </w:pPr>
      <w:r w:rsidRPr="0070580D">
        <w:rPr>
          <w:rFonts w:ascii="Arial" w:hAnsi="Arial" w:cs="Arial"/>
          <w:sz w:val="24"/>
          <w:szCs w:val="24"/>
          <w:lang w:val="en-ZA"/>
        </w:rPr>
        <w:t xml:space="preserve">The issue of unfair treatment in municipal service costs was dealt with by the Constitutional Court in </w:t>
      </w:r>
      <w:r w:rsidRPr="0070580D">
        <w:rPr>
          <w:rFonts w:ascii="Arial" w:hAnsi="Arial" w:cs="Arial"/>
          <w:i/>
          <w:iCs/>
          <w:sz w:val="24"/>
          <w:szCs w:val="24"/>
          <w:lang w:val="en-ZA"/>
        </w:rPr>
        <w:t>City Council of Pretoria v Walker</w:t>
      </w:r>
      <w:r>
        <w:rPr>
          <w:rFonts w:ascii="Arial" w:hAnsi="Arial" w:cs="Arial"/>
          <w:sz w:val="24"/>
          <w:szCs w:val="24"/>
          <w:lang w:val="en-ZA"/>
        </w:rPr>
        <w:t>.</w:t>
      </w:r>
      <w:r w:rsidR="00F40606">
        <w:rPr>
          <w:rStyle w:val="FootnoteReference"/>
          <w:rFonts w:ascii="Arial" w:hAnsi="Arial" w:cs="Arial"/>
          <w:sz w:val="24"/>
          <w:szCs w:val="24"/>
          <w:lang w:val="en-ZA"/>
        </w:rPr>
        <w:footnoteReference w:id="211"/>
      </w:r>
      <w:r w:rsidRPr="0070580D">
        <w:rPr>
          <w:rFonts w:ascii="Arial" w:hAnsi="Arial" w:cs="Arial"/>
          <w:sz w:val="24"/>
          <w:szCs w:val="24"/>
          <w:lang w:val="en-ZA"/>
        </w:rPr>
        <w:t xml:space="preserve"> As per the court, attaining substantive equality requires a technique that is attentive to the larger setting and acknowledges the historical difficulties that specific communities have faced. Therefore, even if uneven treatment may appear discriminatory at first, it can be justified when it seeks to address systemic inequalities and promote justice. The court also emphasized the need for equitable and proportionate discrimination in </w:t>
      </w:r>
      <w:r w:rsidRPr="0070580D">
        <w:rPr>
          <w:rFonts w:ascii="Arial" w:hAnsi="Arial" w:cs="Arial"/>
          <w:i/>
          <w:iCs/>
          <w:sz w:val="24"/>
          <w:szCs w:val="24"/>
          <w:lang w:val="en-ZA"/>
        </w:rPr>
        <w:t>Harksen v Lane NO</w:t>
      </w:r>
      <w:r w:rsidRPr="0070580D">
        <w:rPr>
          <w:rFonts w:ascii="Arial" w:hAnsi="Arial" w:cs="Arial"/>
          <w:sz w:val="24"/>
          <w:szCs w:val="24"/>
          <w:lang w:val="en-ZA"/>
        </w:rPr>
        <w:t>.</w:t>
      </w:r>
      <w:r w:rsidR="00F40606">
        <w:rPr>
          <w:rStyle w:val="FootnoteReference"/>
          <w:rFonts w:ascii="Arial" w:hAnsi="Arial" w:cs="Arial"/>
          <w:sz w:val="24"/>
          <w:szCs w:val="24"/>
          <w:lang w:val="en-ZA"/>
        </w:rPr>
        <w:footnoteReference w:id="212"/>
      </w:r>
      <w:r w:rsidRPr="0070580D">
        <w:rPr>
          <w:rFonts w:ascii="Arial" w:hAnsi="Arial" w:cs="Arial"/>
          <w:sz w:val="24"/>
          <w:szCs w:val="24"/>
          <w:lang w:val="en-ZA"/>
        </w:rPr>
        <w:t xml:space="preserve"> In evaluating discrimination allegations, the judgment created a three-step process that requires courts to consider the impact of the treatment on the complainant's dignity as well as the broader social context of inequality. </w:t>
      </w:r>
    </w:p>
    <w:p w14:paraId="624B82F0" w14:textId="7158BB20" w:rsidR="00DD7122" w:rsidRPr="009F38E3" w:rsidRDefault="00F61E8A" w:rsidP="000710D1">
      <w:pPr>
        <w:pStyle w:val="Subtitle"/>
        <w:numPr>
          <w:ilvl w:val="0"/>
          <w:numId w:val="0"/>
        </w:numPr>
        <w:ind w:left="792"/>
      </w:pPr>
      <w:bookmarkStart w:id="131" w:name="_Toc189739308"/>
      <w:r>
        <w:t>2.6.2</w:t>
      </w:r>
      <w:r w:rsidR="00DD7122" w:rsidRPr="009F38E3">
        <w:t>.2 Ensuring an equal outcome</w:t>
      </w:r>
      <w:bookmarkEnd w:id="131"/>
    </w:p>
    <w:p w14:paraId="08272EB6" w14:textId="459B3FC3" w:rsidR="00F40606" w:rsidRPr="00F40606" w:rsidRDefault="00F40606" w:rsidP="00F40606">
      <w:pPr>
        <w:spacing w:line="360" w:lineRule="auto"/>
        <w:jc w:val="both"/>
        <w:rPr>
          <w:rFonts w:ascii="Arial" w:hAnsi="Arial" w:cs="Arial"/>
          <w:sz w:val="24"/>
          <w:szCs w:val="24"/>
          <w:lang w:val="en-ZA"/>
        </w:rPr>
      </w:pPr>
      <w:r w:rsidRPr="00F40606">
        <w:rPr>
          <w:rFonts w:ascii="Arial" w:hAnsi="Arial" w:cs="Arial"/>
          <w:sz w:val="24"/>
          <w:szCs w:val="24"/>
          <w:lang w:val="en-ZA"/>
        </w:rPr>
        <w:t xml:space="preserve">Equality of outcome, which aims to ensure that all groups in society have equitable representation and access to opportunities, is a crucial component of substantive equality. Section 9(2), commonly identified as the "equality clause," mandates that those who are discriminated against must also be given equal rights and opportunities for progress. According to section 9(2), laws and other actions intended to safeguard or improve the lives of those who are harmed by unjust discrimination may be implemented </w:t>
      </w:r>
      <w:proofErr w:type="gramStart"/>
      <w:r w:rsidRPr="00F40606">
        <w:rPr>
          <w:rFonts w:ascii="Arial" w:hAnsi="Arial" w:cs="Arial"/>
          <w:sz w:val="24"/>
          <w:szCs w:val="24"/>
          <w:lang w:val="en-ZA"/>
        </w:rPr>
        <w:t>in order to</w:t>
      </w:r>
      <w:proofErr w:type="gramEnd"/>
      <w:r w:rsidRPr="00F40606">
        <w:rPr>
          <w:rFonts w:ascii="Arial" w:hAnsi="Arial" w:cs="Arial"/>
          <w:sz w:val="24"/>
          <w:szCs w:val="24"/>
          <w:lang w:val="en-ZA"/>
        </w:rPr>
        <w:t xml:space="preserve"> further the attainment of equality. As a result, affirmative action policies must ultimately result in proportionate representation of groups in the workplace since their primary goal is to address imbalances where real inequities prevail.</w:t>
      </w:r>
      <w:r>
        <w:rPr>
          <w:rStyle w:val="FootnoteReference"/>
          <w:rFonts w:ascii="Arial" w:hAnsi="Arial" w:cs="Arial"/>
          <w:sz w:val="24"/>
          <w:szCs w:val="24"/>
          <w:lang w:val="en-ZA"/>
        </w:rPr>
        <w:footnoteReference w:id="213"/>
      </w:r>
      <w:r w:rsidRPr="00F40606">
        <w:rPr>
          <w:rFonts w:ascii="Arial" w:hAnsi="Arial" w:cs="Arial"/>
          <w:sz w:val="24"/>
          <w:szCs w:val="24"/>
          <w:lang w:val="en-ZA"/>
        </w:rPr>
        <w:t xml:space="preserve"> </w:t>
      </w:r>
    </w:p>
    <w:p w14:paraId="60DE045C" w14:textId="526F66DF" w:rsidR="00FC0917" w:rsidRPr="00FC0917" w:rsidRDefault="00FC0917" w:rsidP="00FC0917">
      <w:pPr>
        <w:spacing w:line="360" w:lineRule="auto"/>
        <w:jc w:val="both"/>
        <w:rPr>
          <w:rFonts w:ascii="Arial" w:hAnsi="Arial" w:cs="Arial"/>
          <w:sz w:val="24"/>
          <w:szCs w:val="24"/>
          <w:lang w:val="en-ZA"/>
        </w:rPr>
      </w:pPr>
      <w:r w:rsidRPr="00FC0917">
        <w:rPr>
          <w:rFonts w:ascii="Arial" w:hAnsi="Arial" w:cs="Arial"/>
          <w:sz w:val="24"/>
          <w:szCs w:val="24"/>
          <w:lang w:val="en-ZA"/>
        </w:rPr>
        <w:t xml:space="preserve">To achieve an equal outcome, treating people differently may be required or appropriate. While equality of outcomes focuses on a more equitable distribution of </w:t>
      </w:r>
      <w:r w:rsidRPr="00FC0917">
        <w:rPr>
          <w:rFonts w:ascii="Arial" w:hAnsi="Arial" w:cs="Arial"/>
          <w:sz w:val="24"/>
          <w:szCs w:val="24"/>
          <w:lang w:val="en-ZA"/>
        </w:rPr>
        <w:lastRenderedPageBreak/>
        <w:t>benefits, equal treatment is based on the notion of legal fairness brought about by identical treatment.</w:t>
      </w:r>
      <w:r>
        <w:rPr>
          <w:rStyle w:val="FootnoteReference"/>
          <w:rFonts w:ascii="Arial" w:hAnsi="Arial" w:cs="Arial"/>
          <w:sz w:val="24"/>
          <w:szCs w:val="24"/>
          <w:lang w:val="en-ZA"/>
        </w:rPr>
        <w:footnoteReference w:id="214"/>
      </w:r>
      <w:r w:rsidRPr="00FC0917">
        <w:rPr>
          <w:rFonts w:ascii="Arial" w:hAnsi="Arial" w:cs="Arial"/>
          <w:sz w:val="24"/>
          <w:szCs w:val="24"/>
          <w:lang w:val="en-ZA"/>
        </w:rPr>
        <w:t xml:space="preserve"> In contrast to their privileged counterparts, historically marginalized groups particularly women, people with disabilities, and Black South Africans are at a significant disadvantage in South Africa's socioeconomic environment, which was brought about by the institutionalized discrimination of apartheid. Therefore, notwithstanding differences in origins or situations, substantive equality aims to guarantee that individuals and groups achieve equitable results.</w:t>
      </w:r>
    </w:p>
    <w:p w14:paraId="033D1EF9" w14:textId="78EF22D1" w:rsidR="00F40606" w:rsidRPr="00FC0917" w:rsidRDefault="00FC0917" w:rsidP="00DD7122">
      <w:pPr>
        <w:spacing w:line="360" w:lineRule="auto"/>
        <w:jc w:val="both"/>
        <w:rPr>
          <w:rFonts w:ascii="Arial" w:hAnsi="Arial" w:cs="Arial"/>
          <w:sz w:val="24"/>
          <w:szCs w:val="24"/>
          <w:lang w:val="en-ZA"/>
        </w:rPr>
      </w:pPr>
      <w:r w:rsidRPr="00FC0917">
        <w:rPr>
          <w:rFonts w:ascii="Arial" w:hAnsi="Arial" w:cs="Arial"/>
          <w:sz w:val="24"/>
          <w:szCs w:val="24"/>
          <w:lang w:val="en-ZA"/>
        </w:rPr>
        <w:t>The philosophical underpinnings of substantive equality, which represent an egalitarian perspective on social justice, places a strong emphasis on the intrinsic value of justice and equitable opportunity distribution.</w:t>
      </w:r>
      <w:r>
        <w:rPr>
          <w:rStyle w:val="FootnoteReference"/>
          <w:rFonts w:ascii="Arial" w:hAnsi="Arial" w:cs="Arial"/>
          <w:sz w:val="24"/>
          <w:szCs w:val="24"/>
          <w:lang w:val="en-ZA"/>
        </w:rPr>
        <w:footnoteReference w:id="215"/>
      </w:r>
      <w:r w:rsidRPr="00FC0917">
        <w:rPr>
          <w:rFonts w:ascii="Arial" w:hAnsi="Arial" w:cs="Arial"/>
          <w:sz w:val="24"/>
          <w:szCs w:val="24"/>
          <w:lang w:val="en-ZA"/>
        </w:rPr>
        <w:t xml:space="preserve"> This point of view prioritizes attaining tangible, equitable outcomes for individuals, especially those from historically marginalized and disadvantaged groups, in addition to eradicating overt discrimination. Thus, equality of outcome is viewed as a moral duty intended to reduce systemic inequities and eradicate ingrained social hierarchies.</w:t>
      </w:r>
      <w:r>
        <w:rPr>
          <w:rStyle w:val="FootnoteReference"/>
          <w:rFonts w:ascii="Arial" w:hAnsi="Arial" w:cs="Arial"/>
          <w:sz w:val="24"/>
          <w:szCs w:val="24"/>
          <w:lang w:val="en-ZA"/>
        </w:rPr>
        <w:footnoteReference w:id="216"/>
      </w:r>
      <w:r w:rsidRPr="00FC0917">
        <w:rPr>
          <w:rFonts w:ascii="Arial" w:hAnsi="Arial" w:cs="Arial"/>
          <w:sz w:val="24"/>
          <w:szCs w:val="24"/>
          <w:lang w:val="en-ZA"/>
        </w:rPr>
        <w:t xml:space="preserve"> </w:t>
      </w:r>
    </w:p>
    <w:p w14:paraId="0BAD3AE8" w14:textId="28124EB8" w:rsidR="001E3E59" w:rsidRPr="009F38E3" w:rsidRDefault="00332C80" w:rsidP="00DD7122">
      <w:pPr>
        <w:spacing w:line="360" w:lineRule="auto"/>
        <w:jc w:val="both"/>
        <w:rPr>
          <w:rFonts w:ascii="Arial" w:hAnsi="Arial" w:cs="Arial"/>
          <w:sz w:val="24"/>
          <w:szCs w:val="24"/>
        </w:rPr>
      </w:pPr>
      <w:r w:rsidRPr="009F38E3">
        <w:rPr>
          <w:rFonts w:ascii="Arial" w:hAnsi="Arial" w:cs="Arial"/>
          <w:sz w:val="24"/>
          <w:szCs w:val="24"/>
        </w:rPr>
        <w:t>By allowing underrepresented groups to attain participation and opportunity levels on par with the general population, affirmative action aims to establish the conditions necessary for equality of outcome. Affirmative action seeks to eliminate structural barriers so that all people and groups can eventually attain comparable outcomes, rather than just levelling the playing field at the beginning.</w:t>
      </w:r>
      <w:r w:rsidRPr="009F38E3">
        <w:rPr>
          <w:rStyle w:val="FootnoteReference"/>
          <w:rFonts w:ascii="Arial" w:hAnsi="Arial" w:cs="Arial"/>
          <w:sz w:val="24"/>
          <w:szCs w:val="24"/>
        </w:rPr>
        <w:footnoteReference w:id="217"/>
      </w:r>
      <w:r w:rsidRPr="009F38E3">
        <w:rPr>
          <w:rFonts w:ascii="Arial" w:hAnsi="Arial" w:cs="Arial"/>
          <w:sz w:val="24"/>
          <w:szCs w:val="24"/>
        </w:rPr>
        <w:t xml:space="preserve"> By emphasizing equity in outcomes rather than just access, this approach makes sure that participation and representation in all sectors mirror the demographics of society. Therefore, it is important to evaluate affirmative action measures based on their capacity to lessen outcomes gaps for targeted groups. These actions must guarantee that systemic obstacles preventing the bulk of these groups from fully participating in society are removed. The values of efficacy and fairness must also be maintained by ensuring that the policies are designed and executed in a manner that is reasonably capable of producing the desired results.</w:t>
      </w:r>
      <w:r w:rsidRPr="009F38E3">
        <w:rPr>
          <w:rStyle w:val="FootnoteReference"/>
          <w:rFonts w:ascii="Arial" w:hAnsi="Arial" w:cs="Arial"/>
          <w:sz w:val="24"/>
          <w:szCs w:val="24"/>
        </w:rPr>
        <w:footnoteReference w:id="218"/>
      </w:r>
    </w:p>
    <w:p w14:paraId="42506556" w14:textId="77777777" w:rsidR="00FC0917" w:rsidRPr="00FC0917" w:rsidRDefault="00FC0917" w:rsidP="00FC0917">
      <w:pPr>
        <w:spacing w:line="360" w:lineRule="auto"/>
        <w:jc w:val="both"/>
        <w:rPr>
          <w:rFonts w:ascii="Arial" w:hAnsi="Arial" w:cs="Arial"/>
          <w:sz w:val="24"/>
          <w:szCs w:val="24"/>
          <w:lang w:val="en-ZA"/>
        </w:rPr>
      </w:pPr>
      <w:r w:rsidRPr="00FC0917">
        <w:rPr>
          <w:rFonts w:ascii="Arial" w:hAnsi="Arial" w:cs="Arial"/>
          <w:sz w:val="24"/>
          <w:szCs w:val="24"/>
          <w:lang w:val="en-ZA"/>
        </w:rPr>
        <w:t xml:space="preserve">Significant equality in the workplace is implemented by the </w:t>
      </w:r>
      <w:r w:rsidRPr="00FC0917">
        <w:rPr>
          <w:rFonts w:ascii="Arial" w:hAnsi="Arial" w:cs="Arial"/>
          <w:i/>
          <w:iCs/>
          <w:sz w:val="24"/>
          <w:szCs w:val="24"/>
          <w:lang w:val="en-ZA"/>
        </w:rPr>
        <w:t>Employment Equity Act</w:t>
      </w:r>
      <w:r w:rsidRPr="00FC0917">
        <w:rPr>
          <w:rFonts w:ascii="Arial" w:hAnsi="Arial" w:cs="Arial"/>
          <w:sz w:val="24"/>
          <w:szCs w:val="24"/>
          <w:lang w:val="en-ZA"/>
        </w:rPr>
        <w:t xml:space="preserve">, which mandates affirmative action and suitable accommodations. By putting rules in </w:t>
      </w:r>
      <w:r w:rsidRPr="00FC0917">
        <w:rPr>
          <w:rFonts w:ascii="Arial" w:hAnsi="Arial" w:cs="Arial"/>
          <w:sz w:val="24"/>
          <w:szCs w:val="24"/>
          <w:lang w:val="en-ZA"/>
        </w:rPr>
        <w:lastRenderedPageBreak/>
        <w:t xml:space="preserve">place that expressly target historically underrepresented groups, section 15 of the </w:t>
      </w:r>
      <w:r w:rsidRPr="00FC0917">
        <w:rPr>
          <w:rFonts w:ascii="Arial" w:hAnsi="Arial" w:cs="Arial"/>
          <w:i/>
          <w:iCs/>
          <w:sz w:val="24"/>
          <w:szCs w:val="24"/>
          <w:lang w:val="en-ZA"/>
        </w:rPr>
        <w:t>EEA</w:t>
      </w:r>
      <w:r w:rsidRPr="00FC0917">
        <w:rPr>
          <w:rFonts w:ascii="Arial" w:hAnsi="Arial" w:cs="Arial"/>
          <w:sz w:val="24"/>
          <w:szCs w:val="24"/>
          <w:lang w:val="en-ZA"/>
        </w:rPr>
        <w:t xml:space="preserve"> highlights how important it is to eliminate systemic barriers and promote fair representation. Reasonable accommodation</w:t>
      </w:r>
      <w:proofErr w:type="gramStart"/>
      <w:r w:rsidRPr="00FC0917">
        <w:rPr>
          <w:rFonts w:ascii="Arial" w:hAnsi="Arial" w:cs="Arial"/>
          <w:sz w:val="24"/>
          <w:szCs w:val="24"/>
          <w:lang w:val="en-ZA"/>
        </w:rPr>
        <w:t>, in particular, calls</w:t>
      </w:r>
      <w:proofErr w:type="gramEnd"/>
      <w:r w:rsidRPr="00FC0917">
        <w:rPr>
          <w:rFonts w:ascii="Arial" w:hAnsi="Arial" w:cs="Arial"/>
          <w:sz w:val="24"/>
          <w:szCs w:val="24"/>
          <w:lang w:val="en-ZA"/>
        </w:rPr>
        <w:t xml:space="preserve"> for modifications to workplace policies or procedures to ensure that preventable barriers do not obstruct equality of outcome and allow individuals with disabilities and other marginalized groups to function efficiently. Hence, reasonable accommodation underscores that proactive, customized measures are required to get equitable results, particularly for those who encounter intensified obstacles caused by intersectionality.</w:t>
      </w:r>
    </w:p>
    <w:p w14:paraId="395B3871" w14:textId="193381FD" w:rsidR="00FC0917" w:rsidRPr="003C4E49" w:rsidRDefault="003C4E49" w:rsidP="00DD7122">
      <w:pPr>
        <w:spacing w:line="360" w:lineRule="auto"/>
        <w:jc w:val="both"/>
        <w:rPr>
          <w:rFonts w:ascii="Arial" w:hAnsi="Arial" w:cs="Arial"/>
          <w:sz w:val="24"/>
          <w:szCs w:val="24"/>
          <w:lang w:val="en-ZA"/>
        </w:rPr>
      </w:pPr>
      <w:r w:rsidRPr="003C4E49">
        <w:rPr>
          <w:rFonts w:ascii="Arial" w:hAnsi="Arial" w:cs="Arial"/>
          <w:sz w:val="24"/>
          <w:szCs w:val="24"/>
          <w:lang w:val="en-ZA"/>
        </w:rPr>
        <w:t xml:space="preserve">It is now evident that achieving substantive equality is capable of being achieved through affirmative action. Unlike formal equality, which would demand equal treatment regardless of social background, substantive equality takes historical injustices and systematic disadvantages into account. The concept of affirmative action is consequently in line with the </w:t>
      </w:r>
      <w:r w:rsidRPr="003C4E49">
        <w:rPr>
          <w:rFonts w:ascii="Arial" w:hAnsi="Arial" w:cs="Arial"/>
          <w:i/>
          <w:iCs/>
          <w:sz w:val="24"/>
          <w:szCs w:val="24"/>
          <w:lang w:val="en-ZA"/>
        </w:rPr>
        <w:t>Constitution</w:t>
      </w:r>
      <w:r w:rsidRPr="003C4E49">
        <w:rPr>
          <w:rFonts w:ascii="Arial" w:hAnsi="Arial" w:cs="Arial"/>
          <w:sz w:val="24"/>
          <w:szCs w:val="24"/>
          <w:lang w:val="en-ZA"/>
        </w:rPr>
        <w:t>'s transformative goals since it encourages equitable outcomes rather than merely equal opportunity. Rather than providing excessive advantages, the goal of substantive equality is to level the playing field.</w:t>
      </w:r>
      <w:r>
        <w:rPr>
          <w:rFonts w:ascii="Arial" w:hAnsi="Arial" w:cs="Arial"/>
          <w:sz w:val="24"/>
          <w:szCs w:val="24"/>
          <w:lang w:val="en-ZA"/>
        </w:rPr>
        <w:t xml:space="preserve"> </w:t>
      </w:r>
      <w:r w:rsidRPr="003C4E49">
        <w:rPr>
          <w:rFonts w:ascii="Arial" w:hAnsi="Arial" w:cs="Arial"/>
          <w:sz w:val="24"/>
          <w:szCs w:val="24"/>
          <w:lang w:val="en-ZA"/>
        </w:rPr>
        <w:t>Affirmative action policies provide the groundwork for a more diverse and equitable society by emphasizing equitable representation and economic inclusion.</w:t>
      </w:r>
    </w:p>
    <w:p w14:paraId="0448505C" w14:textId="1C90969F" w:rsidR="00DD7122" w:rsidRPr="009F38E3" w:rsidRDefault="00F61E8A" w:rsidP="000710D1">
      <w:pPr>
        <w:pStyle w:val="Subtitle"/>
        <w:numPr>
          <w:ilvl w:val="0"/>
          <w:numId w:val="0"/>
        </w:numPr>
        <w:ind w:left="792"/>
      </w:pPr>
      <w:bookmarkStart w:id="133" w:name="_Toc189739309"/>
      <w:r>
        <w:t>2.6.2</w:t>
      </w:r>
      <w:r w:rsidR="00DD7122" w:rsidRPr="009F38E3">
        <w:t>.3 Protecting inherent dignity</w:t>
      </w:r>
      <w:bookmarkEnd w:id="133"/>
    </w:p>
    <w:p w14:paraId="653F7AEA" w14:textId="2B309FDC" w:rsidR="00DD7122" w:rsidRPr="003C4E49" w:rsidRDefault="003C4E49" w:rsidP="00DD7122">
      <w:pPr>
        <w:spacing w:line="360" w:lineRule="auto"/>
        <w:jc w:val="both"/>
        <w:rPr>
          <w:rFonts w:ascii="Arial" w:hAnsi="Arial" w:cs="Arial"/>
          <w:sz w:val="24"/>
          <w:szCs w:val="24"/>
          <w:lang w:val="en-ZA"/>
        </w:rPr>
      </w:pPr>
      <w:r w:rsidRPr="003C4E49">
        <w:rPr>
          <w:rFonts w:ascii="Arial" w:hAnsi="Arial" w:cs="Arial"/>
          <w:sz w:val="24"/>
          <w:szCs w:val="24"/>
          <w:lang w:val="en-ZA"/>
        </w:rPr>
        <w:t xml:space="preserve">Maintaining the inherent value of </w:t>
      </w:r>
      <w:proofErr w:type="gramStart"/>
      <w:r w:rsidRPr="003C4E49">
        <w:rPr>
          <w:rFonts w:ascii="Arial" w:hAnsi="Arial" w:cs="Arial"/>
          <w:sz w:val="24"/>
          <w:szCs w:val="24"/>
          <w:lang w:val="en-ZA"/>
        </w:rPr>
        <w:t>each individual</w:t>
      </w:r>
      <w:proofErr w:type="gramEnd"/>
      <w:r w:rsidRPr="003C4E49">
        <w:rPr>
          <w:rFonts w:ascii="Arial" w:hAnsi="Arial" w:cs="Arial"/>
          <w:sz w:val="24"/>
          <w:szCs w:val="24"/>
          <w:lang w:val="en-ZA"/>
        </w:rPr>
        <w:t xml:space="preserve"> is another goal of substantive equality, in addition to pursuing equal outcomes and correcting historical injustices. This focus on dignity recognizes that equality and appreciating each person's intrinsic value regardless of their social, historical, or economic background are closely related. </w:t>
      </w:r>
      <w:proofErr w:type="gramStart"/>
      <w:r w:rsidRPr="003C4E49">
        <w:rPr>
          <w:rFonts w:ascii="Arial" w:hAnsi="Arial" w:cs="Arial"/>
          <w:sz w:val="24"/>
          <w:szCs w:val="24"/>
          <w:lang w:val="en-ZA"/>
        </w:rPr>
        <w:t>In order to</w:t>
      </w:r>
      <w:proofErr w:type="gramEnd"/>
      <w:r w:rsidRPr="003C4E49">
        <w:rPr>
          <w:rFonts w:ascii="Arial" w:hAnsi="Arial" w:cs="Arial"/>
          <w:sz w:val="24"/>
          <w:szCs w:val="24"/>
          <w:lang w:val="en-ZA"/>
        </w:rPr>
        <w:t xml:space="preserve"> achieve substantive equality, upholding dignity demonstrates a stronger moral and constitutional commitment to establishing a society where everyone is valued and treated fairly. Human dignity is enshrined as the cornerstone of equality in section 1 of the </w:t>
      </w:r>
      <w:r w:rsidRPr="003C4E49">
        <w:rPr>
          <w:rFonts w:ascii="Arial" w:hAnsi="Arial" w:cs="Arial"/>
          <w:i/>
          <w:iCs/>
          <w:sz w:val="24"/>
          <w:szCs w:val="24"/>
          <w:lang w:val="en-ZA"/>
        </w:rPr>
        <w:t>Constitution</w:t>
      </w:r>
      <w:r w:rsidRPr="003C4E49">
        <w:rPr>
          <w:rFonts w:ascii="Arial" w:hAnsi="Arial" w:cs="Arial"/>
          <w:sz w:val="24"/>
          <w:szCs w:val="24"/>
          <w:lang w:val="en-ZA"/>
        </w:rPr>
        <w:t>, which defines it as a fundamental principle of the Republic. In addition, section 10 states that "everyone has inherent dignity and the right to have their dignity respected and protected</w:t>
      </w:r>
      <w:r>
        <w:rPr>
          <w:rFonts w:ascii="Arial" w:hAnsi="Arial" w:cs="Arial"/>
          <w:sz w:val="24"/>
          <w:szCs w:val="24"/>
          <w:lang w:val="en-ZA"/>
        </w:rPr>
        <w:t>.</w:t>
      </w:r>
      <w:r w:rsidRPr="003C4E49">
        <w:rPr>
          <w:rFonts w:ascii="Arial" w:hAnsi="Arial" w:cs="Arial"/>
          <w:sz w:val="24"/>
          <w:szCs w:val="24"/>
          <w:lang w:val="en-ZA"/>
        </w:rPr>
        <w:t>" Thus, according to this constitutional framework, dignity is not just an ideal but also a necessary value that influences the application of equality.</w:t>
      </w:r>
    </w:p>
    <w:p w14:paraId="4F5B5B42" w14:textId="391940DD" w:rsidR="00DD7122" w:rsidRPr="003C4E49" w:rsidRDefault="003C4E49" w:rsidP="00DD7122">
      <w:pPr>
        <w:spacing w:line="360" w:lineRule="auto"/>
        <w:jc w:val="both"/>
        <w:rPr>
          <w:rFonts w:ascii="Arial" w:hAnsi="Arial" w:cs="Arial"/>
          <w:sz w:val="24"/>
          <w:szCs w:val="24"/>
          <w:lang w:val="en-ZA"/>
        </w:rPr>
      </w:pPr>
      <w:r w:rsidRPr="003C4E49">
        <w:rPr>
          <w:rFonts w:ascii="Arial" w:hAnsi="Arial" w:cs="Arial"/>
          <w:sz w:val="24"/>
          <w:szCs w:val="24"/>
          <w:lang w:val="en-ZA"/>
        </w:rPr>
        <w:t xml:space="preserve">As our courts have explicitly affirmed, attaining equality necessitates recognizing the equal moral worth of every individual. Courts often examine the relationship between </w:t>
      </w:r>
      <w:r w:rsidRPr="003C4E49">
        <w:rPr>
          <w:rFonts w:ascii="Arial" w:hAnsi="Arial" w:cs="Arial"/>
          <w:sz w:val="24"/>
          <w:szCs w:val="24"/>
          <w:lang w:val="en-ZA"/>
        </w:rPr>
        <w:lastRenderedPageBreak/>
        <w:t xml:space="preserve">the right to equality and the core constitutional value of human dignity when developing case law to elucidate its meaning. In </w:t>
      </w:r>
      <w:r w:rsidRPr="003C4E49">
        <w:rPr>
          <w:rFonts w:ascii="Arial" w:hAnsi="Arial" w:cs="Arial"/>
          <w:i/>
          <w:iCs/>
          <w:sz w:val="24"/>
          <w:szCs w:val="24"/>
          <w:lang w:val="en-ZA"/>
        </w:rPr>
        <w:t>President RSA v Hugo</w:t>
      </w:r>
      <w:r w:rsidRPr="003C4E49">
        <w:rPr>
          <w:rFonts w:ascii="Arial" w:hAnsi="Arial" w:cs="Arial"/>
          <w:sz w:val="24"/>
          <w:szCs w:val="24"/>
          <w:lang w:val="en-ZA"/>
        </w:rPr>
        <w:t>, the Constitutional Court provided the following description of this crucial connection between equality and human dignity</w:t>
      </w:r>
      <w:r w:rsidR="00DD7122" w:rsidRPr="009F38E3">
        <w:rPr>
          <w:rFonts w:ascii="Arial" w:hAnsi="Arial" w:cs="Arial"/>
          <w:sz w:val="24"/>
          <w:szCs w:val="24"/>
        </w:rPr>
        <w:t>: "The prohibition on unfair discrimination aspires not merely to avoid discrimination against those belonging to underprivileged classes. It looks for more than that. The recognition at the core of the ban on unjust discrimination that our new constitutional and democratic system's goal is the creation of a society in which everyone is treated equally</w:t>
      </w:r>
      <w:r w:rsidR="00332C80" w:rsidRPr="009F38E3">
        <w:rPr>
          <w:rFonts w:ascii="Arial" w:hAnsi="Arial" w:cs="Arial"/>
          <w:sz w:val="24"/>
          <w:szCs w:val="24"/>
        </w:rPr>
        <w:t xml:space="preserve">, with </w:t>
      </w:r>
      <w:r w:rsidR="00DD7122" w:rsidRPr="009F38E3">
        <w:rPr>
          <w:rFonts w:ascii="Arial" w:hAnsi="Arial" w:cs="Arial"/>
          <w:sz w:val="24"/>
          <w:szCs w:val="24"/>
        </w:rPr>
        <w:t>respect and decency irrespective of their affiliation with various groups.</w:t>
      </w:r>
      <w:r w:rsidR="00DD7122" w:rsidRPr="009F38E3">
        <w:rPr>
          <w:rFonts w:ascii="Arial" w:hAnsi="Arial" w:cs="Arial"/>
          <w:sz w:val="24"/>
          <w:szCs w:val="24"/>
          <w:vertAlign w:val="superscript"/>
        </w:rPr>
        <w:footnoteReference w:id="219"/>
      </w:r>
      <w:r w:rsidR="00DD7122" w:rsidRPr="009F38E3">
        <w:rPr>
          <w:rFonts w:ascii="Arial" w:hAnsi="Arial" w:cs="Arial"/>
          <w:sz w:val="24"/>
          <w:szCs w:val="24"/>
        </w:rPr>
        <w:t xml:space="preserve"> In </w:t>
      </w:r>
      <w:r w:rsidR="00DD7122" w:rsidRPr="009F38E3">
        <w:rPr>
          <w:rFonts w:ascii="Arial" w:hAnsi="Arial" w:cs="Arial"/>
          <w:i/>
          <w:iCs/>
          <w:sz w:val="24"/>
          <w:szCs w:val="24"/>
        </w:rPr>
        <w:t>Prinsloo</w:t>
      </w:r>
      <w:r w:rsidR="00717506" w:rsidRPr="009F38E3">
        <w:rPr>
          <w:rFonts w:ascii="Arial" w:hAnsi="Arial" w:cs="Arial"/>
          <w:i/>
          <w:iCs/>
          <w:sz w:val="24"/>
          <w:szCs w:val="24"/>
        </w:rPr>
        <w:t xml:space="preserve"> v</w:t>
      </w:r>
      <w:r w:rsidR="00DD7122" w:rsidRPr="009F38E3">
        <w:rPr>
          <w:rFonts w:ascii="Arial" w:hAnsi="Arial" w:cs="Arial"/>
          <w:i/>
          <w:iCs/>
          <w:sz w:val="24"/>
          <w:szCs w:val="24"/>
        </w:rPr>
        <w:t xml:space="preserve"> Van der Linde</w:t>
      </w:r>
      <w:r w:rsidR="00DD7122" w:rsidRPr="009F38E3">
        <w:rPr>
          <w:rFonts w:ascii="Arial" w:hAnsi="Arial" w:cs="Arial"/>
          <w:sz w:val="24"/>
          <w:szCs w:val="24"/>
        </w:rPr>
        <w:t>,</w:t>
      </w:r>
      <w:r w:rsidR="00DD7122" w:rsidRPr="009F38E3">
        <w:rPr>
          <w:rFonts w:ascii="Arial" w:hAnsi="Arial" w:cs="Arial"/>
          <w:sz w:val="24"/>
          <w:szCs w:val="24"/>
          <w:vertAlign w:val="superscript"/>
        </w:rPr>
        <w:footnoteReference w:id="220"/>
      </w:r>
      <w:r w:rsidR="00DD7122" w:rsidRPr="009F38E3">
        <w:rPr>
          <w:rFonts w:ascii="Arial" w:hAnsi="Arial" w:cs="Arial"/>
          <w:sz w:val="24"/>
          <w:szCs w:val="24"/>
        </w:rPr>
        <w:t xml:space="preserve"> the court further demonstrated its explicit links between the right to equality and the value of human dignity by stating: "We are emerging from a period of our history during which the humanity of the majority of the inhabitants of this country was denied." Instead of being viewed as individuals with boundless value, they were viewed as objects whose identities could be determined at will by people in positions of authority. In other words, their intrinsic dignity was not acknowledged. </w:t>
      </w:r>
    </w:p>
    <w:p w14:paraId="7EC8D1FB" w14:textId="2F189A8E"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Whether it is systemic or direct, discrimination frequently violates the dignity of individuals who are impacted. The concept of substantive equality acknowledges that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repair and preserve the dignity of those who are disadvantaged, laws or policies must actively combat these discriminatory behaviours. This was demonstrated by the court in </w:t>
      </w:r>
      <w:r w:rsidRPr="009F38E3">
        <w:rPr>
          <w:rFonts w:ascii="Arial" w:hAnsi="Arial" w:cs="Arial"/>
          <w:i/>
          <w:iCs/>
          <w:sz w:val="24"/>
          <w:szCs w:val="24"/>
        </w:rPr>
        <w:t>National Coalition for Gay and Lesbian Equality</w:t>
      </w:r>
      <w:r w:rsidR="00717506" w:rsidRPr="009F38E3">
        <w:rPr>
          <w:rFonts w:ascii="Arial" w:hAnsi="Arial" w:cs="Arial"/>
          <w:i/>
          <w:iCs/>
          <w:sz w:val="24"/>
          <w:szCs w:val="24"/>
        </w:rPr>
        <w:t xml:space="preserve"> v</w:t>
      </w:r>
      <w:r w:rsidRPr="009F38E3">
        <w:rPr>
          <w:rFonts w:ascii="Arial" w:hAnsi="Arial" w:cs="Arial"/>
          <w:i/>
          <w:iCs/>
          <w:sz w:val="24"/>
          <w:szCs w:val="24"/>
        </w:rPr>
        <w:t xml:space="preserve"> Minister of Justice</w:t>
      </w:r>
      <w:r w:rsidRPr="009F38E3">
        <w:rPr>
          <w:rFonts w:ascii="Arial" w:hAnsi="Arial" w:cs="Arial"/>
          <w:sz w:val="24"/>
          <w:szCs w:val="24"/>
        </w:rPr>
        <w:t xml:space="preserve">, which overturned sodomy legislation that dehumanized and disenfranchised the LGBTQ+ population. The court's decision recognized that these restrictions denied people their right to dignity by sustaining social injustices and stigma. In </w:t>
      </w:r>
      <w:r w:rsidRPr="009F38E3">
        <w:rPr>
          <w:rFonts w:ascii="Arial" w:hAnsi="Arial" w:cs="Arial"/>
          <w:i/>
          <w:iCs/>
          <w:sz w:val="24"/>
          <w:szCs w:val="24"/>
        </w:rPr>
        <w:t>Minister of Finance</w:t>
      </w:r>
      <w:r w:rsidR="00717506" w:rsidRPr="009F38E3">
        <w:rPr>
          <w:rFonts w:ascii="Arial" w:hAnsi="Arial" w:cs="Arial"/>
          <w:i/>
          <w:iCs/>
          <w:sz w:val="24"/>
          <w:szCs w:val="24"/>
        </w:rPr>
        <w:t xml:space="preserve"> v</w:t>
      </w:r>
      <w:r w:rsidRPr="009F38E3">
        <w:rPr>
          <w:rFonts w:ascii="Arial" w:hAnsi="Arial" w:cs="Arial"/>
          <w:i/>
          <w:iCs/>
          <w:sz w:val="24"/>
          <w:szCs w:val="24"/>
        </w:rPr>
        <w:t xml:space="preserve"> Van Heerden</w:t>
      </w:r>
      <w:r w:rsidRPr="009F38E3">
        <w:rPr>
          <w:rFonts w:ascii="Arial" w:hAnsi="Arial" w:cs="Arial"/>
          <w:sz w:val="24"/>
          <w:szCs w:val="24"/>
        </w:rPr>
        <w:t xml:space="preserve">, the court stressed that evaluating the implications of policies on people’s dignity in addition to assessing their fairness is necessary for substantive equality. Policies that disregard previous injustices or prolong inequality can degrade the dignity of oppressed people.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achieve substantive equality, a comprehensive strategy that targets systemic inequalities and guarantees that people feel appreciated and respected in society is required. There are wider societal repercussions when dignity is preserved by substantive equality. By dispelling myths and encouraging respect amongst various groups, it strengthens social cohesion. This </w:t>
      </w:r>
      <w:r w:rsidRPr="009F38E3">
        <w:rPr>
          <w:rFonts w:ascii="Arial" w:hAnsi="Arial" w:cs="Arial"/>
          <w:sz w:val="24"/>
          <w:szCs w:val="24"/>
        </w:rPr>
        <w:lastRenderedPageBreak/>
        <w:t>is consistent with egalitarian ideas, which view dignity as a human quality that bridges societal boundaries.</w:t>
      </w:r>
      <w:r w:rsidRPr="009F38E3">
        <w:rPr>
          <w:rFonts w:ascii="Arial" w:hAnsi="Arial" w:cs="Arial"/>
          <w:sz w:val="24"/>
          <w:szCs w:val="24"/>
          <w:vertAlign w:val="superscript"/>
        </w:rPr>
        <w:footnoteReference w:id="221"/>
      </w:r>
      <w:r w:rsidRPr="009F38E3">
        <w:rPr>
          <w:rFonts w:ascii="Arial" w:hAnsi="Arial" w:cs="Arial"/>
          <w:sz w:val="24"/>
          <w:szCs w:val="24"/>
        </w:rPr>
        <w:t xml:space="preserve"> </w:t>
      </w:r>
    </w:p>
    <w:p w14:paraId="792C96AC" w14:textId="0A3D3F04"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Through its interpretation of the concept of dignity in connection to equality, the </w:t>
      </w:r>
      <w:r w:rsidR="00332C80" w:rsidRPr="009F38E3">
        <w:rPr>
          <w:rFonts w:ascii="Arial" w:hAnsi="Arial" w:cs="Arial"/>
          <w:sz w:val="24"/>
          <w:szCs w:val="24"/>
        </w:rPr>
        <w:t>C</w:t>
      </w:r>
      <w:r w:rsidRPr="009F38E3">
        <w:rPr>
          <w:rFonts w:ascii="Arial" w:hAnsi="Arial" w:cs="Arial"/>
          <w:sz w:val="24"/>
          <w:szCs w:val="24"/>
        </w:rPr>
        <w:t xml:space="preserve">onstitutional </w:t>
      </w:r>
      <w:r w:rsidR="00332C80" w:rsidRPr="009F38E3">
        <w:rPr>
          <w:rFonts w:ascii="Arial" w:hAnsi="Arial" w:cs="Arial"/>
          <w:sz w:val="24"/>
          <w:szCs w:val="24"/>
        </w:rPr>
        <w:t>C</w:t>
      </w:r>
      <w:r w:rsidRPr="009F38E3">
        <w:rPr>
          <w:rFonts w:ascii="Arial" w:hAnsi="Arial" w:cs="Arial"/>
          <w:sz w:val="24"/>
          <w:szCs w:val="24"/>
        </w:rPr>
        <w:t xml:space="preserve">ourt has given reality to the principle of "equal concern and respect." This fundamental principle of the </w:t>
      </w:r>
      <w:r w:rsidRPr="009F38E3">
        <w:rPr>
          <w:rFonts w:ascii="Arial" w:hAnsi="Arial" w:cs="Arial"/>
          <w:i/>
          <w:iCs/>
          <w:sz w:val="24"/>
          <w:szCs w:val="24"/>
        </w:rPr>
        <w:t>Constitution</w:t>
      </w:r>
      <w:r w:rsidRPr="009F38E3">
        <w:rPr>
          <w:rFonts w:ascii="Arial" w:hAnsi="Arial" w:cs="Arial"/>
          <w:sz w:val="24"/>
          <w:szCs w:val="24"/>
        </w:rPr>
        <w:t xml:space="preserve"> seeks to guarantee that every person is seen as deserving of respect and worth in a democracy. In essence, applying dignity to equality entails identifying and correcting arbitrary or unreasonable treatment of people or groups, especially when that treatment is motivated by unlawful considerations like race. In </w:t>
      </w:r>
      <w:r w:rsidRPr="009F38E3">
        <w:rPr>
          <w:rFonts w:ascii="Arial" w:hAnsi="Arial" w:cs="Arial"/>
          <w:i/>
          <w:iCs/>
          <w:sz w:val="24"/>
          <w:szCs w:val="24"/>
        </w:rPr>
        <w:t>Pretoria City Council</w:t>
      </w:r>
      <w:r w:rsidR="00717506" w:rsidRPr="009F38E3">
        <w:rPr>
          <w:rFonts w:ascii="Arial" w:hAnsi="Arial" w:cs="Arial"/>
          <w:i/>
          <w:iCs/>
          <w:sz w:val="24"/>
          <w:szCs w:val="24"/>
        </w:rPr>
        <w:t xml:space="preserve"> v</w:t>
      </w:r>
      <w:r w:rsidRPr="009F38E3">
        <w:rPr>
          <w:rFonts w:ascii="Arial" w:hAnsi="Arial" w:cs="Arial"/>
          <w:i/>
          <w:iCs/>
          <w:sz w:val="24"/>
          <w:szCs w:val="24"/>
        </w:rPr>
        <w:t xml:space="preserve"> Walker</w:t>
      </w:r>
      <w:r w:rsidRPr="009F38E3">
        <w:rPr>
          <w:rFonts w:ascii="Arial" w:hAnsi="Arial" w:cs="Arial"/>
          <w:sz w:val="24"/>
          <w:szCs w:val="24"/>
        </w:rPr>
        <w:t xml:space="preserve">, the court addressed the racially unequal execution of municipal debts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illustrate this concept. The approach that ultimately settled the case was one in which primarily white areas faced strict enforcement procedures, while primarily black communities were not prosecuted for unpaid municipal debts. The court determined that this discrepancy was unreasonable and a breach of the equal treatment principle since it made an arbitrary and unjustified distinction between racial categories. It </w:t>
      </w:r>
      <w:proofErr w:type="gramStart"/>
      <w:r w:rsidRPr="009F38E3">
        <w:rPr>
          <w:rFonts w:ascii="Arial" w:hAnsi="Arial" w:cs="Arial"/>
          <w:sz w:val="24"/>
          <w:szCs w:val="24"/>
        </w:rPr>
        <w:t>came to the conclusion</w:t>
      </w:r>
      <w:proofErr w:type="gramEnd"/>
      <w:r w:rsidRPr="009F38E3">
        <w:rPr>
          <w:rFonts w:ascii="Arial" w:hAnsi="Arial" w:cs="Arial"/>
          <w:sz w:val="24"/>
          <w:szCs w:val="24"/>
        </w:rPr>
        <w:t xml:space="preserve"> that this policy violated the dignity of persons it applied to in addition to discriminating unfairly thus highlighting the relationship between equality and dignity. Protecting inherent dignity is therefore both a fundamental objective and a consequence of substantive equality.</w:t>
      </w:r>
    </w:p>
    <w:p w14:paraId="3E9D3481" w14:textId="09B2B3B1" w:rsidR="00DD7122" w:rsidRPr="009F38E3" w:rsidRDefault="00F61E8A" w:rsidP="000710D1">
      <w:pPr>
        <w:pStyle w:val="Subtitle"/>
        <w:numPr>
          <w:ilvl w:val="0"/>
          <w:numId w:val="0"/>
        </w:numPr>
        <w:ind w:left="792"/>
      </w:pPr>
      <w:bookmarkStart w:id="135" w:name="_Toc189739310"/>
      <w:r>
        <w:t>2.6.2</w:t>
      </w:r>
      <w:r w:rsidR="00DD7122" w:rsidRPr="009F38E3">
        <w:t>.4 Transforming the society</w:t>
      </w:r>
      <w:bookmarkEnd w:id="135"/>
    </w:p>
    <w:p w14:paraId="2FF4019F" w14:textId="36CEA850"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South Africa's constitutional democracy is based on the transformative objective of substantive equality, which is firmly anchored in the country's dedication to eliminating the systematic injustices that apartheid encouraged.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establish a society and workplace that represent</w:t>
      </w:r>
      <w:r w:rsidR="00A9620D" w:rsidRPr="009F38E3">
        <w:rPr>
          <w:rFonts w:ascii="Arial" w:hAnsi="Arial" w:cs="Arial"/>
          <w:sz w:val="24"/>
          <w:szCs w:val="24"/>
        </w:rPr>
        <w:t>s</w:t>
      </w:r>
      <w:r w:rsidRPr="009F38E3">
        <w:rPr>
          <w:rFonts w:ascii="Arial" w:hAnsi="Arial" w:cs="Arial"/>
          <w:sz w:val="24"/>
          <w:szCs w:val="24"/>
        </w:rPr>
        <w:t xml:space="preserve"> meaningful fairness and diversity, transformation aims to not only </w:t>
      </w:r>
      <w:r w:rsidR="00A9620D" w:rsidRPr="009F38E3">
        <w:rPr>
          <w:rFonts w:ascii="Arial" w:hAnsi="Arial" w:cs="Arial"/>
          <w:sz w:val="24"/>
          <w:szCs w:val="24"/>
        </w:rPr>
        <w:t>correct</w:t>
      </w:r>
      <w:r w:rsidRPr="009F38E3">
        <w:rPr>
          <w:rFonts w:ascii="Arial" w:hAnsi="Arial" w:cs="Arial"/>
          <w:sz w:val="24"/>
          <w:szCs w:val="24"/>
        </w:rPr>
        <w:t xml:space="preserve"> historical wrongs but also reevaluate the processes and structures that uphold inequality.</w:t>
      </w:r>
      <w:r w:rsidRPr="009F38E3">
        <w:rPr>
          <w:rFonts w:ascii="Arial" w:hAnsi="Arial" w:cs="Arial"/>
          <w:sz w:val="24"/>
          <w:szCs w:val="24"/>
          <w:vertAlign w:val="superscript"/>
        </w:rPr>
        <w:footnoteReference w:id="222"/>
      </w:r>
      <w:r w:rsidRPr="009F38E3">
        <w:rPr>
          <w:rFonts w:ascii="Arial" w:hAnsi="Arial" w:cs="Arial"/>
          <w:sz w:val="24"/>
          <w:szCs w:val="24"/>
        </w:rPr>
        <w:t xml:space="preserve"> A</w:t>
      </w:r>
      <w:r w:rsidR="00A9620D" w:rsidRPr="009F38E3">
        <w:rPr>
          <w:rFonts w:ascii="Arial" w:hAnsi="Arial" w:cs="Arial"/>
          <w:sz w:val="24"/>
          <w:szCs w:val="24"/>
        </w:rPr>
        <w:t>s</w:t>
      </w:r>
      <w:r w:rsidRPr="009F38E3">
        <w:rPr>
          <w:rFonts w:ascii="Arial" w:hAnsi="Arial" w:cs="Arial"/>
          <w:sz w:val="24"/>
          <w:szCs w:val="24"/>
        </w:rPr>
        <w:t xml:space="preserve"> such, the objective</w:t>
      </w:r>
      <w:r w:rsidR="00A9620D" w:rsidRPr="009F38E3">
        <w:rPr>
          <w:rFonts w:ascii="Arial" w:hAnsi="Arial" w:cs="Arial"/>
          <w:sz w:val="24"/>
          <w:szCs w:val="24"/>
        </w:rPr>
        <w:t xml:space="preserve"> is</w:t>
      </w:r>
      <w:r w:rsidRPr="009F38E3">
        <w:rPr>
          <w:rFonts w:ascii="Arial" w:hAnsi="Arial" w:cs="Arial"/>
          <w:sz w:val="24"/>
          <w:szCs w:val="24"/>
        </w:rPr>
        <w:t xml:space="preserve"> to effectively bring about systemic reform</w:t>
      </w:r>
      <w:r w:rsidR="00A9620D" w:rsidRPr="009F38E3">
        <w:rPr>
          <w:rFonts w:ascii="Arial" w:hAnsi="Arial" w:cs="Arial"/>
          <w:sz w:val="24"/>
          <w:szCs w:val="24"/>
        </w:rPr>
        <w:t>;</w:t>
      </w:r>
      <w:r w:rsidRPr="009F38E3">
        <w:rPr>
          <w:rFonts w:ascii="Arial" w:hAnsi="Arial" w:cs="Arial"/>
          <w:sz w:val="24"/>
          <w:szCs w:val="24"/>
        </w:rPr>
        <w:t xml:space="preserve"> this concept represents an idealistic vision of substantive equality that goes further than formal equality. A study of the various rulings on equality dispensed by the Constitutional Court</w:t>
      </w:r>
      <w:r w:rsidR="00A9620D" w:rsidRPr="009F38E3">
        <w:rPr>
          <w:rFonts w:ascii="Arial" w:hAnsi="Arial" w:cs="Arial"/>
          <w:sz w:val="24"/>
          <w:szCs w:val="24"/>
        </w:rPr>
        <w:t>,</w:t>
      </w:r>
      <w:r w:rsidRPr="009F38E3">
        <w:rPr>
          <w:rFonts w:ascii="Arial" w:hAnsi="Arial" w:cs="Arial"/>
          <w:sz w:val="24"/>
          <w:szCs w:val="24"/>
        </w:rPr>
        <w:t xml:space="preserve"> has led us to the belief that substantive equality has at least four qualities that give it "transformative potential": </w:t>
      </w:r>
      <w:r w:rsidR="00A9620D" w:rsidRPr="009F38E3">
        <w:rPr>
          <w:rFonts w:ascii="Arial" w:hAnsi="Arial" w:cs="Arial"/>
          <w:sz w:val="24"/>
          <w:szCs w:val="24"/>
        </w:rPr>
        <w:t>(</w:t>
      </w:r>
      <w:proofErr w:type="spellStart"/>
      <w:r w:rsidR="00A9620D" w:rsidRPr="009F38E3">
        <w:rPr>
          <w:rFonts w:ascii="Arial" w:hAnsi="Arial" w:cs="Arial"/>
          <w:sz w:val="24"/>
          <w:szCs w:val="24"/>
        </w:rPr>
        <w:t>i</w:t>
      </w:r>
      <w:proofErr w:type="spellEnd"/>
      <w:r w:rsidR="00A9620D" w:rsidRPr="009F38E3">
        <w:rPr>
          <w:rFonts w:ascii="Arial" w:hAnsi="Arial" w:cs="Arial"/>
          <w:sz w:val="24"/>
          <w:szCs w:val="24"/>
        </w:rPr>
        <w:t xml:space="preserve">) </w:t>
      </w:r>
      <w:r w:rsidRPr="009F38E3">
        <w:rPr>
          <w:rFonts w:ascii="Arial" w:hAnsi="Arial" w:cs="Arial"/>
          <w:sz w:val="24"/>
          <w:szCs w:val="24"/>
        </w:rPr>
        <w:t xml:space="preserve">a focus on comprehending inequality in light of its historical and social context; </w:t>
      </w:r>
      <w:r w:rsidR="00A9620D" w:rsidRPr="009F38E3">
        <w:rPr>
          <w:rFonts w:ascii="Arial" w:hAnsi="Arial" w:cs="Arial"/>
          <w:sz w:val="24"/>
          <w:szCs w:val="24"/>
        </w:rPr>
        <w:t xml:space="preserve">(ii) </w:t>
      </w:r>
      <w:r w:rsidRPr="009F38E3">
        <w:rPr>
          <w:rFonts w:ascii="Arial" w:hAnsi="Arial" w:cs="Arial"/>
          <w:sz w:val="24"/>
          <w:szCs w:val="24"/>
        </w:rPr>
        <w:t xml:space="preserve">a primary concern with how the alleged </w:t>
      </w:r>
      <w:r w:rsidRPr="009F38E3">
        <w:rPr>
          <w:rFonts w:ascii="Arial" w:hAnsi="Arial" w:cs="Arial"/>
          <w:sz w:val="24"/>
          <w:szCs w:val="24"/>
        </w:rPr>
        <w:lastRenderedPageBreak/>
        <w:t xml:space="preserve">inequality affects the complainant; </w:t>
      </w:r>
      <w:r w:rsidR="00A9620D" w:rsidRPr="009F38E3">
        <w:rPr>
          <w:rFonts w:ascii="Arial" w:hAnsi="Arial" w:cs="Arial"/>
          <w:sz w:val="24"/>
          <w:szCs w:val="24"/>
        </w:rPr>
        <w:t xml:space="preserve">(iii) </w:t>
      </w:r>
      <w:r w:rsidRPr="009F38E3">
        <w:rPr>
          <w:rFonts w:ascii="Arial" w:hAnsi="Arial" w:cs="Arial"/>
          <w:sz w:val="24"/>
          <w:szCs w:val="24"/>
        </w:rPr>
        <w:t xml:space="preserve">an appreciation of diversity as a positive aspect of society; </w:t>
      </w:r>
      <w:r w:rsidR="00A9620D" w:rsidRPr="009F38E3">
        <w:rPr>
          <w:rFonts w:ascii="Arial" w:hAnsi="Arial" w:cs="Arial"/>
          <w:sz w:val="24"/>
          <w:szCs w:val="24"/>
        </w:rPr>
        <w:t xml:space="preserve">(iv) </w:t>
      </w:r>
      <w:r w:rsidRPr="009F38E3">
        <w:rPr>
          <w:rFonts w:ascii="Arial" w:hAnsi="Arial" w:cs="Arial"/>
          <w:sz w:val="24"/>
          <w:szCs w:val="24"/>
        </w:rPr>
        <w:t>and attention to the right's purpose and underlying values in a way that shows a direct or indirect concern with resolving systemic disadvantage or subordination.</w:t>
      </w:r>
      <w:r w:rsidRPr="009F38E3">
        <w:rPr>
          <w:rFonts w:ascii="Arial" w:hAnsi="Arial" w:cs="Arial"/>
          <w:sz w:val="24"/>
          <w:szCs w:val="24"/>
          <w:vertAlign w:val="superscript"/>
        </w:rPr>
        <w:footnoteReference w:id="223"/>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Therefore, deliberate demolition of the systems that uphold privilege and disadvantage is a prerequisite for transformation.</w:t>
      </w:r>
      <w:r w:rsidRPr="009F38E3">
        <w:rPr>
          <w:rFonts w:ascii="Arial" w:hAnsi="Arial" w:cs="Arial"/>
          <w:sz w:val="24"/>
          <w:szCs w:val="24"/>
          <w:vertAlign w:val="superscript"/>
        </w:rPr>
        <w:footnoteReference w:id="224"/>
      </w:r>
    </w:p>
    <w:p w14:paraId="3EEEF28D"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Substantive equality serves as a dynamic instrument for attaining equity, requiring the state to work proactively to eliminate discriminatory systems and provide people with real access to equal opportunities. In addition to highlighting the significance of fair treatment, constitutional jurisprudence on substantive equality upholds the principles of democracy, participation, and social cohesion within the larger framework of human rights by promoting an atmosphere that values diversity and inclusion.</w:t>
      </w:r>
      <w:r w:rsidRPr="009F38E3">
        <w:rPr>
          <w:rFonts w:ascii="Times New Roman" w:eastAsia="Times New Roman" w:hAnsi="Times New Roman" w:cs="Times New Roman"/>
          <w:kern w:val="0"/>
          <w:sz w:val="24"/>
          <w:szCs w:val="24"/>
          <w:lang w:eastAsia="en-ZA"/>
          <w14:ligatures w14:val="none"/>
        </w:rPr>
        <w:t xml:space="preserve"> </w:t>
      </w:r>
    </w:p>
    <w:p w14:paraId="6FDBD121" w14:textId="2F8D7225" w:rsidR="00DD7122" w:rsidRPr="009F38E3" w:rsidRDefault="00A9620D" w:rsidP="00DD7122">
      <w:pPr>
        <w:spacing w:line="360" w:lineRule="auto"/>
        <w:jc w:val="both"/>
        <w:rPr>
          <w:rFonts w:ascii="Arial" w:hAnsi="Arial" w:cs="Arial"/>
          <w:sz w:val="24"/>
          <w:szCs w:val="24"/>
        </w:rPr>
      </w:pPr>
      <w:r w:rsidRPr="009F38E3">
        <w:rPr>
          <w:rFonts w:ascii="Arial" w:hAnsi="Arial" w:cs="Arial"/>
          <w:sz w:val="24"/>
          <w:szCs w:val="24"/>
        </w:rPr>
        <w:t xml:space="preserve">The South African judiciary has greatly aided the definition and advancement of the transformative objective of substantive equality. </w:t>
      </w:r>
      <w:r w:rsidR="00DD7122" w:rsidRPr="009F38E3">
        <w:rPr>
          <w:rFonts w:ascii="Arial" w:hAnsi="Arial" w:cs="Arial"/>
          <w:sz w:val="24"/>
          <w:szCs w:val="24"/>
        </w:rPr>
        <w:t xml:space="preserve">The Constitutional Court outlined the fundamental principles of affirmative action policies in </w:t>
      </w:r>
      <w:r w:rsidR="00DD7122" w:rsidRPr="009F38E3">
        <w:rPr>
          <w:rFonts w:ascii="Arial" w:hAnsi="Arial" w:cs="Arial"/>
          <w:i/>
          <w:iCs/>
          <w:sz w:val="24"/>
          <w:szCs w:val="24"/>
        </w:rPr>
        <w:t>Minister of Finance</w:t>
      </w:r>
      <w:r w:rsidR="00717506" w:rsidRPr="009F38E3">
        <w:rPr>
          <w:rFonts w:ascii="Arial" w:hAnsi="Arial" w:cs="Arial"/>
          <w:i/>
          <w:iCs/>
          <w:sz w:val="24"/>
          <w:szCs w:val="24"/>
        </w:rPr>
        <w:t xml:space="preserve"> v</w:t>
      </w:r>
      <w:r w:rsidR="00DD7122" w:rsidRPr="009F38E3">
        <w:rPr>
          <w:rFonts w:ascii="Arial" w:hAnsi="Arial" w:cs="Arial"/>
          <w:i/>
          <w:iCs/>
          <w:sz w:val="24"/>
          <w:szCs w:val="24"/>
        </w:rPr>
        <w:t xml:space="preserve"> Van Heerden</w:t>
      </w:r>
      <w:r w:rsidR="00DD7122" w:rsidRPr="009F38E3">
        <w:rPr>
          <w:rFonts w:ascii="Arial" w:hAnsi="Arial" w:cs="Arial"/>
          <w:sz w:val="24"/>
          <w:szCs w:val="24"/>
        </w:rPr>
        <w:t xml:space="preserve">, stressing that these policies must be logically related to the goal of addressing historical disadvantage and must not cause excessive harm to others. The court acknowledged that </w:t>
      </w:r>
      <w:proofErr w:type="gramStart"/>
      <w:r w:rsidR="00DD7122" w:rsidRPr="009F38E3">
        <w:rPr>
          <w:rFonts w:ascii="Arial" w:hAnsi="Arial" w:cs="Arial"/>
          <w:sz w:val="24"/>
          <w:szCs w:val="24"/>
        </w:rPr>
        <w:t>in order to</w:t>
      </w:r>
      <w:proofErr w:type="gramEnd"/>
      <w:r w:rsidR="00DD7122" w:rsidRPr="009F38E3">
        <w:rPr>
          <w:rFonts w:ascii="Arial" w:hAnsi="Arial" w:cs="Arial"/>
          <w:sz w:val="24"/>
          <w:szCs w:val="24"/>
        </w:rPr>
        <w:t xml:space="preserve"> establish a society that is marked by substantive equality rather than just formal equality, transformation entails addressing fundamental inequities.</w:t>
      </w:r>
      <w:r w:rsidR="00DD7122" w:rsidRPr="009F38E3">
        <w:rPr>
          <w:rFonts w:ascii="Arial" w:hAnsi="Arial" w:cs="Arial"/>
          <w:sz w:val="24"/>
          <w:szCs w:val="24"/>
          <w:vertAlign w:val="superscript"/>
        </w:rPr>
        <w:footnoteReference w:id="225"/>
      </w:r>
      <w:r w:rsidR="00DD7122" w:rsidRPr="009F38E3">
        <w:rPr>
          <w:rFonts w:ascii="Arial" w:hAnsi="Arial" w:cs="Arial"/>
          <w:sz w:val="24"/>
          <w:szCs w:val="24"/>
        </w:rPr>
        <w:t xml:space="preserve"> An additional significant judgment that demonstrated the conflict between individual rights and transformation was </w:t>
      </w:r>
      <w:r w:rsidR="00DD7122" w:rsidRPr="009F38E3">
        <w:rPr>
          <w:rFonts w:ascii="Arial" w:hAnsi="Arial" w:cs="Arial"/>
          <w:i/>
          <w:iCs/>
          <w:sz w:val="24"/>
          <w:szCs w:val="24"/>
        </w:rPr>
        <w:t>South African Police Service</w:t>
      </w:r>
      <w:r w:rsidR="00717506" w:rsidRPr="009F38E3">
        <w:rPr>
          <w:rFonts w:ascii="Arial" w:hAnsi="Arial" w:cs="Arial"/>
          <w:i/>
          <w:iCs/>
          <w:sz w:val="24"/>
          <w:szCs w:val="24"/>
        </w:rPr>
        <w:t xml:space="preserve"> v</w:t>
      </w:r>
      <w:r w:rsidR="00DD7122" w:rsidRPr="009F38E3">
        <w:rPr>
          <w:rFonts w:ascii="Arial" w:hAnsi="Arial" w:cs="Arial"/>
          <w:i/>
          <w:iCs/>
          <w:sz w:val="24"/>
          <w:szCs w:val="24"/>
        </w:rPr>
        <w:t xml:space="preserve"> Solidarity obo Barnard</w:t>
      </w:r>
      <w:r w:rsidR="00DD7122" w:rsidRPr="009F38E3">
        <w:rPr>
          <w:rFonts w:ascii="Arial" w:hAnsi="Arial" w:cs="Arial"/>
          <w:sz w:val="24"/>
          <w:szCs w:val="24"/>
        </w:rPr>
        <w:t xml:space="preserve">. </w:t>
      </w:r>
      <w:proofErr w:type="gramStart"/>
      <w:r w:rsidR="00DD7122" w:rsidRPr="009F38E3">
        <w:rPr>
          <w:rFonts w:ascii="Arial" w:hAnsi="Arial" w:cs="Arial"/>
          <w:sz w:val="24"/>
          <w:szCs w:val="24"/>
        </w:rPr>
        <w:t>In order to</w:t>
      </w:r>
      <w:proofErr w:type="gramEnd"/>
      <w:r w:rsidR="00DD7122" w:rsidRPr="009F38E3">
        <w:rPr>
          <w:rFonts w:ascii="Arial" w:hAnsi="Arial" w:cs="Arial"/>
          <w:sz w:val="24"/>
          <w:szCs w:val="24"/>
        </w:rPr>
        <w:t xml:space="preserve"> achieve equal representation in the workplace, the court affirmed the need for affirmative action policies and affirmed their enforcement. Justice Moseneke pointed out that transformation is an essential requirement </w:t>
      </w:r>
      <w:proofErr w:type="gramStart"/>
      <w:r w:rsidR="00DD7122" w:rsidRPr="009F38E3">
        <w:rPr>
          <w:rFonts w:ascii="Arial" w:hAnsi="Arial" w:cs="Arial"/>
          <w:sz w:val="24"/>
          <w:szCs w:val="24"/>
        </w:rPr>
        <w:t>in order to</w:t>
      </w:r>
      <w:proofErr w:type="gramEnd"/>
      <w:r w:rsidR="00DD7122" w:rsidRPr="009F38E3">
        <w:rPr>
          <w:rFonts w:ascii="Arial" w:hAnsi="Arial" w:cs="Arial"/>
          <w:sz w:val="24"/>
          <w:szCs w:val="24"/>
        </w:rPr>
        <w:t xml:space="preserve"> eliminate the deeply ingrained heritage of apartheid and make sure that workplaces represent the demographic variety that makes up the wider population. The court's ruling emphasized how crucial it is to strike a balance between the right of the individual and the larger social goal of eliminating systemic inequity.</w:t>
      </w:r>
      <w:r w:rsidR="00DD7122" w:rsidRPr="009F38E3">
        <w:rPr>
          <w:rFonts w:ascii="Arial" w:hAnsi="Arial" w:cs="Arial"/>
          <w:sz w:val="24"/>
          <w:szCs w:val="24"/>
          <w:vertAlign w:val="superscript"/>
        </w:rPr>
        <w:footnoteReference w:id="226"/>
      </w:r>
    </w:p>
    <w:p w14:paraId="5EF2CAE2" w14:textId="1B4D6D00"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Therefore, the first thing to consider when evaluating affirmative action measures is </w:t>
      </w:r>
      <w:proofErr w:type="gramStart"/>
      <w:r w:rsidRPr="009F38E3">
        <w:rPr>
          <w:rFonts w:ascii="Arial" w:hAnsi="Arial" w:cs="Arial"/>
          <w:sz w:val="24"/>
          <w:szCs w:val="24"/>
        </w:rPr>
        <w:t>whether or not</w:t>
      </w:r>
      <w:proofErr w:type="gramEnd"/>
      <w:r w:rsidRPr="009F38E3">
        <w:rPr>
          <w:rFonts w:ascii="Arial" w:hAnsi="Arial" w:cs="Arial"/>
          <w:sz w:val="24"/>
          <w:szCs w:val="24"/>
        </w:rPr>
        <w:t xml:space="preserve"> their effects advance the equality aim outlined in the </w:t>
      </w:r>
      <w:r w:rsidR="00A9620D" w:rsidRPr="009F38E3">
        <w:rPr>
          <w:rFonts w:ascii="Arial" w:hAnsi="Arial" w:cs="Arial"/>
          <w:i/>
          <w:iCs/>
          <w:sz w:val="24"/>
          <w:szCs w:val="24"/>
        </w:rPr>
        <w:t>C</w:t>
      </w:r>
      <w:r w:rsidRPr="009F38E3">
        <w:rPr>
          <w:rFonts w:ascii="Arial" w:hAnsi="Arial" w:cs="Arial"/>
          <w:i/>
          <w:iCs/>
          <w:sz w:val="24"/>
          <w:szCs w:val="24"/>
        </w:rPr>
        <w:t>onstitution</w:t>
      </w:r>
      <w:r w:rsidRPr="009F38E3">
        <w:rPr>
          <w:rFonts w:ascii="Arial" w:hAnsi="Arial" w:cs="Arial"/>
          <w:sz w:val="24"/>
          <w:szCs w:val="24"/>
        </w:rPr>
        <w:t xml:space="preserve">. In </w:t>
      </w:r>
      <w:r w:rsidRPr="009F38E3">
        <w:rPr>
          <w:rFonts w:ascii="Arial" w:hAnsi="Arial" w:cs="Arial"/>
          <w:sz w:val="24"/>
          <w:szCs w:val="24"/>
        </w:rPr>
        <w:lastRenderedPageBreak/>
        <w:t xml:space="preserve">South Africa, affirmative action extends beyond racial quotas. It symbolizes a comprehensive commitment to ending patterns of marginalization and poverty among historically underprivileged groups, such as women, people with disabilities, and black South Africans. The objective is to change the current structures to be inclusive and representative of the variety of the country, not just to incorporate various groups into them. Subsequently, affirmative action serves as a link between the lived experience of millions of South Africans and the theoretical promise of substantive equality. Further,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acknowledge that people may suffer from exacerbated disadvantage as a result of intersecting identities like race, gender, and socioeconomic status, the transformative agenda also has to take intersectionality into consideration.</w:t>
      </w:r>
      <w:r w:rsidRPr="009F38E3">
        <w:rPr>
          <w:rFonts w:ascii="Arial" w:hAnsi="Arial" w:cs="Arial"/>
          <w:sz w:val="24"/>
          <w:szCs w:val="24"/>
          <w:vertAlign w:val="superscript"/>
        </w:rPr>
        <w:footnoteReference w:id="227"/>
      </w:r>
      <w:r w:rsidRPr="009F38E3">
        <w:rPr>
          <w:rFonts w:ascii="Arial" w:hAnsi="Arial" w:cs="Arial"/>
          <w:sz w:val="24"/>
          <w:szCs w:val="24"/>
        </w:rPr>
        <w:t xml:space="preserve"> Black women's experiences, for example, show how gender and race combined are able to produce particular obstacles in terms of opportunities. Subsequently,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guarantee that all aspects of disadvantage are taken into consideration, policies intended to bring about change must embrace an intersectional perspective.</w:t>
      </w:r>
    </w:p>
    <w:p w14:paraId="6F51DEF9" w14:textId="0CC20C3E"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Therefore, the concept of substantive equality stems from a broader comprehension of inequality, which perceives inequality as a firmly established and structural concern rather than an isolated phenomenon caused by arbitrary or irrational practices.</w:t>
      </w:r>
      <w:r w:rsidRPr="009F38E3">
        <w:rPr>
          <w:rFonts w:ascii="Arial" w:hAnsi="Arial" w:cs="Arial"/>
          <w:sz w:val="24"/>
          <w:szCs w:val="24"/>
          <w:vertAlign w:val="superscript"/>
        </w:rPr>
        <w:footnoteReference w:id="228"/>
      </w:r>
      <w:r w:rsidRPr="009F38E3">
        <w:rPr>
          <w:rFonts w:ascii="Arial" w:hAnsi="Arial" w:cs="Arial"/>
          <w:sz w:val="24"/>
          <w:szCs w:val="24"/>
        </w:rPr>
        <w:t xml:space="preserve"> This viewpoint acknowledges that inequality arises from long-standing political, social, and economic inequalities between groups, which are exacerbated by historical injustices and discriminatory structures. It emphasizes the complex character of inequality, which stems from societal norms, institutional frameworks, economic inequities, and power relations.</w:t>
      </w:r>
      <w:r w:rsidRPr="009F38E3">
        <w:rPr>
          <w:rFonts w:ascii="Arial" w:hAnsi="Arial" w:cs="Arial"/>
          <w:sz w:val="24"/>
          <w:szCs w:val="24"/>
          <w:vertAlign w:val="superscript"/>
        </w:rPr>
        <w:footnoteReference w:id="229"/>
      </w:r>
      <w:r w:rsidRPr="009F38E3">
        <w:rPr>
          <w:rFonts w:ascii="Arial" w:hAnsi="Arial" w:cs="Arial"/>
          <w:sz w:val="24"/>
          <w:szCs w:val="24"/>
        </w:rPr>
        <w:t xml:space="preserve"> Substantive equality thus necessitates a revolutionary strategy to address these persistent inequities, pushing for systemic reform rather than superficial rectification.</w:t>
      </w:r>
    </w:p>
    <w:p w14:paraId="4FF9BA51" w14:textId="323396D1" w:rsidR="00DF6BC2" w:rsidRPr="009F38E3" w:rsidRDefault="00F61E8A" w:rsidP="000710D1">
      <w:pPr>
        <w:pStyle w:val="Heading1"/>
      </w:pPr>
      <w:bookmarkStart w:id="136" w:name="_Toc189739311"/>
      <w:r>
        <w:t>2.7</w:t>
      </w:r>
      <w:r w:rsidR="00DD7122" w:rsidRPr="009F38E3">
        <w:t xml:space="preserve"> The role of affirmative action (in attaining substantive equality)</w:t>
      </w:r>
      <w:bookmarkEnd w:id="136"/>
    </w:p>
    <w:p w14:paraId="6EC53FC7" w14:textId="77777777" w:rsidR="00DD7122" w:rsidRPr="009F38E3" w:rsidRDefault="00DD7122" w:rsidP="00DD7122">
      <w:pPr>
        <w:spacing w:line="360" w:lineRule="auto"/>
        <w:jc w:val="both"/>
        <w:rPr>
          <w:rFonts w:ascii="Arial" w:hAnsi="Arial" w:cs="Arial"/>
          <w:sz w:val="24"/>
          <w:szCs w:val="24"/>
        </w:rPr>
      </w:pP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accomplish the transformative goals of substantive equality, affirmative action (AA) is an indispensable instrument, especially when it comes to resolving structural injustices and eliminating long-standing societal imbalances. It symbolizes </w:t>
      </w:r>
      <w:r w:rsidRPr="009F38E3">
        <w:rPr>
          <w:rFonts w:ascii="Arial" w:hAnsi="Arial" w:cs="Arial"/>
          <w:sz w:val="24"/>
          <w:szCs w:val="24"/>
        </w:rPr>
        <w:lastRenderedPageBreak/>
        <w:t>a dedication to rectifying historical injustices, advancing fair representation, and cultivating a balanced society and is based on both constitutional requirements and legislative foundations.  This discussion concentrates on the overall nature and function of affirmative action in attaining substantive equality as well as its adherence to constitutional requirement for validity, although a thorough examination of these requirements will take place in later chapters.</w:t>
      </w:r>
    </w:p>
    <w:p w14:paraId="202C9D98" w14:textId="651B0D4F" w:rsidR="00DD7122" w:rsidRPr="009F38E3" w:rsidRDefault="00F61E8A" w:rsidP="000710D1">
      <w:pPr>
        <w:pStyle w:val="Heading2"/>
        <w:ind w:left="360"/>
      </w:pPr>
      <w:bookmarkStart w:id="137" w:name="_Toc189739312"/>
      <w:r>
        <w:t>2.7.</w:t>
      </w:r>
      <w:r w:rsidR="00DD7122" w:rsidRPr="009F38E3">
        <w:t>1 The general nature and role of Affirmative Action</w:t>
      </w:r>
      <w:bookmarkEnd w:id="137"/>
    </w:p>
    <w:p w14:paraId="6AA6A410"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In South Africa's revolutionary constitutional framework, affirmative action is vital for the achievement of substantive equality as its core principle is aimed at eliminating the legacy of apartheid and systemic discrimination by addressing structural inequities, promoting equitable outcomes, and assisting in the transformation of society. </w:t>
      </w:r>
    </w:p>
    <w:p w14:paraId="15F0DD78" w14:textId="32304EBC"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The term "affirmative action" comes from the United States and is best understood as a systematic, intentional strategy to confront and reverse the systemic impacts of racial discrimination and colonialism.</w:t>
      </w:r>
      <w:r w:rsidRPr="009F38E3">
        <w:rPr>
          <w:rFonts w:ascii="Arial" w:hAnsi="Arial" w:cs="Arial"/>
          <w:sz w:val="24"/>
          <w:szCs w:val="24"/>
          <w:vertAlign w:val="superscript"/>
        </w:rPr>
        <w:footnoteReference w:id="230"/>
      </w:r>
      <w:r w:rsidRPr="009F38E3">
        <w:rPr>
          <w:rFonts w:ascii="Arial" w:hAnsi="Arial" w:cs="Arial"/>
          <w:sz w:val="24"/>
          <w:szCs w:val="24"/>
        </w:rPr>
        <w:t xml:space="preserve"> It advocates for a deliberate approach aimed at unlocking doors that historically have been restricted to marginalized groups, especially Black people, across a variety of societal sectors. Deeply ingrained in the larger goal of social and economic empowerment, affirmative action is more than a mere instrument </w:t>
      </w:r>
      <w:r w:rsidR="00A9620D" w:rsidRPr="009F38E3">
        <w:rPr>
          <w:rFonts w:ascii="Arial" w:hAnsi="Arial" w:cs="Arial"/>
          <w:sz w:val="24"/>
          <w:szCs w:val="24"/>
        </w:rPr>
        <w:t xml:space="preserve">for </w:t>
      </w:r>
      <w:r w:rsidRPr="009F38E3">
        <w:rPr>
          <w:rFonts w:ascii="Arial" w:hAnsi="Arial" w:cs="Arial"/>
          <w:sz w:val="24"/>
          <w:szCs w:val="24"/>
        </w:rPr>
        <w:t xml:space="preserve">correcting historical injustices.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promote fair access to resources, education, and employment, affirmative action seeks to address long-standing disparities and dismantle the structural obstacles that have long sustained disadvantage and exclusion.</w:t>
      </w:r>
      <w:r w:rsidRPr="009F38E3">
        <w:rPr>
          <w:rFonts w:ascii="Arial" w:hAnsi="Arial" w:cs="Arial"/>
          <w:sz w:val="24"/>
          <w:szCs w:val="24"/>
          <w:vertAlign w:val="superscript"/>
        </w:rPr>
        <w:footnoteReference w:id="231"/>
      </w:r>
    </w:p>
    <w:p w14:paraId="16C17758" w14:textId="24A833B3" w:rsidR="00DF6BC2" w:rsidRPr="009F38E3" w:rsidRDefault="00F61E8A" w:rsidP="000710D1">
      <w:pPr>
        <w:pStyle w:val="Subtitle"/>
        <w:numPr>
          <w:ilvl w:val="0"/>
          <w:numId w:val="0"/>
        </w:numPr>
        <w:ind w:left="792"/>
      </w:pPr>
      <w:bookmarkStart w:id="138" w:name="_Toc189739313"/>
      <w:r>
        <w:t>2.7.1</w:t>
      </w:r>
      <w:r w:rsidR="00DD7122" w:rsidRPr="009F38E3">
        <w:t>.1 Remedial, redistributive or positive measures</w:t>
      </w:r>
      <w:bookmarkEnd w:id="138"/>
    </w:p>
    <w:p w14:paraId="76CE35AB"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Primarily, affirmative action serves as a corrective mechanism intended to rectify the deeply ingrained socioeconomic inequalities brought about by colonialism and apartheid. This intervention's constitutional basis </w:t>
      </w:r>
      <w:proofErr w:type="gramStart"/>
      <w:r w:rsidRPr="009F38E3">
        <w:rPr>
          <w:rFonts w:ascii="Arial" w:hAnsi="Arial" w:cs="Arial"/>
          <w:sz w:val="24"/>
          <w:szCs w:val="24"/>
        </w:rPr>
        <w:t>is located in</w:t>
      </w:r>
      <w:proofErr w:type="gramEnd"/>
      <w:r w:rsidRPr="009F38E3">
        <w:rPr>
          <w:rFonts w:ascii="Arial" w:hAnsi="Arial" w:cs="Arial"/>
          <w:sz w:val="24"/>
          <w:szCs w:val="24"/>
        </w:rPr>
        <w:t xml:space="preserve"> section 9(2) of the </w:t>
      </w:r>
      <w:r w:rsidRPr="009F38E3">
        <w:rPr>
          <w:rFonts w:ascii="Arial" w:hAnsi="Arial" w:cs="Arial"/>
          <w:i/>
          <w:iCs/>
          <w:sz w:val="24"/>
          <w:szCs w:val="24"/>
        </w:rPr>
        <w:t>Constitution</w:t>
      </w:r>
      <w:r w:rsidRPr="009F38E3">
        <w:rPr>
          <w:rFonts w:ascii="Arial" w:hAnsi="Arial" w:cs="Arial"/>
          <w:sz w:val="24"/>
          <w:szCs w:val="24"/>
        </w:rPr>
        <w:t xml:space="preserve">, which expressly supports actions meant to advance marginalized groups in the interest of equality. The goal of affirmative action is to address the effects of apartheid, which routinely denied women, Black South Africans, and other vulnerable groups access to resources and opportunities. The underlying inequalities that still exist in society are not addressed by formal equality, which treats everyone equally. </w:t>
      </w:r>
      <w:r w:rsidRPr="009F38E3">
        <w:rPr>
          <w:rFonts w:ascii="Arial" w:hAnsi="Arial" w:cs="Arial"/>
          <w:sz w:val="24"/>
          <w:szCs w:val="24"/>
        </w:rPr>
        <w:lastRenderedPageBreak/>
        <w:t>Substantial equality instead necessitates taking proactive measures to improve marginalized communities, address past injustices, and promote fair participation in all spheres of society. According to section 9(2), these actions must be deliberately developed for the benefit of people or groups that have experienced unjust discrimination. The intention is to achieve equitable results and opportunities, which formal equality alone cannot do.</w:t>
      </w:r>
    </w:p>
    <w:p w14:paraId="5FEDE06C"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Affirmative action's restitutive aspect is inextricably linked to South Africa's past, when systemic injustices were enshrined in legislation and impacted political representation, employment, education, and land ownership. Therefore, affirmative action is a conscious attempt to rectify these historical injustices by giving historically underprivileged groups access to resources and opportunities. Justice Albie Sachs aptly described affirmative action as encompassing a broad spectrum of activities aimed at rectifying systemic inequities. He emphasized that these measures are critical for eliminating the vestiges of apartheid and creating a society where everyone has equitable opportunities to succeed.</w:t>
      </w:r>
      <w:r w:rsidRPr="009F38E3">
        <w:rPr>
          <w:rFonts w:ascii="Arial" w:hAnsi="Arial" w:cs="Arial"/>
          <w:sz w:val="24"/>
          <w:szCs w:val="24"/>
          <w:vertAlign w:val="superscript"/>
        </w:rPr>
        <w:footnoteReference w:id="232"/>
      </w:r>
    </w:p>
    <w:p w14:paraId="43C78073" w14:textId="2EC9F10C"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Additionally, the court in </w:t>
      </w:r>
      <w:r w:rsidRPr="009F38E3">
        <w:rPr>
          <w:rFonts w:ascii="Arial" w:hAnsi="Arial" w:cs="Arial"/>
          <w:i/>
          <w:iCs/>
          <w:sz w:val="24"/>
          <w:szCs w:val="24"/>
        </w:rPr>
        <w:t>Minister of Finance and Other v Van Heerden</w:t>
      </w:r>
      <w:r w:rsidRPr="009F38E3">
        <w:rPr>
          <w:rFonts w:ascii="Arial" w:hAnsi="Arial" w:cs="Arial"/>
          <w:sz w:val="24"/>
          <w:szCs w:val="24"/>
        </w:rPr>
        <w:t xml:space="preserve"> determined that corrective actions are a genuine and integrated component of the equality protection envisioned by section 9 and the </w:t>
      </w:r>
      <w:r w:rsidRPr="009F38E3">
        <w:rPr>
          <w:rFonts w:ascii="Arial" w:hAnsi="Arial" w:cs="Arial"/>
          <w:i/>
          <w:iCs/>
          <w:sz w:val="24"/>
          <w:szCs w:val="24"/>
        </w:rPr>
        <w:t xml:space="preserve">Constitution </w:t>
      </w:r>
      <w:r w:rsidRPr="009F38E3">
        <w:rPr>
          <w:rFonts w:ascii="Arial" w:hAnsi="Arial" w:cs="Arial"/>
          <w:sz w:val="24"/>
          <w:szCs w:val="24"/>
        </w:rPr>
        <w:t xml:space="preserve">overall, rather than a deviation from it. </w:t>
      </w:r>
      <w:r w:rsidRPr="009F38E3">
        <w:rPr>
          <w:rFonts w:ascii="Arial" w:hAnsi="Arial" w:cs="Arial"/>
          <w:sz w:val="24"/>
          <w:szCs w:val="24"/>
          <w:vertAlign w:val="superscript"/>
        </w:rPr>
        <w:footnoteReference w:id="233"/>
      </w:r>
      <w:r w:rsidRPr="009F38E3">
        <w:rPr>
          <w:rFonts w:ascii="Arial" w:hAnsi="Arial" w:cs="Arial"/>
          <w:sz w:val="24"/>
          <w:szCs w:val="24"/>
        </w:rPr>
        <w:t xml:space="preserve">Their main goal is to advance the attainment of equality. Therefore, </w:t>
      </w:r>
      <w:proofErr w:type="gramStart"/>
      <w:r w:rsidRPr="009F38E3">
        <w:rPr>
          <w:rFonts w:ascii="Arial" w:hAnsi="Arial" w:cs="Arial"/>
          <w:sz w:val="24"/>
          <w:szCs w:val="24"/>
        </w:rPr>
        <w:t>as long as</w:t>
      </w:r>
      <w:proofErr w:type="gramEnd"/>
      <w:r w:rsidRPr="009F38E3">
        <w:rPr>
          <w:rFonts w:ascii="Arial" w:hAnsi="Arial" w:cs="Arial"/>
          <w:sz w:val="24"/>
          <w:szCs w:val="24"/>
        </w:rPr>
        <w:t xml:space="preserve"> the measures are demonstrated to meet the internal standard established by section 9(2), </w:t>
      </w:r>
      <w:r w:rsidR="00A9620D" w:rsidRPr="009F38E3">
        <w:rPr>
          <w:rFonts w:ascii="Arial" w:hAnsi="Arial" w:cs="Arial"/>
          <w:sz w:val="24"/>
          <w:szCs w:val="24"/>
        </w:rPr>
        <w:t xml:space="preserve">the </w:t>
      </w:r>
      <w:r w:rsidRPr="009F38E3">
        <w:rPr>
          <w:rFonts w:ascii="Arial" w:hAnsi="Arial" w:cs="Arial"/>
          <w:sz w:val="24"/>
          <w:szCs w:val="24"/>
        </w:rPr>
        <w:t xml:space="preserve">distinction intended to protect or advance those disadvantaged by unfair discrimination is justified. Therefore, the complete and equal enjoyment of all rights and freedoms is greatly enhanced by affirmative action. </w:t>
      </w:r>
    </w:p>
    <w:p w14:paraId="5797A739"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Affirmative action is put into effect through important laws like the </w:t>
      </w:r>
      <w:r w:rsidRPr="009F38E3">
        <w:rPr>
          <w:rFonts w:ascii="Arial" w:hAnsi="Arial" w:cs="Arial"/>
          <w:i/>
          <w:iCs/>
          <w:sz w:val="24"/>
          <w:szCs w:val="24"/>
        </w:rPr>
        <w:t>Broad-Based Black Economic Empowerment Act (BBBEE)</w:t>
      </w:r>
      <w:r w:rsidRPr="009F38E3">
        <w:rPr>
          <w:rFonts w:ascii="Arial" w:hAnsi="Arial" w:cs="Arial"/>
          <w:sz w:val="24"/>
          <w:szCs w:val="24"/>
        </w:rPr>
        <w:t xml:space="preserve"> and the </w:t>
      </w:r>
      <w:r w:rsidRPr="009F38E3">
        <w:rPr>
          <w:rFonts w:ascii="Arial" w:hAnsi="Arial" w:cs="Arial"/>
          <w:i/>
          <w:iCs/>
          <w:sz w:val="24"/>
          <w:szCs w:val="24"/>
        </w:rPr>
        <w:t xml:space="preserve">Employment Equity Act </w:t>
      </w:r>
      <w:r w:rsidRPr="009F38E3">
        <w:rPr>
          <w:rFonts w:ascii="Arial" w:hAnsi="Arial" w:cs="Arial"/>
          <w:sz w:val="24"/>
          <w:szCs w:val="24"/>
        </w:rPr>
        <w:t xml:space="preserve">(EEA), which require specific actions to address historical injustices. Employers and organizations are required by these statutes to establish fair hiring, training, and advancement practices.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overcome occupational level gaps and guarantee that underrepresented groups, such as women, Black South Africans, and people with disabilities, are fairly represented, these measurements are especially important. Even </w:t>
      </w:r>
      <w:r w:rsidRPr="009F38E3">
        <w:rPr>
          <w:rFonts w:ascii="Arial" w:hAnsi="Arial" w:cs="Arial"/>
          <w:sz w:val="24"/>
          <w:szCs w:val="24"/>
        </w:rPr>
        <w:lastRenderedPageBreak/>
        <w:t>though it's frequently linked to employment equity, affirmative action is a restitutive policy that also applies to land reform, healthcare, education, and housing. The goal of programs like skills development programs and preferred procurement policies is to improve communities and close wealth disparities. Thus, restitutive policies aim to correct communal injustices that communities have endured over many generations, in addition to addressing individual inequalities.</w:t>
      </w:r>
    </w:p>
    <w:p w14:paraId="71CADE11" w14:textId="6D5CF382" w:rsidR="00DF6BC2" w:rsidRPr="009F38E3" w:rsidRDefault="00F61E8A" w:rsidP="000710D1">
      <w:pPr>
        <w:pStyle w:val="Subtitle"/>
        <w:numPr>
          <w:ilvl w:val="0"/>
          <w:numId w:val="0"/>
        </w:numPr>
        <w:ind w:left="792"/>
      </w:pPr>
      <w:bookmarkStart w:id="139" w:name="_Toc189739314"/>
      <w:r>
        <w:t>2.7.1</w:t>
      </w:r>
      <w:r w:rsidR="00DD7122" w:rsidRPr="009F38E3">
        <w:t>.2 Addressing structural inequality</w:t>
      </w:r>
      <w:bookmarkEnd w:id="139"/>
    </w:p>
    <w:p w14:paraId="76D3E03B" w14:textId="0EF79AEB" w:rsidR="00DD7122" w:rsidRPr="009F38E3" w:rsidRDefault="00DD7122" w:rsidP="00DD7122">
      <w:pPr>
        <w:spacing w:line="360" w:lineRule="auto"/>
        <w:jc w:val="both"/>
        <w:rPr>
          <w:rFonts w:ascii="Arial" w:hAnsi="Arial" w:cs="Arial"/>
          <w:b/>
          <w:bCs/>
          <w:sz w:val="24"/>
          <w:szCs w:val="24"/>
        </w:rPr>
      </w:pPr>
      <w:r w:rsidRPr="009F38E3">
        <w:rPr>
          <w:rFonts w:ascii="Arial" w:hAnsi="Arial" w:cs="Arial"/>
          <w:sz w:val="24"/>
          <w:szCs w:val="24"/>
        </w:rPr>
        <w:t>To attain substantive equality, systemic interventions are necessary to address structural disparities that have been ingrained by decades of systematic discrimination. By eradicating obstacles of economic participation, education, and employment that significantly affect racially excluded groups, affirmative action stands well positioned to tackle persistent entrenched inequalities</w:t>
      </w:r>
      <w:r w:rsidRPr="009F38E3">
        <w:rPr>
          <w:rFonts w:ascii="Arial" w:hAnsi="Arial" w:cs="Arial"/>
          <w:b/>
          <w:bCs/>
          <w:sz w:val="24"/>
          <w:szCs w:val="24"/>
        </w:rPr>
        <w:t>.</w:t>
      </w:r>
      <w:r w:rsidRPr="009F38E3">
        <w:rPr>
          <w:rFonts w:ascii="Arial" w:hAnsi="Arial" w:cs="Arial"/>
          <w:b/>
          <w:bCs/>
          <w:sz w:val="24"/>
          <w:szCs w:val="24"/>
          <w:vertAlign w:val="superscript"/>
        </w:rPr>
        <w:footnoteReference w:id="234"/>
      </w:r>
      <w:r w:rsidRPr="009F38E3">
        <w:rPr>
          <w:rFonts w:ascii="Arial" w:hAnsi="Arial" w:cs="Arial"/>
          <w:b/>
          <w:bCs/>
          <w:sz w:val="24"/>
          <w:szCs w:val="24"/>
        </w:rPr>
        <w:t xml:space="preserve"> </w:t>
      </w:r>
      <w:r w:rsidRPr="009F38E3">
        <w:rPr>
          <w:rFonts w:ascii="Arial" w:hAnsi="Arial" w:cs="Arial"/>
          <w:sz w:val="24"/>
          <w:szCs w:val="24"/>
        </w:rPr>
        <w:t xml:space="preserve">Systemic impediments within institutions, social norms, and economic structures that sustain disadvantage are examples of structural inequalities. By addressing underrepresentation in important industries and encouraging diversity in settings that have historically been exclusive, affirmative action </w:t>
      </w:r>
      <w:r w:rsidR="00A9620D" w:rsidRPr="009F38E3">
        <w:rPr>
          <w:rFonts w:ascii="Arial" w:hAnsi="Arial" w:cs="Arial"/>
          <w:sz w:val="24"/>
          <w:szCs w:val="24"/>
        </w:rPr>
        <w:t>operates</w:t>
      </w:r>
      <w:r w:rsidRPr="009F38E3">
        <w:rPr>
          <w:rFonts w:ascii="Arial" w:hAnsi="Arial" w:cs="Arial"/>
          <w:sz w:val="24"/>
          <w:szCs w:val="24"/>
        </w:rPr>
        <w:t xml:space="preserve"> to overcome these obstacles. According to Fredman, interventions that alter societal norms and power dynamics in addition to reallocating resources</w:t>
      </w:r>
      <w:r w:rsidR="00A9620D" w:rsidRPr="009F38E3">
        <w:rPr>
          <w:rFonts w:ascii="Arial" w:hAnsi="Arial" w:cs="Arial"/>
          <w:sz w:val="24"/>
          <w:szCs w:val="24"/>
        </w:rPr>
        <w:t>,</w:t>
      </w:r>
      <w:r w:rsidRPr="009F38E3">
        <w:rPr>
          <w:rFonts w:ascii="Arial" w:hAnsi="Arial" w:cs="Arial"/>
          <w:sz w:val="24"/>
          <w:szCs w:val="24"/>
        </w:rPr>
        <w:t xml:space="preserve"> are necessary to achieve meaningful equality. This calls for systemic strategies as opposed to individualised ones.</w:t>
      </w:r>
      <w:r w:rsidRPr="009F38E3">
        <w:rPr>
          <w:rFonts w:ascii="Arial" w:hAnsi="Arial" w:cs="Arial"/>
          <w:sz w:val="24"/>
          <w:szCs w:val="24"/>
          <w:vertAlign w:val="superscript"/>
        </w:rPr>
        <w:footnoteReference w:id="235"/>
      </w:r>
    </w:p>
    <w:p w14:paraId="394E3756" w14:textId="19D050E2"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The provisions of the </w:t>
      </w:r>
      <w:r w:rsidRPr="009F38E3">
        <w:rPr>
          <w:rFonts w:ascii="Arial" w:hAnsi="Arial" w:cs="Arial"/>
          <w:i/>
          <w:iCs/>
          <w:sz w:val="24"/>
          <w:szCs w:val="24"/>
        </w:rPr>
        <w:t>Employment Equity Act</w:t>
      </w:r>
      <w:r w:rsidRPr="009F38E3">
        <w:rPr>
          <w:rFonts w:ascii="Arial" w:hAnsi="Arial" w:cs="Arial"/>
          <w:sz w:val="24"/>
          <w:szCs w:val="24"/>
        </w:rPr>
        <w:t xml:space="preserve"> serve as an example of this strategy. By mandating companies to identify and eliminate impediments to equality through mandatory employment equity evaluations in section 19, the </w:t>
      </w:r>
      <w:r w:rsidRPr="009F38E3">
        <w:rPr>
          <w:rFonts w:ascii="Arial" w:hAnsi="Arial" w:cs="Arial"/>
          <w:i/>
          <w:iCs/>
          <w:sz w:val="24"/>
          <w:szCs w:val="24"/>
        </w:rPr>
        <w:t>EEA</w:t>
      </w:r>
      <w:r w:rsidRPr="009F38E3">
        <w:rPr>
          <w:rFonts w:ascii="Arial" w:hAnsi="Arial" w:cs="Arial"/>
          <w:sz w:val="24"/>
          <w:szCs w:val="24"/>
        </w:rPr>
        <w:t xml:space="preserve"> specifically addresses structural inequality. Customized recruitment techniques, for example, concentrate on giving women, people with disabilities, and Black people who are still marginalized in high-income employment opportunities more chances for advancement.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find obstacles to fair representation and put policies in place to remove them, employers are required to carry out employment equity analyses. Specific affirmative action measures, such as targeted recruiting, training, and mentorship programs, are outlined in section 15(2) of the </w:t>
      </w:r>
      <w:r w:rsidRPr="009F38E3">
        <w:rPr>
          <w:rFonts w:ascii="Arial" w:hAnsi="Arial" w:cs="Arial"/>
          <w:i/>
          <w:iCs/>
          <w:sz w:val="24"/>
          <w:szCs w:val="24"/>
        </w:rPr>
        <w:t>EEA</w:t>
      </w:r>
      <w:r w:rsidRPr="009F38E3">
        <w:rPr>
          <w:rFonts w:ascii="Arial" w:hAnsi="Arial" w:cs="Arial"/>
          <w:sz w:val="24"/>
          <w:szCs w:val="24"/>
        </w:rPr>
        <w:t xml:space="preserve"> with the goal of correcting the systemic disadvantages that underrepresented groups experience. Employers have a positive duty to eliminate unjust discrimination in employment </w:t>
      </w:r>
      <w:r w:rsidRPr="009F38E3">
        <w:rPr>
          <w:rFonts w:ascii="Arial" w:hAnsi="Arial" w:cs="Arial"/>
          <w:sz w:val="24"/>
          <w:szCs w:val="24"/>
        </w:rPr>
        <w:lastRenderedPageBreak/>
        <w:t xml:space="preserve">policies and practices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promote equal opportunity in the workplace. The burden of demonstrating that discrimination is a fair practice and not discriminatory at all rests with the employer in cases where an employee asserts unfair treatment.</w:t>
      </w:r>
      <w:r w:rsidRPr="009F38E3">
        <w:rPr>
          <w:rFonts w:ascii="Arial" w:hAnsi="Arial" w:cs="Arial"/>
          <w:sz w:val="24"/>
          <w:szCs w:val="24"/>
          <w:vertAlign w:val="superscript"/>
        </w:rPr>
        <w:footnoteReference w:id="236"/>
      </w:r>
      <w:r w:rsidRPr="009F38E3">
        <w:rPr>
          <w:rFonts w:ascii="Arial" w:hAnsi="Arial" w:cs="Arial"/>
          <w:sz w:val="24"/>
          <w:szCs w:val="24"/>
        </w:rPr>
        <w:t xml:space="preserve"> </w:t>
      </w:r>
    </w:p>
    <w:p w14:paraId="08ADBA7C" w14:textId="77777777"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The court in </w:t>
      </w:r>
      <w:r w:rsidRPr="009F38E3">
        <w:rPr>
          <w:rFonts w:ascii="Arial" w:hAnsi="Arial" w:cs="Arial"/>
          <w:i/>
          <w:iCs/>
          <w:sz w:val="24"/>
          <w:szCs w:val="24"/>
        </w:rPr>
        <w:t>Du Preez v Minister of Justice and Constitutional Development and Others</w:t>
      </w:r>
      <w:r w:rsidRPr="009F38E3">
        <w:rPr>
          <w:rFonts w:ascii="Arial" w:hAnsi="Arial" w:cs="Arial"/>
          <w:i/>
          <w:iCs/>
          <w:sz w:val="24"/>
          <w:szCs w:val="24"/>
          <w:vertAlign w:val="superscript"/>
        </w:rPr>
        <w:footnoteReference w:id="237"/>
      </w:r>
      <w:r w:rsidRPr="009F38E3">
        <w:rPr>
          <w:rFonts w:ascii="Arial" w:hAnsi="Arial" w:cs="Arial"/>
          <w:i/>
          <w:iCs/>
          <w:sz w:val="24"/>
          <w:szCs w:val="24"/>
        </w:rPr>
        <w:t xml:space="preserve"> </w:t>
      </w:r>
      <w:r w:rsidRPr="009F38E3">
        <w:rPr>
          <w:rFonts w:ascii="Arial" w:hAnsi="Arial" w:cs="Arial"/>
          <w:sz w:val="24"/>
          <w:szCs w:val="24"/>
        </w:rPr>
        <w:t xml:space="preserve">stated that, by its very nature, affirmative action serves to further the interests of marginalized groups as a means of addressing systemic injustices. Therefore, in some cases, these corrective actions may put members of historically privileged groups at a relative disadvantage. This outcome is consistent with the transformative aim of the </w:t>
      </w:r>
      <w:r w:rsidRPr="009F38E3">
        <w:rPr>
          <w:rFonts w:ascii="Arial" w:hAnsi="Arial" w:cs="Arial"/>
          <w:i/>
          <w:iCs/>
          <w:sz w:val="24"/>
          <w:szCs w:val="24"/>
        </w:rPr>
        <w:t>Constitution</w:t>
      </w:r>
      <w:r w:rsidRPr="009F38E3">
        <w:rPr>
          <w:rFonts w:ascii="Arial" w:hAnsi="Arial" w:cs="Arial"/>
          <w:sz w:val="24"/>
          <w:szCs w:val="24"/>
        </w:rPr>
        <w:t xml:space="preserve"> as expressed in section 9(2), which expressly authorizes actions intended to uplift or safeguard groups who have been harmed by historical prejudice. Affirmative action does not, however, exempt such actions from court review. The </w:t>
      </w:r>
      <w:r w:rsidRPr="009F38E3">
        <w:rPr>
          <w:rFonts w:ascii="Arial" w:hAnsi="Arial" w:cs="Arial"/>
          <w:i/>
          <w:iCs/>
          <w:sz w:val="24"/>
          <w:szCs w:val="24"/>
        </w:rPr>
        <w:t xml:space="preserve">Constitution </w:t>
      </w:r>
      <w:r w:rsidRPr="009F38E3">
        <w:rPr>
          <w:rFonts w:ascii="Arial" w:hAnsi="Arial" w:cs="Arial"/>
          <w:sz w:val="24"/>
          <w:szCs w:val="24"/>
        </w:rPr>
        <w:t xml:space="preserve">guarantees that those who are adversely impacted by these policies continue to have recourse to legal protection, guaranteeing that affirmative action is implemented in a fair and equitable manner. </w:t>
      </w:r>
    </w:p>
    <w:p w14:paraId="0BD7CB2A" w14:textId="1A73AB80"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Further, the court</w:t>
      </w:r>
      <w:r w:rsidRPr="009F38E3">
        <w:rPr>
          <w:rFonts w:ascii="Arial" w:hAnsi="Arial" w:cs="Arial"/>
          <w:sz w:val="24"/>
          <w:szCs w:val="24"/>
          <w:vertAlign w:val="superscript"/>
        </w:rPr>
        <w:footnoteReference w:id="238"/>
      </w:r>
      <w:r w:rsidRPr="009F38E3">
        <w:rPr>
          <w:rFonts w:ascii="Arial" w:hAnsi="Arial" w:cs="Arial"/>
          <w:sz w:val="24"/>
          <w:szCs w:val="24"/>
        </w:rPr>
        <w:t xml:space="preserve"> held that the framework of substantive equality must be used to interpret affirmative action policies, highlighting their function in resolving and eliminating structural injustices. Section 14(1) of the </w:t>
      </w:r>
      <w:r w:rsidRPr="009F38E3">
        <w:rPr>
          <w:rFonts w:ascii="Arial" w:hAnsi="Arial" w:cs="Arial"/>
          <w:i/>
          <w:iCs/>
          <w:sz w:val="24"/>
          <w:szCs w:val="24"/>
        </w:rPr>
        <w:t>EEA</w:t>
      </w:r>
      <w:r w:rsidRPr="009F38E3">
        <w:rPr>
          <w:rFonts w:ascii="Arial" w:hAnsi="Arial" w:cs="Arial"/>
          <w:sz w:val="24"/>
          <w:szCs w:val="24"/>
        </w:rPr>
        <w:t xml:space="preserve">, which authorizes preferential treatment </w:t>
      </w:r>
      <w:proofErr w:type="gramStart"/>
      <w:r w:rsidRPr="009F38E3">
        <w:rPr>
          <w:rFonts w:ascii="Arial" w:hAnsi="Arial" w:cs="Arial"/>
          <w:sz w:val="24"/>
          <w:szCs w:val="24"/>
        </w:rPr>
        <w:t>on the basis of</w:t>
      </w:r>
      <w:proofErr w:type="gramEnd"/>
      <w:r w:rsidRPr="009F38E3">
        <w:rPr>
          <w:rFonts w:ascii="Arial" w:hAnsi="Arial" w:cs="Arial"/>
          <w:sz w:val="24"/>
          <w:szCs w:val="24"/>
        </w:rPr>
        <w:t xml:space="preserve"> gender or race, is consistent with the larger constitutional goals outlined in section 9(2). Even while these policies may put certain people at a disadvantage, their goal is to address historical inequities and advance a society that embraces everyone, rather than discriminate unfairly. While affirmative action is incorporated as a vital component of attaining equality, section 9(2) does not invalidate or preclude equality rights. The transformational constitutional principles, which view affirmative action policies as instruments to address structural injustice and promote social cohesion, </w:t>
      </w:r>
      <w:r w:rsidR="00F77509" w:rsidRPr="009F38E3">
        <w:rPr>
          <w:rFonts w:ascii="Arial" w:hAnsi="Arial" w:cs="Arial"/>
          <w:sz w:val="24"/>
          <w:szCs w:val="24"/>
        </w:rPr>
        <w:t>are</w:t>
      </w:r>
      <w:r w:rsidRPr="009F38E3">
        <w:rPr>
          <w:rFonts w:ascii="Arial" w:hAnsi="Arial" w:cs="Arial"/>
          <w:sz w:val="24"/>
          <w:szCs w:val="24"/>
        </w:rPr>
        <w:t xml:space="preserve"> reflected in this interpretation. The supremacy of the </w:t>
      </w:r>
      <w:r w:rsidRPr="009F38E3">
        <w:rPr>
          <w:rFonts w:ascii="Arial" w:hAnsi="Arial" w:cs="Arial"/>
          <w:i/>
          <w:iCs/>
          <w:sz w:val="24"/>
          <w:szCs w:val="24"/>
        </w:rPr>
        <w:t>Constitution</w:t>
      </w:r>
      <w:r w:rsidRPr="009F38E3">
        <w:rPr>
          <w:rFonts w:ascii="Arial" w:hAnsi="Arial" w:cs="Arial"/>
          <w:sz w:val="24"/>
          <w:szCs w:val="24"/>
        </w:rPr>
        <w:t xml:space="preserve"> necessitates a flexible and values-based interpretation of equality rights, guaranteeing that affirmative action policies are created and carried out in a fair and proportionate manner. </w:t>
      </w:r>
    </w:p>
    <w:p w14:paraId="7099D2DC" w14:textId="684BAC5D"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lastRenderedPageBreak/>
        <w:t>Among the many positive initiatives that are included in affirmative action</w:t>
      </w:r>
      <w:r w:rsidR="00F77509" w:rsidRPr="009F38E3">
        <w:rPr>
          <w:rFonts w:ascii="Arial" w:hAnsi="Arial" w:cs="Arial"/>
          <w:sz w:val="24"/>
          <w:szCs w:val="24"/>
        </w:rPr>
        <w:t>,</w:t>
      </w:r>
      <w:r w:rsidRPr="009F38E3">
        <w:rPr>
          <w:rFonts w:ascii="Arial" w:hAnsi="Arial" w:cs="Arial"/>
          <w:sz w:val="24"/>
          <w:szCs w:val="24"/>
        </w:rPr>
        <w:t xml:space="preserve"> are targeted hiring, training programs, mentorship programs, and reasonable accommodation for people with disabilities. These policies seek to level the playing field by removing certain obstacles that underprivileged groups must overcome. For instance,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guarantee that people with impairments can participate effectively, businesses are required by the </w:t>
      </w:r>
      <w:r w:rsidRPr="009F38E3">
        <w:rPr>
          <w:rFonts w:ascii="Arial" w:hAnsi="Arial" w:cs="Arial"/>
          <w:i/>
          <w:iCs/>
          <w:sz w:val="24"/>
          <w:szCs w:val="24"/>
        </w:rPr>
        <w:t>EEA</w:t>
      </w:r>
      <w:r w:rsidRPr="009F38E3">
        <w:rPr>
          <w:rFonts w:ascii="Arial" w:hAnsi="Arial" w:cs="Arial"/>
          <w:sz w:val="24"/>
          <w:szCs w:val="24"/>
        </w:rPr>
        <w:t xml:space="preserve"> to make reasonable accommodation. In addition to advancing substantive equality, this need upholds the dignity principle by acknowledging and appreciating individual differences. Therefore, affirmative action is a strong tool </w:t>
      </w:r>
      <w:r w:rsidR="00F77509" w:rsidRPr="009F38E3">
        <w:rPr>
          <w:rFonts w:ascii="Arial" w:hAnsi="Arial" w:cs="Arial"/>
          <w:sz w:val="24"/>
          <w:szCs w:val="24"/>
        </w:rPr>
        <w:t xml:space="preserve">in </w:t>
      </w:r>
      <w:r w:rsidRPr="009F38E3">
        <w:rPr>
          <w:rFonts w:ascii="Arial" w:hAnsi="Arial" w:cs="Arial"/>
          <w:sz w:val="24"/>
          <w:szCs w:val="24"/>
        </w:rPr>
        <w:t>achiev</w:t>
      </w:r>
      <w:r w:rsidR="00F77509" w:rsidRPr="009F38E3">
        <w:rPr>
          <w:rFonts w:ascii="Arial" w:hAnsi="Arial" w:cs="Arial"/>
          <w:sz w:val="24"/>
          <w:szCs w:val="24"/>
        </w:rPr>
        <w:t>ing</w:t>
      </w:r>
      <w:r w:rsidRPr="009F38E3">
        <w:rPr>
          <w:rFonts w:ascii="Arial" w:hAnsi="Arial" w:cs="Arial"/>
          <w:sz w:val="24"/>
          <w:szCs w:val="24"/>
        </w:rPr>
        <w:t xml:space="preserve"> maximum effectiveness in eliminating systemic inequity and promoting true diversity, rather than a compromise of equality.</w:t>
      </w:r>
    </w:p>
    <w:p w14:paraId="583B427F" w14:textId="22DD7818" w:rsidR="00DD7122" w:rsidRPr="009F38E3" w:rsidRDefault="00F61E8A" w:rsidP="000710D1">
      <w:pPr>
        <w:pStyle w:val="Subtitle"/>
        <w:numPr>
          <w:ilvl w:val="0"/>
          <w:numId w:val="0"/>
        </w:numPr>
        <w:ind w:left="792"/>
      </w:pPr>
      <w:bookmarkStart w:id="140" w:name="_Toc189739315"/>
      <w:r>
        <w:t>2.7.1.3</w:t>
      </w:r>
      <w:r w:rsidR="00DD7122" w:rsidRPr="009F38E3">
        <w:t xml:space="preserve"> Ensuring an equal outcome</w:t>
      </w:r>
      <w:bookmarkEnd w:id="140"/>
    </w:p>
    <w:p w14:paraId="312F8BD1" w14:textId="77777777" w:rsidR="00DF6BC2" w:rsidRPr="009F38E3" w:rsidRDefault="00DF6BC2" w:rsidP="00DD7122">
      <w:pPr>
        <w:ind w:left="792"/>
        <w:contextualSpacing/>
        <w:rPr>
          <w:rFonts w:ascii="Arial" w:hAnsi="Arial" w:cs="Arial"/>
          <w:b/>
          <w:bCs/>
          <w:sz w:val="24"/>
          <w:szCs w:val="24"/>
        </w:rPr>
      </w:pPr>
    </w:p>
    <w:p w14:paraId="7472F6A6" w14:textId="2378FB8B"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Achieving substantive equality is accomplished through affirmative action, which strives for outcomes that represent equity and justice in both possibilities and achievements. As opposed to formal equality</w:t>
      </w:r>
      <w:r w:rsidR="00F77509" w:rsidRPr="009F38E3">
        <w:rPr>
          <w:rFonts w:ascii="Arial" w:hAnsi="Arial" w:cs="Arial"/>
          <w:sz w:val="24"/>
          <w:szCs w:val="24"/>
        </w:rPr>
        <w:t>,</w:t>
      </w:r>
      <w:r w:rsidRPr="009F38E3">
        <w:rPr>
          <w:rFonts w:ascii="Arial" w:hAnsi="Arial" w:cs="Arial"/>
          <w:sz w:val="24"/>
          <w:szCs w:val="24"/>
        </w:rPr>
        <w:t xml:space="preserve"> which merely calls for equal treatment and ignores long-standing systemic inequalities</w:t>
      </w:r>
      <w:r w:rsidR="00F77509" w:rsidRPr="009F38E3">
        <w:rPr>
          <w:rFonts w:ascii="Arial" w:hAnsi="Arial" w:cs="Arial"/>
          <w:sz w:val="24"/>
          <w:szCs w:val="24"/>
        </w:rPr>
        <w:t>,</w:t>
      </w:r>
      <w:r w:rsidRPr="009F38E3">
        <w:rPr>
          <w:rFonts w:ascii="Arial" w:hAnsi="Arial" w:cs="Arial"/>
          <w:sz w:val="24"/>
          <w:szCs w:val="24"/>
        </w:rPr>
        <w:t xml:space="preserve"> this goal of equality in outcome sets substantive equality apart. Therefore, affirmative action plays a crucial role in addressing these disparities in the South African environment through the implementation of targeted efforts and initiatives.</w:t>
      </w:r>
    </w:p>
    <w:p w14:paraId="796D2973" w14:textId="337592CF"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Substantive equality acknowledges that specific populations have been historically handicapped by systemic impediments, and that measures that address these specific imbalances are necessary. According to the Constitutional Court's ruling in </w:t>
      </w:r>
      <w:r w:rsidRPr="009F38E3">
        <w:rPr>
          <w:rFonts w:ascii="Arial" w:hAnsi="Arial" w:cs="Arial"/>
          <w:i/>
          <w:iCs/>
          <w:sz w:val="24"/>
          <w:szCs w:val="24"/>
        </w:rPr>
        <w:t>SAPS</w:t>
      </w:r>
      <w:r w:rsidR="00717506" w:rsidRPr="009F38E3">
        <w:rPr>
          <w:rFonts w:ascii="Arial" w:hAnsi="Arial" w:cs="Arial"/>
          <w:i/>
          <w:iCs/>
          <w:sz w:val="24"/>
          <w:szCs w:val="24"/>
        </w:rPr>
        <w:t xml:space="preserve"> v</w:t>
      </w:r>
      <w:r w:rsidRPr="009F38E3">
        <w:rPr>
          <w:rFonts w:ascii="Arial" w:hAnsi="Arial" w:cs="Arial"/>
          <w:i/>
          <w:iCs/>
          <w:sz w:val="24"/>
          <w:szCs w:val="24"/>
        </w:rPr>
        <w:t xml:space="preserve"> Solidarity obo Barnard</w:t>
      </w:r>
      <w:r w:rsidRPr="009F38E3">
        <w:rPr>
          <w:rFonts w:ascii="Arial" w:hAnsi="Arial" w:cs="Arial"/>
          <w:sz w:val="24"/>
          <w:szCs w:val="24"/>
        </w:rPr>
        <w:t>,</w:t>
      </w:r>
      <w:r w:rsidRPr="009F38E3">
        <w:rPr>
          <w:rFonts w:ascii="Arial" w:hAnsi="Arial" w:cs="Arial"/>
          <w:sz w:val="24"/>
          <w:szCs w:val="24"/>
          <w:vertAlign w:val="superscript"/>
        </w:rPr>
        <w:footnoteReference w:id="239"/>
      </w:r>
      <w:r w:rsidRPr="009F38E3">
        <w:rPr>
          <w:rFonts w:ascii="Arial" w:hAnsi="Arial" w:cs="Arial"/>
          <w:sz w:val="24"/>
          <w:szCs w:val="24"/>
        </w:rPr>
        <w:t xml:space="preserve"> affirmative action policies ought to address underrepresentation in important public institutions </w:t>
      </w:r>
      <w:r w:rsidR="00F77509" w:rsidRPr="009F38E3">
        <w:rPr>
          <w:rFonts w:ascii="Arial" w:hAnsi="Arial" w:cs="Arial"/>
          <w:sz w:val="24"/>
          <w:szCs w:val="24"/>
        </w:rPr>
        <w:t xml:space="preserve">such as </w:t>
      </w:r>
      <w:r w:rsidRPr="009F38E3">
        <w:rPr>
          <w:rFonts w:ascii="Arial" w:hAnsi="Arial" w:cs="Arial"/>
          <w:sz w:val="24"/>
          <w:szCs w:val="24"/>
        </w:rPr>
        <w:t xml:space="preserve">the police departments. </w:t>
      </w:r>
      <w:proofErr w:type="gramStart"/>
      <w:r w:rsidRPr="009F38E3">
        <w:rPr>
          <w:rFonts w:ascii="Arial" w:hAnsi="Arial" w:cs="Arial"/>
          <w:sz w:val="24"/>
          <w:szCs w:val="24"/>
        </w:rPr>
        <w:t>In spite of</w:t>
      </w:r>
      <w:proofErr w:type="gramEnd"/>
      <w:r w:rsidRPr="009F38E3">
        <w:rPr>
          <w:rFonts w:ascii="Arial" w:hAnsi="Arial" w:cs="Arial"/>
          <w:sz w:val="24"/>
          <w:szCs w:val="24"/>
        </w:rPr>
        <w:t xml:space="preserve"> accusations that the initiative constituted reverse discriminat</w:t>
      </w:r>
      <w:r w:rsidR="00F77509" w:rsidRPr="009F38E3">
        <w:rPr>
          <w:rFonts w:ascii="Arial" w:hAnsi="Arial" w:cs="Arial"/>
          <w:sz w:val="24"/>
          <w:szCs w:val="24"/>
        </w:rPr>
        <w:t>ion,</w:t>
      </w:r>
      <w:r w:rsidRPr="009F38E3">
        <w:rPr>
          <w:rFonts w:ascii="Arial" w:hAnsi="Arial" w:cs="Arial"/>
          <w:sz w:val="24"/>
          <w:szCs w:val="24"/>
        </w:rPr>
        <w:t xml:space="preserve"> the court upheld a policy that prioritized racial and gender representation. The ruling emphasizes the need to strike a balance between the rights of marginalized groups and the interests of those who have historically benefited, which is consistent with the transformative intent of section 9(2) of the </w:t>
      </w:r>
      <w:r w:rsidRPr="009F38E3">
        <w:rPr>
          <w:rFonts w:ascii="Arial" w:hAnsi="Arial" w:cs="Arial"/>
          <w:i/>
          <w:iCs/>
          <w:sz w:val="24"/>
          <w:szCs w:val="24"/>
        </w:rPr>
        <w:t>Constitution</w:t>
      </w:r>
      <w:r w:rsidRPr="009F38E3">
        <w:rPr>
          <w:rFonts w:ascii="Arial" w:hAnsi="Arial" w:cs="Arial"/>
          <w:sz w:val="24"/>
          <w:szCs w:val="24"/>
        </w:rPr>
        <w:t xml:space="preserve"> and is necessary to achieve equal results.</w:t>
      </w:r>
    </w:p>
    <w:p w14:paraId="6BDC1763" w14:textId="46E45E83"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lastRenderedPageBreak/>
        <w:t>Most legal experts concur that affirmative action policies that redress past injustices as well as current structural discrimination</w:t>
      </w:r>
      <w:r w:rsidR="00F77509" w:rsidRPr="009F38E3">
        <w:rPr>
          <w:rFonts w:ascii="Arial" w:hAnsi="Arial" w:cs="Arial"/>
          <w:sz w:val="24"/>
          <w:szCs w:val="24"/>
        </w:rPr>
        <w:t>.</w:t>
      </w:r>
      <w:r w:rsidRPr="009F38E3">
        <w:rPr>
          <w:rFonts w:ascii="Arial" w:hAnsi="Arial" w:cs="Arial"/>
          <w:sz w:val="24"/>
          <w:szCs w:val="24"/>
        </w:rPr>
        <w:t xml:space="preserve"> are necessary to achieve substantive equality. According to </w:t>
      </w:r>
      <w:proofErr w:type="spellStart"/>
      <w:r w:rsidRPr="009F38E3">
        <w:rPr>
          <w:rFonts w:ascii="Arial" w:hAnsi="Arial" w:cs="Arial"/>
          <w:sz w:val="24"/>
          <w:szCs w:val="24"/>
        </w:rPr>
        <w:t>Albertyn</w:t>
      </w:r>
      <w:proofErr w:type="spellEnd"/>
      <w:r w:rsidRPr="009F38E3">
        <w:rPr>
          <w:rFonts w:ascii="Arial" w:hAnsi="Arial" w:cs="Arial"/>
          <w:sz w:val="24"/>
          <w:szCs w:val="24"/>
        </w:rPr>
        <w:t xml:space="preserve"> and Goldblatt,</w:t>
      </w:r>
      <w:r w:rsidRPr="009F38E3">
        <w:rPr>
          <w:rFonts w:ascii="Arial" w:hAnsi="Arial" w:cs="Arial"/>
          <w:sz w:val="24"/>
          <w:szCs w:val="24"/>
          <w:vertAlign w:val="superscript"/>
        </w:rPr>
        <w:footnoteReference w:id="240"/>
      </w:r>
      <w:r w:rsidRPr="009F38E3">
        <w:rPr>
          <w:rFonts w:ascii="Arial" w:hAnsi="Arial" w:cs="Arial"/>
          <w:sz w:val="24"/>
          <w:szCs w:val="24"/>
        </w:rPr>
        <w:t xml:space="preserve"> achieving equality is a continuous process that calls for proactive steps to eliminate ingrained disadvantages. They contend that in the absence of focused interventions, structural exclusionary patterns like poverty, illiteracy, and social marginalization, especially for those historically impacted by the legacy of apartheid, continue to sustain inequality. By highlighting the transformative potential of affirmative action in establishing substantive equality, Currie and De Waal support maintain that in the absence of these measures, members of historically underrepresented groups will never be able to successfully take advantage of the opportunities required for economic and social mobility.</w:t>
      </w:r>
      <w:r w:rsidRPr="009F38E3">
        <w:rPr>
          <w:rFonts w:ascii="Arial" w:hAnsi="Arial" w:cs="Arial"/>
          <w:sz w:val="24"/>
          <w:szCs w:val="24"/>
          <w:vertAlign w:val="superscript"/>
        </w:rPr>
        <w:footnoteReference w:id="241"/>
      </w:r>
      <w:r w:rsidRPr="009F38E3">
        <w:rPr>
          <w:rFonts w:ascii="Arial" w:hAnsi="Arial" w:cs="Arial"/>
          <w:sz w:val="24"/>
          <w:szCs w:val="24"/>
        </w:rPr>
        <w:t xml:space="preserve"> Currie and De Waal, for instance, point out how affirmative action helps close gaps in education, work, and resource distribution, guaranteeing that underrepresented groups are not only present in these domains but are also in a position to prosper.</w:t>
      </w:r>
      <w:r w:rsidRPr="009F38E3">
        <w:rPr>
          <w:rFonts w:ascii="Arial" w:hAnsi="Arial" w:cs="Arial"/>
          <w:sz w:val="24"/>
          <w:szCs w:val="24"/>
          <w:vertAlign w:val="superscript"/>
        </w:rPr>
        <w:footnoteReference w:id="242"/>
      </w:r>
      <w:r w:rsidRPr="009F38E3">
        <w:rPr>
          <w:rFonts w:ascii="Arial" w:hAnsi="Arial" w:cs="Arial"/>
          <w:sz w:val="24"/>
          <w:szCs w:val="24"/>
        </w:rPr>
        <w:t xml:space="preserve"> According to Fredman, establishing circumstances that allow people from underprivileged backgrounds to compete on an equal basis is just as important as attaining statistical representation in order to achieve substantive equality.</w:t>
      </w:r>
      <w:r w:rsidRPr="009F38E3">
        <w:rPr>
          <w:rFonts w:ascii="Arial" w:hAnsi="Arial" w:cs="Arial"/>
          <w:sz w:val="24"/>
          <w:szCs w:val="24"/>
          <w:vertAlign w:val="superscript"/>
        </w:rPr>
        <w:footnoteReference w:id="243"/>
      </w:r>
      <w:r w:rsidRPr="009F38E3">
        <w:rPr>
          <w:rFonts w:ascii="Arial" w:hAnsi="Arial" w:cs="Arial"/>
          <w:sz w:val="24"/>
          <w:szCs w:val="24"/>
        </w:rPr>
        <w:t xml:space="preserve"> Her research shows that in order to level the playing field, proactive steps like skill development and targeted hiring are required, especially in industries where discrimination has historically excluded underprivileged populations.</w:t>
      </w:r>
      <w:r w:rsidRPr="009F38E3">
        <w:rPr>
          <w:rFonts w:ascii="Arial" w:hAnsi="Arial" w:cs="Arial"/>
          <w:sz w:val="24"/>
          <w:szCs w:val="24"/>
          <w:vertAlign w:val="superscript"/>
        </w:rPr>
        <w:footnoteReference w:id="244"/>
      </w:r>
    </w:p>
    <w:p w14:paraId="757A1F7B" w14:textId="7CC1C8FA"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Preferential hiring, skill-development initiatives, and succession planning are among the actions required by section 15(2)(c) of the </w:t>
      </w:r>
      <w:r w:rsidRPr="009F38E3">
        <w:rPr>
          <w:rFonts w:ascii="Arial" w:hAnsi="Arial" w:cs="Arial"/>
          <w:i/>
          <w:iCs/>
          <w:sz w:val="24"/>
          <w:szCs w:val="24"/>
        </w:rPr>
        <w:t>EEA</w:t>
      </w:r>
      <w:r w:rsidRPr="009F38E3">
        <w:rPr>
          <w:rFonts w:ascii="Arial" w:hAnsi="Arial" w:cs="Arial"/>
          <w:sz w:val="24"/>
          <w:szCs w:val="24"/>
        </w:rPr>
        <w:t xml:space="preserve"> to facilitate the upward mobility of underrepresented groups. Beyond just removing obstacles, this legislative obligation ensures that specific efforts result in demonstrable advancement towards achieving equity. These measures put into practice the restitutive objective of affirmative action, which aims to make workplaces more representative with respect to South Africa's general demographic makeup. </w:t>
      </w:r>
    </w:p>
    <w:p w14:paraId="6916AEE3" w14:textId="500753EC"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In the landmark case of </w:t>
      </w:r>
      <w:r w:rsidRPr="009F38E3">
        <w:rPr>
          <w:rFonts w:ascii="Arial" w:hAnsi="Arial" w:cs="Arial"/>
          <w:i/>
          <w:iCs/>
          <w:sz w:val="24"/>
          <w:szCs w:val="24"/>
        </w:rPr>
        <w:t>South African Police Service</w:t>
      </w:r>
      <w:r w:rsidR="00717506" w:rsidRPr="009F38E3">
        <w:rPr>
          <w:rFonts w:ascii="Arial" w:hAnsi="Arial" w:cs="Arial"/>
          <w:i/>
          <w:iCs/>
          <w:sz w:val="24"/>
          <w:szCs w:val="24"/>
        </w:rPr>
        <w:t xml:space="preserve"> v</w:t>
      </w:r>
      <w:r w:rsidRPr="009F38E3">
        <w:rPr>
          <w:rFonts w:ascii="Arial" w:hAnsi="Arial" w:cs="Arial"/>
          <w:i/>
          <w:iCs/>
          <w:sz w:val="24"/>
          <w:szCs w:val="24"/>
        </w:rPr>
        <w:t xml:space="preserve"> Solidarity obo Barnard,</w:t>
      </w:r>
      <w:r w:rsidRPr="009F38E3">
        <w:rPr>
          <w:rFonts w:ascii="Arial" w:hAnsi="Arial" w:cs="Arial"/>
          <w:sz w:val="24"/>
          <w:szCs w:val="24"/>
        </w:rPr>
        <w:t xml:space="preserve"> the Constitutional Court underlined how crucial the results of affirmative action are to </w:t>
      </w:r>
      <w:r w:rsidRPr="009F38E3">
        <w:rPr>
          <w:rFonts w:ascii="Arial" w:hAnsi="Arial" w:cs="Arial"/>
          <w:sz w:val="24"/>
          <w:szCs w:val="24"/>
        </w:rPr>
        <w:lastRenderedPageBreak/>
        <w:t xml:space="preserve">attaining substantive equality. The court emphasized that ensuring that those from underprivileged backgrounds have equal prospects for success is more important than merely treating everyone equally. The court clarified that attaining substantive equality is dependent on the accomplishments of affirmative action initiatives. This case serves as a fundamental reminder of how equitable outcomes </w:t>
      </w:r>
      <w:r w:rsidR="00F77509" w:rsidRPr="009F38E3">
        <w:rPr>
          <w:rFonts w:ascii="Arial" w:hAnsi="Arial" w:cs="Arial"/>
          <w:sz w:val="24"/>
          <w:szCs w:val="24"/>
        </w:rPr>
        <w:t>are</w:t>
      </w:r>
      <w:r w:rsidRPr="009F38E3">
        <w:rPr>
          <w:rFonts w:ascii="Arial" w:hAnsi="Arial" w:cs="Arial"/>
          <w:sz w:val="24"/>
          <w:szCs w:val="24"/>
        </w:rPr>
        <w:t xml:space="preserve"> paramount when pursuing substantive equality through affirmative action. The court acknowledged that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provide genuine, positive results for individuals who have historically been marginalized and disadvantaged, policies must go beyond formal equality. </w:t>
      </w:r>
    </w:p>
    <w:p w14:paraId="26402863" w14:textId="1BAEC3E2" w:rsidR="00DD7122" w:rsidRPr="009F38E3" w:rsidRDefault="00F61E8A" w:rsidP="000710D1">
      <w:pPr>
        <w:pStyle w:val="Subtitle"/>
        <w:numPr>
          <w:ilvl w:val="0"/>
          <w:numId w:val="0"/>
        </w:numPr>
        <w:ind w:left="792"/>
      </w:pPr>
      <w:bookmarkStart w:id="141" w:name="_Toc189739316"/>
      <w:r>
        <w:t>2.7.1.4</w:t>
      </w:r>
      <w:r w:rsidR="00DD7122" w:rsidRPr="009F38E3">
        <w:t xml:space="preserve"> Transformation to an equal society</w:t>
      </w:r>
      <w:bookmarkEnd w:id="141"/>
    </w:p>
    <w:p w14:paraId="4D2E9237" w14:textId="77777777" w:rsidR="00F77509" w:rsidRPr="009F38E3" w:rsidRDefault="00F77509" w:rsidP="00DD7122">
      <w:pPr>
        <w:ind w:left="792"/>
        <w:contextualSpacing/>
        <w:rPr>
          <w:rFonts w:ascii="Arial" w:hAnsi="Arial" w:cs="Arial"/>
          <w:b/>
          <w:bCs/>
          <w:sz w:val="24"/>
          <w:szCs w:val="24"/>
        </w:rPr>
      </w:pPr>
    </w:p>
    <w:p w14:paraId="065A235A" w14:textId="40E72680" w:rsidR="00DD7122" w:rsidRPr="009F38E3" w:rsidRDefault="00DD7122" w:rsidP="00DD7122">
      <w:pPr>
        <w:spacing w:line="360" w:lineRule="auto"/>
        <w:jc w:val="both"/>
        <w:rPr>
          <w:rFonts w:ascii="Arial" w:hAnsi="Arial" w:cs="Arial"/>
          <w:b/>
          <w:bCs/>
          <w:sz w:val="24"/>
          <w:szCs w:val="24"/>
        </w:rPr>
      </w:pPr>
      <w:r w:rsidRPr="009F38E3">
        <w:rPr>
          <w:rFonts w:ascii="Arial" w:hAnsi="Arial" w:cs="Arial"/>
          <w:sz w:val="24"/>
          <w:szCs w:val="24"/>
        </w:rPr>
        <w:t>In a democratically rebranded South Africa, the notion of affirmative action is crucial for advancing the vision of a nation constructed around substantive equality. This revolutionary tool is not simply a legislative device aimed at combating individual discrimination, but rather, it is a structural intervention intended to address the consequences of historical</w:t>
      </w:r>
      <w:r w:rsidR="00F77509" w:rsidRPr="009F38E3">
        <w:rPr>
          <w:rFonts w:ascii="Arial" w:hAnsi="Arial" w:cs="Arial"/>
          <w:sz w:val="24"/>
          <w:szCs w:val="24"/>
        </w:rPr>
        <w:t xml:space="preserve"> and</w:t>
      </w:r>
      <w:r w:rsidRPr="009F38E3">
        <w:rPr>
          <w:rFonts w:ascii="Arial" w:hAnsi="Arial" w:cs="Arial"/>
          <w:sz w:val="24"/>
          <w:szCs w:val="24"/>
        </w:rPr>
        <w:t xml:space="preserve"> institutional disadvantages and guarantee that everyone has an equal chance to succeed, regardless of their gender, race, or socioeconomic status. In the framework of substantive equality, affirmative action thus aims to address ingrained inequities and foster social transformation that goes beyond formal equality</w:t>
      </w:r>
      <w:r w:rsidRPr="009F38E3">
        <w:rPr>
          <w:rFonts w:ascii="Arial" w:hAnsi="Arial" w:cs="Arial"/>
          <w:b/>
          <w:bCs/>
          <w:sz w:val="24"/>
          <w:szCs w:val="24"/>
        </w:rPr>
        <w:t>.</w:t>
      </w:r>
    </w:p>
    <w:p w14:paraId="4B0AEED0" w14:textId="4A2C1F0A"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As a corrective and restitutive tool, affirmative action directly advances substantive equality by redistributing opportunities to individuals who were historically denied full participation in society. This strategy is especially relevant in South Africa, where racial, gender, and class disparities were solidified by apartheid and continue to exist even after the official end of the system. By encouraging the representation of historically underrepresented groups, affirmative action is</w:t>
      </w:r>
      <w:r w:rsidR="00F77509" w:rsidRPr="009F38E3">
        <w:rPr>
          <w:rFonts w:ascii="Arial" w:hAnsi="Arial" w:cs="Arial"/>
          <w:sz w:val="24"/>
          <w:szCs w:val="24"/>
        </w:rPr>
        <w:t>,</w:t>
      </w:r>
      <w:r w:rsidRPr="009F38E3">
        <w:rPr>
          <w:rFonts w:ascii="Arial" w:hAnsi="Arial" w:cs="Arial"/>
          <w:sz w:val="24"/>
          <w:szCs w:val="24"/>
        </w:rPr>
        <w:t xml:space="preserve"> therefore</w:t>
      </w:r>
      <w:r w:rsidR="00F77509" w:rsidRPr="009F38E3">
        <w:rPr>
          <w:rFonts w:ascii="Arial" w:hAnsi="Arial" w:cs="Arial"/>
          <w:sz w:val="24"/>
          <w:szCs w:val="24"/>
        </w:rPr>
        <w:t>,</w:t>
      </w:r>
      <w:r w:rsidRPr="009F38E3">
        <w:rPr>
          <w:rFonts w:ascii="Arial" w:hAnsi="Arial" w:cs="Arial"/>
          <w:sz w:val="24"/>
          <w:szCs w:val="24"/>
        </w:rPr>
        <w:t xml:space="preserve"> more than just a means of granting equal opportunities; rather, it is a transformative technique that seeks to radically alter societal structures like employment opportunities, education, and public service. </w:t>
      </w:r>
    </w:p>
    <w:p w14:paraId="7834277E" w14:textId="1B83C0AD" w:rsidR="00DD7122" w:rsidRPr="009F38E3" w:rsidRDefault="00F61E8A" w:rsidP="000710D1">
      <w:pPr>
        <w:pStyle w:val="Heading1"/>
      </w:pPr>
      <w:bookmarkStart w:id="142" w:name="_Toc189739317"/>
      <w:r>
        <w:t>2.8</w:t>
      </w:r>
      <w:r w:rsidR="00DD7122" w:rsidRPr="009F38E3">
        <w:t xml:space="preserve"> Compliance with validity requirements</w:t>
      </w:r>
      <w:bookmarkEnd w:id="142"/>
    </w:p>
    <w:p w14:paraId="2B0D4E9A" w14:textId="226E47AC" w:rsidR="00DD7122" w:rsidRPr="009F38E3" w:rsidRDefault="00DD7122" w:rsidP="00DD7122">
      <w:pPr>
        <w:spacing w:line="360" w:lineRule="auto"/>
        <w:jc w:val="both"/>
        <w:rPr>
          <w:rFonts w:ascii="Arial" w:hAnsi="Arial" w:cs="Arial"/>
          <w:sz w:val="24"/>
          <w:szCs w:val="24"/>
        </w:rPr>
      </w:pPr>
      <w:r w:rsidRPr="009F38E3">
        <w:rPr>
          <w:rFonts w:ascii="Arial" w:hAnsi="Arial" w:cs="Arial"/>
          <w:sz w:val="24"/>
          <w:szCs w:val="24"/>
        </w:rPr>
        <w:t xml:space="preserve">Affirmative action policies will only be deemed constitutionally sound if they meet the three requirements outlined in section 9(2) of the </w:t>
      </w:r>
      <w:r w:rsidRPr="009F38E3">
        <w:rPr>
          <w:rFonts w:ascii="Arial" w:hAnsi="Arial" w:cs="Arial"/>
          <w:i/>
          <w:iCs/>
          <w:sz w:val="24"/>
          <w:szCs w:val="24"/>
        </w:rPr>
        <w:t>Constitution.</w:t>
      </w:r>
      <w:r w:rsidRPr="009F38E3">
        <w:rPr>
          <w:rFonts w:ascii="Arial" w:hAnsi="Arial" w:cs="Arial"/>
          <w:sz w:val="24"/>
          <w:szCs w:val="24"/>
        </w:rPr>
        <w:t xml:space="preserve"> The </w:t>
      </w:r>
      <w:r w:rsidRPr="009F38E3">
        <w:rPr>
          <w:rFonts w:ascii="Arial" w:hAnsi="Arial" w:cs="Arial"/>
          <w:i/>
          <w:iCs/>
          <w:sz w:val="24"/>
          <w:szCs w:val="24"/>
        </w:rPr>
        <w:t>Van Heerden</w:t>
      </w:r>
      <w:r w:rsidRPr="009F38E3">
        <w:rPr>
          <w:rFonts w:ascii="Arial" w:hAnsi="Arial" w:cs="Arial"/>
          <w:sz w:val="24"/>
          <w:szCs w:val="24"/>
        </w:rPr>
        <w:t xml:space="preserve"> decision established the three-step process to ascertain whether a measure is </w:t>
      </w:r>
      <w:r w:rsidRPr="009F38E3">
        <w:rPr>
          <w:rFonts w:ascii="Arial" w:hAnsi="Arial" w:cs="Arial"/>
          <w:sz w:val="24"/>
          <w:szCs w:val="24"/>
        </w:rPr>
        <w:lastRenderedPageBreak/>
        <w:t xml:space="preserve">appropriately within the purview of section 9(2) of the </w:t>
      </w:r>
      <w:r w:rsidRPr="009F38E3">
        <w:rPr>
          <w:rFonts w:ascii="Arial" w:hAnsi="Arial" w:cs="Arial"/>
          <w:i/>
          <w:iCs/>
          <w:sz w:val="24"/>
          <w:szCs w:val="24"/>
        </w:rPr>
        <w:t>Constitution</w:t>
      </w:r>
      <w:r w:rsidRPr="009F38E3">
        <w:rPr>
          <w:rFonts w:ascii="Arial" w:hAnsi="Arial" w:cs="Arial"/>
          <w:sz w:val="24"/>
          <w:szCs w:val="24"/>
        </w:rPr>
        <w:t>.</w:t>
      </w:r>
      <w:r w:rsidRPr="009F38E3">
        <w:rPr>
          <w:rFonts w:ascii="Arial" w:hAnsi="Arial" w:cs="Arial"/>
          <w:sz w:val="24"/>
          <w:szCs w:val="24"/>
          <w:vertAlign w:val="superscript"/>
        </w:rPr>
        <w:footnoteReference w:id="245"/>
      </w:r>
      <w:r w:rsidRPr="009F38E3">
        <w:rPr>
          <w:rFonts w:ascii="Arial" w:hAnsi="Arial" w:cs="Arial"/>
          <w:sz w:val="24"/>
          <w:szCs w:val="24"/>
        </w:rPr>
        <w:t xml:space="preserve"> This decision offers a solid foundation for evaluating how our courts handle the adjudication of affirmative action claims, including those under the </w:t>
      </w:r>
      <w:r w:rsidRPr="009F38E3">
        <w:rPr>
          <w:rFonts w:ascii="Arial" w:hAnsi="Arial" w:cs="Arial"/>
          <w:i/>
          <w:iCs/>
          <w:sz w:val="24"/>
          <w:szCs w:val="24"/>
        </w:rPr>
        <w:t>EEA.</w:t>
      </w:r>
      <w:r w:rsidRPr="009F38E3">
        <w:rPr>
          <w:rFonts w:ascii="Arial" w:hAnsi="Arial" w:cs="Arial"/>
          <w:sz w:val="24"/>
          <w:szCs w:val="24"/>
        </w:rPr>
        <w:t xml:space="preserve"> The three internal requirements are</w:t>
      </w:r>
      <w:r w:rsidR="00EC18CE" w:rsidRPr="009F38E3">
        <w:rPr>
          <w:rFonts w:ascii="Arial" w:hAnsi="Arial" w:cs="Arial"/>
          <w:sz w:val="24"/>
          <w:szCs w:val="24"/>
        </w:rPr>
        <w:t xml:space="preserve"> as follows: firstly, the measures must target persons or categories of persons who have been disadvantaged by unfair discrimination </w:t>
      </w:r>
      <w:r w:rsidRPr="009F38E3">
        <w:rPr>
          <w:rFonts w:ascii="Arial" w:hAnsi="Arial" w:cs="Arial"/>
          <w:sz w:val="24"/>
          <w:szCs w:val="24"/>
        </w:rPr>
        <w:t>.</w:t>
      </w:r>
      <w:r w:rsidRPr="009F38E3">
        <w:rPr>
          <w:rFonts w:ascii="Arial" w:hAnsi="Arial" w:cs="Arial"/>
          <w:sz w:val="24"/>
          <w:szCs w:val="24"/>
          <w:vertAlign w:val="superscript"/>
        </w:rPr>
        <w:footnoteReference w:id="246"/>
      </w:r>
      <w:r w:rsidRPr="009F38E3">
        <w:rPr>
          <w:rFonts w:ascii="Arial" w:hAnsi="Arial" w:cs="Arial"/>
          <w:sz w:val="24"/>
          <w:szCs w:val="24"/>
        </w:rPr>
        <w:t xml:space="preserve"> In dealing with the first requirement</w:t>
      </w:r>
      <w:r w:rsidR="00EC18CE" w:rsidRPr="009F38E3">
        <w:rPr>
          <w:rFonts w:ascii="Arial" w:hAnsi="Arial" w:cs="Arial"/>
          <w:sz w:val="24"/>
          <w:szCs w:val="24"/>
        </w:rPr>
        <w:t>,</w:t>
      </w:r>
      <w:r w:rsidRPr="009F38E3">
        <w:rPr>
          <w:rFonts w:ascii="Arial" w:hAnsi="Arial" w:cs="Arial"/>
          <w:sz w:val="24"/>
          <w:szCs w:val="24"/>
        </w:rPr>
        <w:t xml:space="preserve"> the </w:t>
      </w:r>
      <w:r w:rsidRPr="009F38E3">
        <w:rPr>
          <w:rFonts w:ascii="Arial" w:hAnsi="Arial" w:cs="Arial"/>
          <w:i/>
          <w:iCs/>
          <w:sz w:val="24"/>
          <w:szCs w:val="24"/>
        </w:rPr>
        <w:t>Constitution</w:t>
      </w:r>
      <w:r w:rsidRPr="009F38E3">
        <w:rPr>
          <w:rFonts w:ascii="Arial" w:hAnsi="Arial" w:cs="Arial"/>
          <w:sz w:val="24"/>
          <w:szCs w:val="24"/>
        </w:rPr>
        <w:t xml:space="preserve"> leaves the identity of the potential beneficiary of affirmative action open-ended by referring to persons or categories of persons disadvantaged by unfair discrimination.</w:t>
      </w:r>
      <w:r w:rsidRPr="009F38E3">
        <w:rPr>
          <w:rFonts w:ascii="Arial" w:hAnsi="Arial" w:cs="Arial"/>
          <w:sz w:val="24"/>
          <w:szCs w:val="24"/>
          <w:vertAlign w:val="superscript"/>
        </w:rPr>
        <w:footnoteReference w:id="247"/>
      </w:r>
      <w:r w:rsidRPr="009F38E3">
        <w:rPr>
          <w:rFonts w:ascii="Arial" w:hAnsi="Arial" w:cs="Arial"/>
          <w:sz w:val="24"/>
          <w:szCs w:val="24"/>
        </w:rPr>
        <w:t xml:space="preserve"> The second requirement is to ascertain if the measure is intended to advance or protect such individuals or groups of individuals.</w:t>
      </w:r>
      <w:r w:rsidRPr="009F38E3">
        <w:rPr>
          <w:rFonts w:ascii="Arial" w:hAnsi="Arial" w:cs="Arial"/>
          <w:sz w:val="24"/>
          <w:szCs w:val="24"/>
          <w:vertAlign w:val="superscript"/>
        </w:rPr>
        <w:footnoteReference w:id="248"/>
      </w:r>
      <w:r w:rsidRPr="009F38E3">
        <w:rPr>
          <w:rFonts w:ascii="Arial" w:hAnsi="Arial" w:cs="Arial"/>
          <w:sz w:val="24"/>
          <w:szCs w:val="24"/>
        </w:rPr>
        <w:t xml:space="preserve"> The court used the reasonableness standard to decide whether a policy was actually intended to progress or protect. The court decided that the measures must be reasonably capable of achieving the intended result in this regard. The third prerequisite is that the action must be in line with the broader objective of establishing equality by safeguarding or promoting underprivileged individuals or groups. The court pointed out that it is unavoidable that individuals who were previously privileged may pay a price in order to attain this goal.</w:t>
      </w:r>
      <w:r w:rsidRPr="009F38E3">
        <w:rPr>
          <w:rFonts w:ascii="Arial" w:hAnsi="Arial" w:cs="Arial"/>
          <w:sz w:val="24"/>
          <w:szCs w:val="24"/>
          <w:vertAlign w:val="superscript"/>
        </w:rPr>
        <w:footnoteReference w:id="249"/>
      </w:r>
      <w:r w:rsidRPr="009F38E3">
        <w:rPr>
          <w:rFonts w:ascii="Arial" w:hAnsi="Arial" w:cs="Arial"/>
          <w:sz w:val="24"/>
          <w:szCs w:val="24"/>
        </w:rPr>
        <w:t xml:space="preserve"> However, the discrimination experienced by the formerly privileged must be reasonable</w:t>
      </w:r>
      <w:r w:rsidR="00EC18CE" w:rsidRPr="009F38E3">
        <w:rPr>
          <w:rFonts w:ascii="Arial" w:hAnsi="Arial" w:cs="Arial"/>
          <w:sz w:val="24"/>
          <w:szCs w:val="24"/>
        </w:rPr>
        <w:t>,</w:t>
      </w:r>
      <w:r w:rsidRPr="009F38E3">
        <w:rPr>
          <w:rFonts w:ascii="Arial" w:hAnsi="Arial" w:cs="Arial"/>
          <w:sz w:val="24"/>
          <w:szCs w:val="24"/>
        </w:rPr>
        <w:t xml:space="preserve"> given South Africa's constitutional objective to create a society that acknowledges and treats every individual as a human being with equal worth and dignity.</w:t>
      </w:r>
      <w:r w:rsidRPr="009F38E3">
        <w:rPr>
          <w:rFonts w:ascii="Arial" w:hAnsi="Arial" w:cs="Arial"/>
          <w:sz w:val="24"/>
          <w:szCs w:val="24"/>
          <w:vertAlign w:val="superscript"/>
        </w:rPr>
        <w:footnoteReference w:id="250"/>
      </w:r>
      <w:r w:rsidRPr="009F38E3">
        <w:rPr>
          <w:rFonts w:ascii="Arial" w:hAnsi="Arial" w:cs="Arial"/>
          <w:sz w:val="24"/>
          <w:szCs w:val="24"/>
        </w:rPr>
        <w:t xml:space="preserve"> The courts are thus responsible for making sure the legislation doesn't amount to an abuse of authority and doesn't place excessive burdens or cause significant and unjustified harm on individuals who are</w:t>
      </w:r>
      <w:r w:rsidR="00EC18CE" w:rsidRPr="009F38E3">
        <w:rPr>
          <w:rFonts w:ascii="Arial" w:hAnsi="Arial" w:cs="Arial"/>
          <w:sz w:val="24"/>
          <w:szCs w:val="24"/>
        </w:rPr>
        <w:t xml:space="preserve"> not</w:t>
      </w:r>
      <w:r w:rsidRPr="009F38E3">
        <w:rPr>
          <w:rFonts w:ascii="Arial" w:hAnsi="Arial" w:cs="Arial"/>
          <w:sz w:val="24"/>
          <w:szCs w:val="24"/>
        </w:rPr>
        <w:t xml:space="preserve"> included. In the next chapter, these prerequisites will be further examined.</w:t>
      </w:r>
    </w:p>
    <w:p w14:paraId="388D3553" w14:textId="4D2A0136" w:rsidR="00DD7122" w:rsidRPr="009F38E3" w:rsidRDefault="00F61E8A" w:rsidP="000710D1">
      <w:pPr>
        <w:pStyle w:val="Heading1"/>
      </w:pPr>
      <w:bookmarkStart w:id="143" w:name="_Toc189739318"/>
      <w:r>
        <w:t>2.9</w:t>
      </w:r>
      <w:r w:rsidR="00DD7122" w:rsidRPr="009F38E3">
        <w:t xml:space="preserve"> Conclusion</w:t>
      </w:r>
      <w:bookmarkEnd w:id="143"/>
    </w:p>
    <w:p w14:paraId="228A34FD" w14:textId="10C76583" w:rsidR="004850F8" w:rsidRPr="004850F8" w:rsidRDefault="004850F8" w:rsidP="004850F8">
      <w:pPr>
        <w:spacing w:line="360" w:lineRule="auto"/>
        <w:jc w:val="both"/>
        <w:rPr>
          <w:rFonts w:ascii="Arial" w:hAnsi="Arial" w:cs="Arial"/>
          <w:sz w:val="24"/>
          <w:szCs w:val="24"/>
          <w:lang w:val="en-ZA"/>
        </w:rPr>
      </w:pPr>
      <w:r w:rsidRPr="004850F8">
        <w:rPr>
          <w:rFonts w:ascii="Arial" w:hAnsi="Arial" w:cs="Arial"/>
          <w:sz w:val="24"/>
          <w:szCs w:val="24"/>
          <w:lang w:val="en-ZA"/>
        </w:rPr>
        <w:t xml:space="preserve">The discussion in Chapter 2 highlights the long-standing gender and racial disparities that have influenced South Africa's labour market. The chapter methodically charts the development of workplace discrimination from colonial-era enslavement to apartheid-era laws, emphasizing how systematic exclusion from economic participation made affirmative action necessary in the years following apartheid. Laws like the </w:t>
      </w:r>
      <w:r w:rsidRPr="004850F8">
        <w:rPr>
          <w:rFonts w:ascii="Arial" w:hAnsi="Arial" w:cs="Arial"/>
          <w:i/>
          <w:iCs/>
          <w:sz w:val="24"/>
          <w:szCs w:val="24"/>
          <w:lang w:val="en-ZA"/>
        </w:rPr>
        <w:t xml:space="preserve">Mines and </w:t>
      </w:r>
      <w:r w:rsidRPr="004850F8">
        <w:rPr>
          <w:rFonts w:ascii="Arial" w:hAnsi="Arial" w:cs="Arial"/>
          <w:i/>
          <w:iCs/>
          <w:sz w:val="24"/>
          <w:szCs w:val="24"/>
          <w:lang w:val="en-ZA"/>
        </w:rPr>
        <w:lastRenderedPageBreak/>
        <w:t>Works Act</w:t>
      </w:r>
      <w:r w:rsidRPr="004850F8">
        <w:rPr>
          <w:rFonts w:ascii="Arial" w:hAnsi="Arial" w:cs="Arial"/>
          <w:sz w:val="24"/>
          <w:szCs w:val="24"/>
          <w:lang w:val="en-ZA"/>
        </w:rPr>
        <w:t xml:space="preserve"> of 1911, the </w:t>
      </w:r>
      <w:r w:rsidRPr="004850F8">
        <w:rPr>
          <w:rFonts w:ascii="Arial" w:hAnsi="Arial" w:cs="Arial"/>
          <w:i/>
          <w:iCs/>
          <w:sz w:val="24"/>
          <w:szCs w:val="24"/>
          <w:lang w:val="en-ZA"/>
        </w:rPr>
        <w:t>Industrial Conciliation Act</w:t>
      </w:r>
      <w:r w:rsidRPr="004850F8">
        <w:rPr>
          <w:rFonts w:ascii="Arial" w:hAnsi="Arial" w:cs="Arial"/>
          <w:sz w:val="24"/>
          <w:szCs w:val="24"/>
          <w:lang w:val="en-ZA"/>
        </w:rPr>
        <w:t xml:space="preserve"> of 1956, and the </w:t>
      </w:r>
      <w:r w:rsidRPr="004850F8">
        <w:rPr>
          <w:rFonts w:ascii="Arial" w:hAnsi="Arial" w:cs="Arial"/>
          <w:i/>
          <w:iCs/>
          <w:sz w:val="24"/>
          <w:szCs w:val="24"/>
          <w:lang w:val="en-ZA"/>
        </w:rPr>
        <w:t>Natives Land Act</w:t>
      </w:r>
      <w:r w:rsidRPr="004850F8">
        <w:rPr>
          <w:rFonts w:ascii="Arial" w:hAnsi="Arial" w:cs="Arial"/>
          <w:sz w:val="24"/>
          <w:szCs w:val="24"/>
          <w:lang w:val="en-ZA"/>
        </w:rPr>
        <w:t xml:space="preserve"> of 1913 established racial job reservation, salary inequities, and Black South Africans' economic enslavement, as the historical overview demonstrates.</w:t>
      </w:r>
      <w:r>
        <w:rPr>
          <w:rFonts w:ascii="Arial" w:hAnsi="Arial" w:cs="Arial"/>
          <w:sz w:val="24"/>
          <w:szCs w:val="24"/>
          <w:lang w:val="en-ZA"/>
        </w:rPr>
        <w:t xml:space="preserve"> </w:t>
      </w:r>
    </w:p>
    <w:p w14:paraId="58DE2824" w14:textId="24B447D1" w:rsidR="00F21940" w:rsidRPr="00F21940" w:rsidRDefault="004850F8" w:rsidP="00F21940">
      <w:pPr>
        <w:spacing w:line="360" w:lineRule="auto"/>
        <w:jc w:val="both"/>
        <w:rPr>
          <w:rFonts w:ascii="Arial" w:hAnsi="Arial" w:cs="Arial"/>
          <w:sz w:val="24"/>
          <w:szCs w:val="24"/>
          <w:lang w:val="en-ZA"/>
        </w:rPr>
      </w:pPr>
      <w:r w:rsidRPr="004850F8">
        <w:rPr>
          <w:rFonts w:ascii="Arial" w:hAnsi="Arial" w:cs="Arial"/>
          <w:sz w:val="24"/>
          <w:szCs w:val="24"/>
          <w:lang w:val="en-ZA"/>
        </w:rPr>
        <w:t>The historical and legal analysis presented demonstrates the strong connection between affirmative action and South Africa's efforts to alter the workplace and achieve substantive equality. For historically oppressed groups, the chapter shows how previous discriminatory laws built structural hurdles that still affect their access to economic opportunities. Recognizing these historical injustices, the post-apartheid constitutional order requires corrective actions to level the playing field.</w:t>
      </w:r>
      <w:r w:rsidRPr="004850F8">
        <w:rPr>
          <w:rFonts w:ascii="Times New Roman" w:eastAsia="Times New Roman" w:hAnsi="Times New Roman" w:cs="Times New Roman"/>
          <w:kern w:val="0"/>
          <w:sz w:val="24"/>
          <w:szCs w:val="24"/>
          <w:lang w:val="en-ZA" w:eastAsia="en-ZA"/>
          <w14:ligatures w14:val="none"/>
        </w:rPr>
        <w:t xml:space="preserve"> </w:t>
      </w:r>
      <w:r w:rsidRPr="004850F8">
        <w:rPr>
          <w:rFonts w:ascii="Arial" w:hAnsi="Arial" w:cs="Arial"/>
          <w:sz w:val="24"/>
          <w:szCs w:val="24"/>
          <w:lang w:val="en-ZA"/>
        </w:rPr>
        <w:t>Understanding the transition from formal to substantive equality is essential to determining whether affirmative action is legitimate. Substantive equality recognizes that historical injustices cannot be reversed without focused effort, in contrast to formal equality, which treats all people equally regardless of prior disadvantage. Therefore, affirmative action is an essential tool to attain equality rather than an exception to it.</w:t>
      </w:r>
      <w:r>
        <w:rPr>
          <w:rFonts w:ascii="Arial" w:hAnsi="Arial" w:cs="Arial"/>
          <w:sz w:val="24"/>
          <w:szCs w:val="24"/>
          <w:lang w:val="en-ZA"/>
        </w:rPr>
        <w:t xml:space="preserve"> </w:t>
      </w:r>
      <w:r w:rsidRPr="004850F8">
        <w:rPr>
          <w:rFonts w:ascii="Arial" w:hAnsi="Arial" w:cs="Arial"/>
          <w:sz w:val="24"/>
          <w:szCs w:val="24"/>
          <w:lang w:val="en-ZA"/>
        </w:rPr>
        <w:t xml:space="preserve">Finally, both historical necessity and legal reason support the legality of affirmative action in South Africa. Although the </w:t>
      </w:r>
      <w:r w:rsidRPr="00F21940">
        <w:rPr>
          <w:rFonts w:ascii="Arial" w:hAnsi="Arial" w:cs="Arial"/>
          <w:i/>
          <w:iCs/>
          <w:sz w:val="24"/>
          <w:szCs w:val="24"/>
          <w:lang w:val="en-ZA"/>
        </w:rPr>
        <w:t xml:space="preserve">Constitution </w:t>
      </w:r>
      <w:r w:rsidRPr="004850F8">
        <w:rPr>
          <w:rFonts w:ascii="Arial" w:hAnsi="Arial" w:cs="Arial"/>
          <w:sz w:val="24"/>
          <w:szCs w:val="24"/>
          <w:lang w:val="en-ZA"/>
        </w:rPr>
        <w:t>gives affirmative action a strong basis, its application needs to be carefully balanced to guarantee that it continues to be a short-term and sensible way to address historical injustices. Employers must create and execute affirmative action policies within the framework of substantive equality, making sure that the policies are fair, proportionate, and in line with the larger objective of workplace reform.</w:t>
      </w:r>
      <w:r w:rsidR="00F21940" w:rsidRPr="00F21940">
        <w:rPr>
          <w:rFonts w:ascii="Arial" w:hAnsi="Arial" w:cs="Arial"/>
          <w:sz w:val="24"/>
          <w:szCs w:val="24"/>
          <w:lang w:val="en-ZA"/>
        </w:rPr>
        <w:t xml:space="preserve"> </w:t>
      </w:r>
    </w:p>
    <w:p w14:paraId="18622C8F" w14:textId="5DB6CA23" w:rsidR="004850F8" w:rsidRPr="004850F8" w:rsidRDefault="004850F8" w:rsidP="004850F8">
      <w:pPr>
        <w:spacing w:line="360" w:lineRule="auto"/>
        <w:jc w:val="both"/>
        <w:rPr>
          <w:rFonts w:ascii="Arial" w:hAnsi="Arial" w:cs="Arial"/>
          <w:sz w:val="24"/>
          <w:szCs w:val="24"/>
          <w:lang w:val="en-ZA"/>
        </w:rPr>
      </w:pPr>
    </w:p>
    <w:p w14:paraId="6A9F2A26" w14:textId="09542393" w:rsidR="004850F8" w:rsidRPr="004850F8" w:rsidRDefault="004850F8" w:rsidP="004850F8">
      <w:pPr>
        <w:spacing w:line="360" w:lineRule="auto"/>
        <w:jc w:val="both"/>
        <w:rPr>
          <w:rFonts w:ascii="Arial" w:hAnsi="Arial" w:cs="Arial"/>
          <w:sz w:val="24"/>
          <w:szCs w:val="24"/>
          <w:lang w:val="en-ZA"/>
        </w:rPr>
      </w:pPr>
    </w:p>
    <w:p w14:paraId="0A420ADD" w14:textId="7720E684" w:rsidR="004850F8" w:rsidRPr="004850F8" w:rsidRDefault="004850F8" w:rsidP="004850F8">
      <w:pPr>
        <w:spacing w:line="360" w:lineRule="auto"/>
        <w:jc w:val="both"/>
        <w:rPr>
          <w:rFonts w:ascii="Arial" w:hAnsi="Arial" w:cs="Arial"/>
          <w:sz w:val="24"/>
          <w:szCs w:val="24"/>
          <w:lang w:val="en-ZA"/>
        </w:rPr>
      </w:pPr>
    </w:p>
    <w:p w14:paraId="05C9F885" w14:textId="2B1F98B1" w:rsidR="004850F8" w:rsidRPr="004850F8" w:rsidRDefault="004850F8" w:rsidP="004850F8">
      <w:pPr>
        <w:spacing w:line="360" w:lineRule="auto"/>
        <w:jc w:val="both"/>
        <w:rPr>
          <w:rFonts w:ascii="Arial" w:hAnsi="Arial" w:cs="Arial"/>
          <w:sz w:val="24"/>
          <w:szCs w:val="24"/>
          <w:lang w:val="en-ZA"/>
        </w:rPr>
      </w:pPr>
    </w:p>
    <w:p w14:paraId="64AB55CA" w14:textId="304FB12D" w:rsidR="00DD7122" w:rsidRPr="009F38E3" w:rsidRDefault="00DD7122" w:rsidP="00DD7122">
      <w:pPr>
        <w:spacing w:line="360" w:lineRule="auto"/>
        <w:jc w:val="both"/>
        <w:rPr>
          <w:rFonts w:ascii="Arial" w:hAnsi="Arial" w:cs="Arial"/>
          <w:sz w:val="24"/>
          <w:szCs w:val="24"/>
        </w:rPr>
      </w:pPr>
    </w:p>
    <w:p w14:paraId="4AB27DC9" w14:textId="77777777" w:rsidR="00BB7375" w:rsidRPr="009F38E3" w:rsidRDefault="00BB7375">
      <w:pPr>
        <w:rPr>
          <w:rFonts w:ascii="Arial" w:hAnsi="Arial" w:cs="Arial"/>
          <w:sz w:val="24"/>
          <w:szCs w:val="24"/>
        </w:rPr>
      </w:pPr>
      <w:r w:rsidRPr="009F38E3">
        <w:rPr>
          <w:rFonts w:ascii="Arial" w:hAnsi="Arial" w:cs="Arial"/>
          <w:sz w:val="24"/>
          <w:szCs w:val="24"/>
        </w:rPr>
        <w:br w:type="page"/>
      </w:r>
    </w:p>
    <w:p w14:paraId="750C90CF" w14:textId="4327A7A3" w:rsidR="00BB7375" w:rsidRPr="00BB7375" w:rsidRDefault="00BB7375" w:rsidP="000710D1">
      <w:pPr>
        <w:pStyle w:val="Heading1"/>
        <w:jc w:val="center"/>
        <w:rPr>
          <w:rFonts w:eastAsia="Calibri"/>
          <w:sz w:val="28"/>
          <w:szCs w:val="28"/>
        </w:rPr>
      </w:pPr>
      <w:bookmarkStart w:id="144" w:name="_Toc189739319"/>
      <w:r w:rsidRPr="000710D1">
        <w:rPr>
          <w:sz w:val="28"/>
          <w:szCs w:val="28"/>
        </w:rPr>
        <w:lastRenderedPageBreak/>
        <w:t xml:space="preserve">CHAPTER </w:t>
      </w:r>
      <w:r w:rsidR="002C13EB">
        <w:rPr>
          <w:sz w:val="28"/>
          <w:szCs w:val="28"/>
        </w:rPr>
        <w:t>3</w:t>
      </w:r>
      <w:r w:rsidRPr="000710D1">
        <w:rPr>
          <w:sz w:val="28"/>
          <w:szCs w:val="28"/>
        </w:rPr>
        <w:br/>
      </w:r>
      <w:r w:rsidR="00570552">
        <w:rPr>
          <w:sz w:val="28"/>
          <w:szCs w:val="28"/>
        </w:rPr>
        <w:t>LEGAL REQUIREMENTS FOR THE IMPLEMENTATION AND NON-IMPLEMENTATION OF AFFIRMATIVE ACTION: ENSURING LAWFUL COMPLIANCE BY EMPLOYERS</w:t>
      </w:r>
      <w:bookmarkEnd w:id="144"/>
      <w:r w:rsidR="00570552" w:rsidRPr="000710D1">
        <w:rPr>
          <w:sz w:val="28"/>
          <w:szCs w:val="28"/>
        </w:rPr>
        <w:br/>
      </w:r>
    </w:p>
    <w:p w14:paraId="7E1C4643" w14:textId="256FD9D9" w:rsidR="00BB7375" w:rsidRPr="00BB7375" w:rsidRDefault="002C13EB" w:rsidP="000710D1">
      <w:pPr>
        <w:pStyle w:val="Heading1"/>
      </w:pPr>
      <w:bookmarkStart w:id="145" w:name="_Toc189739320"/>
      <w:r>
        <w:t>3</w:t>
      </w:r>
      <w:r w:rsidR="00BB7375" w:rsidRPr="00BB7375">
        <w:t>.1 Introduction</w:t>
      </w:r>
      <w:bookmarkEnd w:id="145"/>
    </w:p>
    <w:p w14:paraId="1DC07C4A" w14:textId="37265656" w:rsidR="00BB7375" w:rsidRPr="00C57747" w:rsidRDefault="00C57747" w:rsidP="00BB7375">
      <w:pPr>
        <w:spacing w:line="360" w:lineRule="auto"/>
        <w:jc w:val="both"/>
        <w:rPr>
          <w:rFonts w:ascii="Arial" w:hAnsi="Arial" w:cs="Arial"/>
          <w:sz w:val="24"/>
          <w:szCs w:val="24"/>
          <w:lang w:val="en-ZA"/>
        </w:rPr>
      </w:pPr>
      <w:r w:rsidRPr="00C57747">
        <w:rPr>
          <w:rFonts w:ascii="Arial" w:hAnsi="Arial" w:cs="Arial"/>
          <w:sz w:val="24"/>
          <w:szCs w:val="24"/>
          <w:lang w:val="en-ZA"/>
        </w:rPr>
        <w:t>South Africa's affirmative action policy is subject to legal requirements that guarantee equity, proportionality, and adherence to legislative and constitutional objectives. Employers need to carefully consider these regulations since noncompliance could have serious legal and financial repercussions. Furthermore, employers may be held legally liable for improper implementation, which includes favo</w:t>
      </w:r>
      <w:r>
        <w:rPr>
          <w:rFonts w:ascii="Arial" w:hAnsi="Arial" w:cs="Arial"/>
          <w:sz w:val="24"/>
          <w:szCs w:val="24"/>
          <w:lang w:val="en-ZA"/>
        </w:rPr>
        <w:t>u</w:t>
      </w:r>
      <w:r w:rsidRPr="00C57747">
        <w:rPr>
          <w:rFonts w:ascii="Arial" w:hAnsi="Arial" w:cs="Arial"/>
          <w:sz w:val="24"/>
          <w:szCs w:val="24"/>
          <w:lang w:val="en-ZA"/>
        </w:rPr>
        <w:t xml:space="preserve">ring non-members of a designated group, hiring unfit applicants, or maintaining affirmative action after equal representation has been attained. </w:t>
      </w:r>
    </w:p>
    <w:p w14:paraId="7B6A5F69" w14:textId="03A23223" w:rsidR="00BB7375" w:rsidRPr="00BB7375" w:rsidRDefault="00C57747" w:rsidP="00BB7375">
      <w:pPr>
        <w:spacing w:line="360" w:lineRule="auto"/>
        <w:jc w:val="both"/>
        <w:rPr>
          <w:rFonts w:ascii="Arial" w:hAnsi="Arial" w:cs="Arial"/>
          <w:sz w:val="24"/>
          <w:szCs w:val="24"/>
        </w:rPr>
      </w:pPr>
      <w:r>
        <w:rPr>
          <w:rFonts w:ascii="Arial" w:hAnsi="Arial" w:cs="Arial"/>
          <w:sz w:val="24"/>
          <w:szCs w:val="24"/>
        </w:rPr>
        <w:t xml:space="preserve">Therefore, in </w:t>
      </w:r>
      <w:r w:rsidR="00BB7375" w:rsidRPr="00BB7375">
        <w:rPr>
          <w:rFonts w:ascii="Arial" w:hAnsi="Arial" w:cs="Arial"/>
          <w:sz w:val="24"/>
          <w:szCs w:val="24"/>
        </w:rPr>
        <w:t xml:space="preserve">assessing whether affirmative action promotes substantive equality, the courts have placed more emphasis on rationality than fairness or proportionality as the main criterion for judging whether such policies are constitutional. Affirmative action policies must be logically linked to the justifiable goals of addressing disadvantage and advancing equality, as the Constitutional Court made clear in the seminal case of </w:t>
      </w:r>
      <w:r w:rsidR="00BB7375" w:rsidRPr="00BB7375">
        <w:rPr>
          <w:rFonts w:ascii="Arial" w:hAnsi="Arial" w:cs="Arial"/>
          <w:i/>
          <w:iCs/>
          <w:sz w:val="24"/>
          <w:szCs w:val="24"/>
        </w:rPr>
        <w:t>Minister of Finance v Van Heerden</w:t>
      </w:r>
      <w:r w:rsidR="00BB7375" w:rsidRPr="00BB7375">
        <w:rPr>
          <w:rFonts w:ascii="Arial" w:hAnsi="Arial" w:cs="Arial"/>
          <w:sz w:val="24"/>
          <w:szCs w:val="24"/>
        </w:rPr>
        <w:t>.</w:t>
      </w:r>
      <w:r w:rsidR="00BB7375" w:rsidRPr="00BB7375">
        <w:rPr>
          <w:rFonts w:ascii="Arial" w:hAnsi="Arial" w:cs="Arial"/>
          <w:sz w:val="24"/>
          <w:szCs w:val="24"/>
          <w:vertAlign w:val="superscript"/>
        </w:rPr>
        <w:footnoteReference w:id="251"/>
      </w:r>
      <w:r w:rsidR="00BB7375" w:rsidRPr="00BB7375">
        <w:rPr>
          <w:rFonts w:ascii="Arial" w:hAnsi="Arial" w:cs="Arial"/>
          <w:sz w:val="24"/>
          <w:szCs w:val="24"/>
        </w:rPr>
        <w:t xml:space="preserve"> This test of rationality guarantees that the policies are in accordance with the </w:t>
      </w:r>
      <w:r w:rsidR="00BB7375" w:rsidRPr="00BB7375">
        <w:rPr>
          <w:rFonts w:ascii="Arial" w:hAnsi="Arial" w:cs="Arial"/>
          <w:i/>
          <w:iCs/>
          <w:sz w:val="24"/>
          <w:szCs w:val="24"/>
        </w:rPr>
        <w:t>Constitution</w:t>
      </w:r>
      <w:r w:rsidR="00BB7375" w:rsidRPr="00BB7375">
        <w:rPr>
          <w:rFonts w:ascii="Arial" w:hAnsi="Arial" w:cs="Arial"/>
          <w:sz w:val="24"/>
          <w:szCs w:val="24"/>
        </w:rPr>
        <w:t xml:space="preserve"> without enforcing more stringent requirements for proportionality or justice. The requirement for affirmative action measures to be context-specific, reasonable in their scope and duration, and focused on accomplishing a goal that is constitutionally justified has also been emphasized repeatedly by the courts.</w:t>
      </w:r>
    </w:p>
    <w:p w14:paraId="088D05E9" w14:textId="7D26649F" w:rsidR="00BB7375" w:rsidRPr="00C57747" w:rsidRDefault="00BB7375" w:rsidP="000710D1">
      <w:pPr>
        <w:spacing w:line="360" w:lineRule="auto"/>
        <w:jc w:val="both"/>
        <w:rPr>
          <w:rFonts w:ascii="Arial" w:hAnsi="Arial" w:cs="Arial"/>
          <w:sz w:val="24"/>
          <w:szCs w:val="24"/>
          <w:lang w:val="en-ZA"/>
        </w:rPr>
      </w:pPr>
      <w:r w:rsidRPr="00BB7375">
        <w:rPr>
          <w:rFonts w:ascii="Arial" w:hAnsi="Arial" w:cs="Arial"/>
          <w:sz w:val="24"/>
          <w:szCs w:val="24"/>
        </w:rPr>
        <w:t xml:space="preserve">The transformative objectives of the </w:t>
      </w:r>
      <w:r w:rsidRPr="00BB7375">
        <w:rPr>
          <w:rFonts w:ascii="Arial" w:hAnsi="Arial" w:cs="Arial"/>
          <w:i/>
          <w:iCs/>
          <w:sz w:val="24"/>
          <w:szCs w:val="24"/>
        </w:rPr>
        <w:t>Constitution</w:t>
      </w:r>
      <w:r w:rsidRPr="00BB7375">
        <w:rPr>
          <w:rFonts w:ascii="Arial" w:hAnsi="Arial" w:cs="Arial"/>
          <w:sz w:val="24"/>
          <w:szCs w:val="24"/>
        </w:rPr>
        <w:t xml:space="preserve"> render affirmative action an obligatory requirement as opposed to a mere discretionary legislative instrument. Its realization, however, still requires finding an acceptable compromise between its stated objective of correcting historical injustices and the principle of fairness to ensure that the rights of others are not unjustly infringed. As such, compliance with the </w:t>
      </w:r>
      <w:r w:rsidRPr="00BB7375">
        <w:rPr>
          <w:rFonts w:ascii="Arial" w:hAnsi="Arial" w:cs="Arial"/>
          <w:sz w:val="24"/>
          <w:szCs w:val="24"/>
        </w:rPr>
        <w:lastRenderedPageBreak/>
        <w:t xml:space="preserve">legal criteria that support affirmative action policies under South African law is necessary for this purpose. </w:t>
      </w:r>
      <w:proofErr w:type="gramStart"/>
      <w:r w:rsidRPr="00BB7375">
        <w:rPr>
          <w:rFonts w:ascii="Arial" w:hAnsi="Arial" w:cs="Arial"/>
          <w:sz w:val="24"/>
          <w:szCs w:val="24"/>
        </w:rPr>
        <w:t>In light of</w:t>
      </w:r>
      <w:proofErr w:type="gramEnd"/>
      <w:r w:rsidRPr="00BB7375">
        <w:rPr>
          <w:rFonts w:ascii="Arial" w:hAnsi="Arial" w:cs="Arial"/>
          <w:sz w:val="24"/>
          <w:szCs w:val="24"/>
        </w:rPr>
        <w:t xml:space="preserve"> this, </w:t>
      </w:r>
      <w:r w:rsidR="00C57747">
        <w:rPr>
          <w:rFonts w:ascii="Arial" w:hAnsi="Arial" w:cs="Arial"/>
          <w:sz w:val="24"/>
          <w:szCs w:val="24"/>
          <w:lang w:val="en-ZA"/>
        </w:rPr>
        <w:t>i</w:t>
      </w:r>
      <w:r w:rsidR="00C57747" w:rsidRPr="00C57747">
        <w:rPr>
          <w:rFonts w:ascii="Arial" w:hAnsi="Arial" w:cs="Arial"/>
          <w:sz w:val="24"/>
          <w:szCs w:val="24"/>
          <w:lang w:val="en-ZA"/>
        </w:rPr>
        <w:t xml:space="preserve">n order to guarantee adherence to constitutional principles and legislative laws, this chapter critically </w:t>
      </w:r>
      <w:r w:rsidR="00C57747" w:rsidRPr="00C57747">
        <w:rPr>
          <w:rFonts w:ascii="Arial" w:hAnsi="Arial" w:cs="Arial"/>
          <w:sz w:val="24"/>
          <w:szCs w:val="24"/>
          <w:lang w:val="en-ZA"/>
        </w:rPr>
        <w:t>analyses</w:t>
      </w:r>
      <w:r w:rsidR="00C57747" w:rsidRPr="00C57747">
        <w:rPr>
          <w:rFonts w:ascii="Arial" w:hAnsi="Arial" w:cs="Arial"/>
          <w:sz w:val="24"/>
          <w:szCs w:val="24"/>
          <w:lang w:val="en-ZA"/>
        </w:rPr>
        <w:t xml:space="preserve"> the legal framework regulating the implementation and non-application of affirmative action, highlighting the essential conditions that employers must </w:t>
      </w:r>
      <w:r w:rsidR="00C57747" w:rsidRPr="00C57747">
        <w:rPr>
          <w:rFonts w:ascii="Arial" w:hAnsi="Arial" w:cs="Arial"/>
          <w:sz w:val="24"/>
          <w:szCs w:val="24"/>
          <w:lang w:val="en-ZA"/>
        </w:rPr>
        <w:t>fulfil</w:t>
      </w:r>
      <w:r w:rsidR="00C57747" w:rsidRPr="00C57747">
        <w:rPr>
          <w:rFonts w:ascii="Arial" w:hAnsi="Arial" w:cs="Arial"/>
          <w:sz w:val="24"/>
          <w:szCs w:val="24"/>
          <w:lang w:val="en-ZA"/>
        </w:rPr>
        <w:t>.</w:t>
      </w:r>
    </w:p>
    <w:p w14:paraId="25286A40" w14:textId="100D3F2D" w:rsidR="00BB7375" w:rsidRPr="00BB7375" w:rsidRDefault="002C13EB" w:rsidP="000710D1">
      <w:pPr>
        <w:pStyle w:val="Heading1"/>
      </w:pPr>
      <w:bookmarkStart w:id="146" w:name="_Toc189739321"/>
      <w:r>
        <w:t>3</w:t>
      </w:r>
      <w:r w:rsidR="00BB7375" w:rsidRPr="00BB7375">
        <w:t>.2 The general objectives of Affirmative Action</w:t>
      </w:r>
      <w:bookmarkEnd w:id="146"/>
    </w:p>
    <w:p w14:paraId="1A80F258"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Addressing historical injustices and attaining real equality in the workplace are the intended outcomes of affirmative action as a transformative measure. Often understood by concepts such as "black advancement," "equal opportunities," and "preferential treatment," despite the range in terminology, affirmative action remains a proactive approach to addressing the structural disadvantages that historically excluded groups have encountered.</w:t>
      </w:r>
      <w:r w:rsidRPr="00BB7375">
        <w:rPr>
          <w:rFonts w:ascii="Arial" w:hAnsi="Arial" w:cs="Arial"/>
          <w:sz w:val="24"/>
          <w:szCs w:val="24"/>
          <w:vertAlign w:val="superscript"/>
        </w:rPr>
        <w:footnoteReference w:id="252"/>
      </w:r>
      <w:r w:rsidRPr="00BB7375">
        <w:rPr>
          <w:rFonts w:ascii="Arial" w:hAnsi="Arial" w:cs="Arial"/>
          <w:sz w:val="24"/>
          <w:szCs w:val="24"/>
        </w:rPr>
        <w:t xml:space="preserve"> According to section 2(b) of the </w:t>
      </w:r>
      <w:r w:rsidRPr="00BB7375">
        <w:rPr>
          <w:rFonts w:ascii="Arial" w:hAnsi="Arial" w:cs="Arial"/>
          <w:i/>
          <w:iCs/>
          <w:sz w:val="24"/>
          <w:szCs w:val="24"/>
        </w:rPr>
        <w:t>EEA</w:t>
      </w:r>
      <w:r w:rsidRPr="00BB7375">
        <w:rPr>
          <w:rFonts w:ascii="Arial" w:hAnsi="Arial" w:cs="Arial"/>
          <w:sz w:val="24"/>
          <w:szCs w:val="24"/>
        </w:rPr>
        <w:t>, the main goal of affirmative action is to undertake specific measures that address the disadvantages that specified groups face in the workplace. The measures taken in pursuit of affirmative action are aimed at guaranteeing equality and equal participation in job opportunities across every level of employment and category.</w:t>
      </w:r>
      <w:r w:rsidRPr="00BB7375">
        <w:rPr>
          <w:rFonts w:ascii="Arial" w:hAnsi="Arial" w:cs="Arial"/>
          <w:sz w:val="24"/>
          <w:szCs w:val="24"/>
          <w:vertAlign w:val="superscript"/>
        </w:rPr>
        <w:footnoteReference w:id="253"/>
      </w:r>
      <w:r w:rsidRPr="00BB7375">
        <w:rPr>
          <w:rFonts w:ascii="Arial" w:hAnsi="Arial" w:cs="Arial"/>
          <w:sz w:val="24"/>
          <w:szCs w:val="24"/>
        </w:rPr>
        <w:t xml:space="preserve"> According to Mkhwanazi, affirmative action is an intentional and durable temporary measure intended to improve the opportunities and competencies of marginalized groups with the purpose of equipping them to favourably compete with those who benefitted from the apartheid regime.</w:t>
      </w:r>
      <w:r w:rsidRPr="00BB7375">
        <w:rPr>
          <w:rFonts w:ascii="Arial" w:hAnsi="Arial" w:cs="Arial"/>
          <w:sz w:val="24"/>
          <w:szCs w:val="24"/>
          <w:vertAlign w:val="superscript"/>
        </w:rPr>
        <w:footnoteReference w:id="254"/>
      </w:r>
      <w:r w:rsidRPr="00BB7375">
        <w:rPr>
          <w:rFonts w:ascii="Arial" w:hAnsi="Arial" w:cs="Arial"/>
          <w:sz w:val="24"/>
          <w:szCs w:val="24"/>
        </w:rPr>
        <w:t xml:space="preserve"> </w:t>
      </w:r>
    </w:p>
    <w:p w14:paraId="5FDDCC5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Therefore, affirmative action advances South Africa's broader constitutional objectives of promoting equality, justice, and social advancement by prioritizing the elimination of inequalities and equitable attainment of opportunities. It is, however, noteworthy to reiterate that the concept of affirmative action is not limited to a single policy or technique; rather, it includes a range of methods specifically designed to carry it out.</w:t>
      </w:r>
      <w:r w:rsidRPr="00BB7375">
        <w:rPr>
          <w:rFonts w:ascii="Arial" w:hAnsi="Arial" w:cs="Arial"/>
          <w:sz w:val="24"/>
          <w:szCs w:val="24"/>
          <w:vertAlign w:val="superscript"/>
        </w:rPr>
        <w:footnoteReference w:id="255"/>
      </w:r>
      <w:r w:rsidRPr="00BB7375">
        <w:rPr>
          <w:rFonts w:ascii="Arial" w:hAnsi="Arial" w:cs="Arial"/>
          <w:sz w:val="24"/>
          <w:szCs w:val="24"/>
        </w:rPr>
        <w:t xml:space="preserve"> Subsequently, affirmative action is frequently characterized as a temporary or transitional solution intended to help achieve equality in the workplace more readily while crucially upholding workplace standards without placing unnecessary constraints on the opportunities accessible to current, qualified employees.</w:t>
      </w:r>
    </w:p>
    <w:p w14:paraId="6795D105" w14:textId="512BC5CD"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 xml:space="preserve">By establishing a workforce that reflects South Africa's diversified populace, affirmative action policies under the </w:t>
      </w:r>
      <w:r w:rsidRPr="00BB7375">
        <w:rPr>
          <w:rFonts w:ascii="Arial" w:hAnsi="Arial" w:cs="Arial"/>
          <w:i/>
          <w:iCs/>
          <w:sz w:val="24"/>
          <w:szCs w:val="24"/>
        </w:rPr>
        <w:t>EEA</w:t>
      </w:r>
      <w:r w:rsidRPr="00BB7375">
        <w:rPr>
          <w:rFonts w:ascii="Arial" w:hAnsi="Arial" w:cs="Arial"/>
          <w:sz w:val="24"/>
          <w:szCs w:val="24"/>
        </w:rPr>
        <w:t xml:space="preserve"> intend to promote equal representation and participation. According to section 15 (1) of the </w:t>
      </w:r>
      <w:r w:rsidRPr="00BB7375">
        <w:rPr>
          <w:rFonts w:ascii="Arial" w:hAnsi="Arial" w:cs="Arial"/>
          <w:i/>
          <w:iCs/>
          <w:sz w:val="24"/>
          <w:szCs w:val="24"/>
        </w:rPr>
        <w:t>EEA</w:t>
      </w:r>
      <w:r w:rsidRPr="00BB7375">
        <w:rPr>
          <w:rFonts w:ascii="Arial" w:hAnsi="Arial" w:cs="Arial"/>
          <w:sz w:val="24"/>
          <w:szCs w:val="24"/>
        </w:rPr>
        <w:t>, affirmative action policies are intended to guarantee that workers from designated groups who meet the necessary qualifications have equal employment opportunities and have adequate representation in all occupational categories and levels within a designated employer's workforce. These initiatives thus consist of skill development, selective recruiting, and an equal distribution of employment opportunities. To attain workplace equality, designated employers are required to execute specified affirmative action procedures as outlined in section 15(2). These measures align with line with the general objectives of affirmative action, especially the advancement of substantive equality and the correction of historic violations. By virtue of these provisions, section 15(2) guarantees that designated employers take proactive measures to remove obstacles to employment, encourage diversity, provide reasonable accommodation to designated groups, and promote fair representation and advancement in the workplace.</w:t>
      </w:r>
    </w:p>
    <w:p w14:paraId="79809BC8" w14:textId="37DA8997" w:rsidR="00BB7375" w:rsidRPr="00BB7375" w:rsidRDefault="002C13EB" w:rsidP="000710D1">
      <w:pPr>
        <w:pStyle w:val="Heading1"/>
      </w:pPr>
      <w:bookmarkStart w:id="147" w:name="_Toc189739322"/>
      <w:r>
        <w:t>3</w:t>
      </w:r>
      <w:r w:rsidR="00BB7375" w:rsidRPr="00BB7375">
        <w:t>.3 Assessing inequality: The role of designated employers</w:t>
      </w:r>
      <w:bookmarkEnd w:id="147"/>
      <w:r w:rsidR="00BB7375" w:rsidRPr="00BB7375">
        <w:t xml:space="preserve"> </w:t>
      </w:r>
    </w:p>
    <w:p w14:paraId="55E5483B" w14:textId="1EA387B5" w:rsidR="00BB7375" w:rsidRPr="00BB7375" w:rsidRDefault="0009533A" w:rsidP="00BB7375">
      <w:pPr>
        <w:spacing w:line="360" w:lineRule="auto"/>
        <w:jc w:val="both"/>
        <w:rPr>
          <w:rFonts w:ascii="Arial" w:hAnsi="Arial" w:cs="Arial"/>
          <w:sz w:val="24"/>
          <w:szCs w:val="24"/>
        </w:rPr>
      </w:pPr>
      <w:r>
        <w:rPr>
          <w:rFonts w:ascii="Arial" w:hAnsi="Arial" w:cs="Arial"/>
          <w:sz w:val="24"/>
          <w:szCs w:val="24"/>
        </w:rPr>
        <w:t xml:space="preserve">The </w:t>
      </w:r>
      <w:r w:rsidR="00BB7375" w:rsidRPr="00BB7375">
        <w:rPr>
          <w:rFonts w:ascii="Arial" w:hAnsi="Arial" w:cs="Arial"/>
          <w:i/>
          <w:iCs/>
          <w:sz w:val="24"/>
          <w:szCs w:val="24"/>
        </w:rPr>
        <w:t>EEA</w:t>
      </w:r>
      <w:r w:rsidR="00BB7375" w:rsidRPr="00BB7375">
        <w:rPr>
          <w:rFonts w:ascii="Arial" w:hAnsi="Arial" w:cs="Arial"/>
          <w:sz w:val="24"/>
          <w:szCs w:val="24"/>
        </w:rPr>
        <w:t xml:space="preserve"> places a legal obligation on designated employers to actively uncover employment inequalities and incorporate strategies that are designed to address inequality</w:t>
      </w:r>
      <w:r>
        <w:rPr>
          <w:rFonts w:ascii="Arial" w:hAnsi="Arial" w:cs="Arial"/>
          <w:sz w:val="24"/>
          <w:szCs w:val="24"/>
        </w:rPr>
        <w:t>,</w:t>
      </w:r>
      <w:r w:rsidR="00BB7375" w:rsidRPr="00BB7375">
        <w:rPr>
          <w:rFonts w:ascii="Arial" w:hAnsi="Arial" w:cs="Arial"/>
          <w:sz w:val="24"/>
          <w:szCs w:val="24"/>
        </w:rPr>
        <w:t xml:space="preserve"> identified barriers and under-representation. In order to achieve employment equity and implement affirmative action measures for members of designated groups under the Act, a designated employer is required by section 13 of the </w:t>
      </w:r>
      <w:r w:rsidR="00BB7375" w:rsidRPr="00BB7375">
        <w:rPr>
          <w:rFonts w:ascii="Arial" w:hAnsi="Arial" w:cs="Arial"/>
          <w:i/>
          <w:iCs/>
          <w:sz w:val="24"/>
          <w:szCs w:val="24"/>
        </w:rPr>
        <w:t>EEA</w:t>
      </w:r>
      <w:r w:rsidR="00BB7375" w:rsidRPr="00BB7375">
        <w:rPr>
          <w:rFonts w:ascii="Arial" w:hAnsi="Arial" w:cs="Arial"/>
          <w:sz w:val="24"/>
          <w:szCs w:val="24"/>
        </w:rPr>
        <w:t xml:space="preserve"> to fulfil the following general obligations: (</w:t>
      </w:r>
      <w:proofErr w:type="spellStart"/>
      <w:r w:rsidR="00BB7375" w:rsidRPr="00BB7375">
        <w:rPr>
          <w:rFonts w:ascii="Arial" w:hAnsi="Arial" w:cs="Arial"/>
          <w:sz w:val="24"/>
          <w:szCs w:val="24"/>
        </w:rPr>
        <w:t>i</w:t>
      </w:r>
      <w:proofErr w:type="spellEnd"/>
      <w:r w:rsidR="00BB7375" w:rsidRPr="00BB7375">
        <w:rPr>
          <w:rFonts w:ascii="Arial" w:hAnsi="Arial" w:cs="Arial"/>
          <w:sz w:val="24"/>
          <w:szCs w:val="24"/>
        </w:rPr>
        <w:t xml:space="preserve">) consult with its employees as required by section 16; (ii) conduct an analysis as required by section 19; (iii) prepare an employment equity plan as required by section 20; and (iv) report to the Director-General on progress made in implementing its employment equity plan as required by section 21. Each of these responsibilities has a distinct and important role to play in making sure that affirmative action policies are not only carried out but are also in line with the values of equal treatment, fairness, and participation. </w:t>
      </w:r>
    </w:p>
    <w:p w14:paraId="5810F3F2" w14:textId="244BBC8E" w:rsidR="00BB7375" w:rsidRPr="00BB7375" w:rsidRDefault="002C13EB" w:rsidP="000710D1">
      <w:pPr>
        <w:pStyle w:val="Heading2"/>
        <w:ind w:left="360"/>
      </w:pPr>
      <w:bookmarkStart w:id="148" w:name="_Toc189739323"/>
      <w:r>
        <w:t>3</w:t>
      </w:r>
      <w:r w:rsidR="00BB7375" w:rsidRPr="00BB7375">
        <w:t>.3.1 Consultation with employees</w:t>
      </w:r>
      <w:bookmarkEnd w:id="148"/>
    </w:p>
    <w:p w14:paraId="1D6B7610" w14:textId="77777777" w:rsidR="00BB7375" w:rsidRPr="00BB7375" w:rsidRDefault="00BB7375" w:rsidP="00BB7375">
      <w:pPr>
        <w:spacing w:line="360" w:lineRule="auto"/>
        <w:jc w:val="both"/>
        <w:rPr>
          <w:rFonts w:ascii="Arial" w:hAnsi="Arial" w:cs="Arial"/>
          <w:sz w:val="24"/>
          <w:szCs w:val="24"/>
        </w:rPr>
      </w:pPr>
      <w:proofErr w:type="gramStart"/>
      <w:r w:rsidRPr="00BB7375">
        <w:rPr>
          <w:rFonts w:ascii="Arial" w:hAnsi="Arial" w:cs="Arial"/>
          <w:sz w:val="24"/>
          <w:szCs w:val="24"/>
        </w:rPr>
        <w:t>In order to</w:t>
      </w:r>
      <w:proofErr w:type="gramEnd"/>
      <w:r w:rsidRPr="00BB7375">
        <w:rPr>
          <w:rFonts w:ascii="Arial" w:hAnsi="Arial" w:cs="Arial"/>
          <w:sz w:val="24"/>
          <w:szCs w:val="24"/>
        </w:rPr>
        <w:t xml:space="preserve"> confront problems associated with employment equity, section 16 mandates that designated employers have valuable consultations with relevant parties regarding matters listed in section 17, of which employers must take appropriate actions to </w:t>
      </w:r>
      <w:r w:rsidRPr="00BB7375">
        <w:rPr>
          <w:rFonts w:ascii="Arial" w:hAnsi="Arial" w:cs="Arial"/>
          <w:sz w:val="24"/>
          <w:szCs w:val="24"/>
        </w:rPr>
        <w:lastRenderedPageBreak/>
        <w:t xml:space="preserve">discuss and reach consensus. A representative trade union, if one exists, as well as employees or representatives they elect, </w:t>
      </w:r>
      <w:proofErr w:type="gramStart"/>
      <w:r w:rsidRPr="00BB7375">
        <w:rPr>
          <w:rFonts w:ascii="Arial" w:hAnsi="Arial" w:cs="Arial"/>
          <w:sz w:val="24"/>
          <w:szCs w:val="24"/>
        </w:rPr>
        <w:t>have to</w:t>
      </w:r>
      <w:proofErr w:type="gramEnd"/>
      <w:r w:rsidRPr="00BB7375">
        <w:rPr>
          <w:rFonts w:ascii="Arial" w:hAnsi="Arial" w:cs="Arial"/>
          <w:sz w:val="24"/>
          <w:szCs w:val="24"/>
        </w:rPr>
        <w:t xml:space="preserve"> be engaged throughout these discussions. </w:t>
      </w:r>
      <w:proofErr w:type="gramStart"/>
      <w:r w:rsidRPr="00BB7375">
        <w:rPr>
          <w:rFonts w:ascii="Arial" w:hAnsi="Arial" w:cs="Arial"/>
          <w:sz w:val="24"/>
          <w:szCs w:val="24"/>
        </w:rPr>
        <w:t>In the event that</w:t>
      </w:r>
      <w:proofErr w:type="gramEnd"/>
      <w:r w:rsidRPr="00BB7375">
        <w:rPr>
          <w:rFonts w:ascii="Arial" w:hAnsi="Arial" w:cs="Arial"/>
          <w:sz w:val="24"/>
          <w:szCs w:val="24"/>
        </w:rPr>
        <w:t> there is no trade union, then the employer must speak with workers or their designated representatives directly. The primary topics for consultation are described in section 17, in which section 19 mandates that employers consult on workforce disparity analysis. Section 20 requires that employers prepare and implement an employment equality plan; and section 21 requires that employers submit a report to the Director-General detailing the progress of its implementation.</w:t>
      </w:r>
    </w:p>
    <w:p w14:paraId="3E9D13E9" w14:textId="2D708CE2" w:rsidR="00BB7375" w:rsidRPr="002C13EB" w:rsidRDefault="002C13EB" w:rsidP="00BB7375">
      <w:pPr>
        <w:spacing w:line="360" w:lineRule="auto"/>
        <w:jc w:val="both"/>
        <w:rPr>
          <w:rFonts w:ascii="Arial" w:hAnsi="Arial" w:cs="Arial"/>
          <w:sz w:val="24"/>
          <w:szCs w:val="24"/>
          <w:lang w:val="en-ZA"/>
        </w:rPr>
      </w:pPr>
      <w:r w:rsidRPr="002C13EB">
        <w:rPr>
          <w:rFonts w:ascii="Arial" w:hAnsi="Arial" w:cs="Arial"/>
          <w:sz w:val="24"/>
          <w:szCs w:val="24"/>
          <w:lang w:val="en-ZA"/>
        </w:rPr>
        <w:t xml:space="preserve">Compliance with the consultation requirements set forth in section 16 is a crucial prerequisite for guaranteeing the legal execution of affirmative action measures under the </w:t>
      </w:r>
      <w:r w:rsidRPr="002C13EB">
        <w:rPr>
          <w:rFonts w:ascii="Arial" w:hAnsi="Arial" w:cs="Arial"/>
          <w:i/>
          <w:iCs/>
          <w:sz w:val="24"/>
          <w:szCs w:val="24"/>
          <w:lang w:val="en-ZA"/>
        </w:rPr>
        <w:t>Employment Equity Act</w:t>
      </w:r>
      <w:r>
        <w:rPr>
          <w:rFonts w:ascii="Arial" w:hAnsi="Arial" w:cs="Arial"/>
          <w:sz w:val="24"/>
          <w:szCs w:val="24"/>
          <w:lang w:val="en-ZA"/>
        </w:rPr>
        <w:t xml:space="preserve">. </w:t>
      </w:r>
      <w:r w:rsidR="00BB7375" w:rsidRPr="00BB7375">
        <w:rPr>
          <w:rFonts w:ascii="Arial" w:hAnsi="Arial" w:cs="Arial"/>
          <w:sz w:val="24"/>
          <w:szCs w:val="24"/>
        </w:rPr>
        <w:t xml:space="preserve">A balance of interests among the employer's employees must be reflected in the consultation process. It must specifically contain representation from workers in all occupational levels and categories, as well as from both designated and non-designated groups. When creating employment equity measures, this inclusive approach guarantees that a variety of viewpoints are </w:t>
      </w:r>
      <w:proofErr w:type="gramStart"/>
      <w:r w:rsidR="00BB7375" w:rsidRPr="00BB7375">
        <w:rPr>
          <w:rFonts w:ascii="Arial" w:hAnsi="Arial" w:cs="Arial"/>
          <w:sz w:val="24"/>
          <w:szCs w:val="24"/>
        </w:rPr>
        <w:t>taken into account</w:t>
      </w:r>
      <w:proofErr w:type="gramEnd"/>
      <w:r w:rsidR="00BB7375" w:rsidRPr="00BB7375">
        <w:rPr>
          <w:rFonts w:ascii="Arial" w:hAnsi="Arial" w:cs="Arial"/>
          <w:sz w:val="24"/>
          <w:szCs w:val="24"/>
        </w:rPr>
        <w:t xml:space="preserve">. Section 16 further highlights that section 86 of the </w:t>
      </w:r>
      <w:r w:rsidR="00BB7375" w:rsidRPr="00BB7375">
        <w:rPr>
          <w:rFonts w:ascii="Arial" w:hAnsi="Arial" w:cs="Arial"/>
          <w:i/>
          <w:iCs/>
          <w:sz w:val="24"/>
          <w:szCs w:val="24"/>
        </w:rPr>
        <w:t>Labour Relations Act</w:t>
      </w:r>
      <w:r w:rsidR="00BB7375" w:rsidRPr="00BB7375">
        <w:rPr>
          <w:rFonts w:ascii="Arial" w:hAnsi="Arial" w:cs="Arial"/>
          <w:sz w:val="24"/>
          <w:szCs w:val="24"/>
        </w:rPr>
        <w:t xml:space="preserve">, which requires consultation and consensus with a workplace forum where relevant, does not supersede the consultation responsibilities under the </w:t>
      </w:r>
      <w:r w:rsidR="00BB7375" w:rsidRPr="00BB7375">
        <w:rPr>
          <w:rFonts w:ascii="Arial" w:hAnsi="Arial" w:cs="Arial"/>
          <w:i/>
          <w:iCs/>
          <w:sz w:val="24"/>
          <w:szCs w:val="24"/>
        </w:rPr>
        <w:t>EEA</w:t>
      </w:r>
      <w:r w:rsidR="00BB7375" w:rsidRPr="00BB7375">
        <w:rPr>
          <w:rFonts w:ascii="Arial" w:hAnsi="Arial" w:cs="Arial"/>
          <w:sz w:val="24"/>
          <w:szCs w:val="24"/>
        </w:rPr>
        <w:t xml:space="preserve">. This alignment emphasizes how workplace laws are interrelated in promoting equitable practices. Additionally, section 18 requires employers to provide consulting parties with all pertinent information </w:t>
      </w:r>
      <w:proofErr w:type="gramStart"/>
      <w:r w:rsidR="00BB7375" w:rsidRPr="00BB7375">
        <w:rPr>
          <w:rFonts w:ascii="Arial" w:hAnsi="Arial" w:cs="Arial"/>
          <w:sz w:val="24"/>
          <w:szCs w:val="24"/>
        </w:rPr>
        <w:t>in order to</w:t>
      </w:r>
      <w:proofErr w:type="gramEnd"/>
      <w:r w:rsidR="00BB7375" w:rsidRPr="00BB7375">
        <w:rPr>
          <w:rFonts w:ascii="Arial" w:hAnsi="Arial" w:cs="Arial"/>
          <w:sz w:val="24"/>
          <w:szCs w:val="24"/>
        </w:rPr>
        <w:t xml:space="preserve"> facilitate meaningful involvement. This transparency guarantees that stakeholders may participate effectively and contribute to informed decision-making processes, promoting the values of justice and accountability in achieving workplace equity. </w:t>
      </w:r>
    </w:p>
    <w:p w14:paraId="2B11B227" w14:textId="1521A61E" w:rsidR="00BB7375" w:rsidRPr="002C13EB" w:rsidRDefault="00BB7375" w:rsidP="00BB7375">
      <w:pPr>
        <w:spacing w:line="360" w:lineRule="auto"/>
        <w:jc w:val="both"/>
        <w:rPr>
          <w:rFonts w:ascii="Arial" w:hAnsi="Arial" w:cs="Arial"/>
          <w:sz w:val="24"/>
          <w:szCs w:val="24"/>
          <w:lang w:val="en-ZA"/>
        </w:rPr>
      </w:pPr>
      <w:r w:rsidRPr="00BB7375">
        <w:rPr>
          <w:rFonts w:ascii="Arial" w:hAnsi="Arial" w:cs="Arial"/>
          <w:sz w:val="24"/>
          <w:szCs w:val="24"/>
        </w:rPr>
        <w:t xml:space="preserve">Therefore, the outlined consultation obligations prove crucial for uncovering disparities in a particular workplace. Employers </w:t>
      </w:r>
      <w:proofErr w:type="gramStart"/>
      <w:r w:rsidRPr="00BB7375">
        <w:rPr>
          <w:rFonts w:ascii="Arial" w:hAnsi="Arial" w:cs="Arial"/>
          <w:sz w:val="24"/>
          <w:szCs w:val="24"/>
        </w:rPr>
        <w:t>are able to</w:t>
      </w:r>
      <w:proofErr w:type="gramEnd"/>
      <w:r w:rsidRPr="00BB7375">
        <w:rPr>
          <w:rFonts w:ascii="Arial" w:hAnsi="Arial" w:cs="Arial"/>
          <w:sz w:val="24"/>
          <w:szCs w:val="24"/>
        </w:rPr>
        <w:t xml:space="preserve"> gain a variety of perspectives regarding workplace inequalities that may exist across occupational categories and levels by interacting with representative trade unions, employees, and their designated representatives. </w:t>
      </w:r>
      <w:r w:rsidR="002C13EB" w:rsidRPr="002C13EB">
        <w:rPr>
          <w:rFonts w:ascii="Arial" w:hAnsi="Arial" w:cs="Arial"/>
          <w:sz w:val="24"/>
          <w:szCs w:val="24"/>
          <w:lang w:val="en-ZA"/>
        </w:rPr>
        <w:t xml:space="preserve">As a result, the consultation process acts as a safeguard to guarantee that affirmative action policies are the result of thoughtful, consensus-driven decision-making rather than being imposed arbitrarily. </w:t>
      </w:r>
    </w:p>
    <w:p w14:paraId="60EC5A35" w14:textId="2F002195" w:rsidR="00BB7375" w:rsidRPr="00BB7375" w:rsidRDefault="002C13EB" w:rsidP="000710D1">
      <w:pPr>
        <w:pStyle w:val="Heading2"/>
        <w:ind w:left="360"/>
      </w:pPr>
      <w:bookmarkStart w:id="149" w:name="_Toc189739324"/>
      <w:r>
        <w:lastRenderedPageBreak/>
        <w:t>3</w:t>
      </w:r>
      <w:r w:rsidR="00BB7375" w:rsidRPr="00BB7375">
        <w:t>.3.2 Conducting an analysis</w:t>
      </w:r>
      <w:bookmarkEnd w:id="149"/>
    </w:p>
    <w:p w14:paraId="664D8D80"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Designated employers are required by section 19 of the </w:t>
      </w:r>
      <w:r w:rsidRPr="00BB7375">
        <w:rPr>
          <w:rFonts w:ascii="Arial" w:hAnsi="Arial" w:cs="Arial"/>
          <w:i/>
          <w:iCs/>
          <w:sz w:val="24"/>
          <w:szCs w:val="24"/>
        </w:rPr>
        <w:t>Employment Equity Act</w:t>
      </w:r>
      <w:r w:rsidRPr="00BB7375">
        <w:rPr>
          <w:rFonts w:ascii="Arial" w:hAnsi="Arial" w:cs="Arial"/>
          <w:sz w:val="24"/>
          <w:szCs w:val="24"/>
        </w:rPr>
        <w:t xml:space="preserve"> to conduct a comprehensive and comprehensive evaluation of their employment policies, practices, procedures, and general working environment. This analysis is a fundamental procedure intended to uncover barriers that negatively affect members of specific groups, such as women, people with disabilities, and members of historically underrepresented racial groups. It is not only a procedural phase. According to the </w:t>
      </w:r>
      <w:r w:rsidRPr="00BB7375">
        <w:rPr>
          <w:rFonts w:ascii="Arial" w:hAnsi="Arial" w:cs="Arial"/>
          <w:i/>
          <w:iCs/>
          <w:sz w:val="24"/>
          <w:szCs w:val="24"/>
        </w:rPr>
        <w:t>EEA</w:t>
      </w:r>
      <w:r w:rsidRPr="00BB7375">
        <w:rPr>
          <w:rFonts w:ascii="Arial" w:hAnsi="Arial" w:cs="Arial"/>
          <w:sz w:val="24"/>
          <w:szCs w:val="24"/>
        </w:rPr>
        <w:t>, employers must take an active part in identifying and resolving these barriers since they may be rooted in covert or systemic forms of discrimination.</w:t>
      </w:r>
      <w:r w:rsidRPr="00BB7375">
        <w:rPr>
          <w:rFonts w:ascii="Arial" w:hAnsi="Arial" w:cs="Arial"/>
          <w:sz w:val="24"/>
          <w:szCs w:val="24"/>
          <w:vertAlign w:val="superscript"/>
        </w:rPr>
        <w:footnoteReference w:id="256"/>
      </w:r>
    </w:p>
    <w:p w14:paraId="483A5711"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As required by section 19(2), a thorough workforce profile must also be included in the analysis to ascertain the degree of representation of designated groups in the workplace across all occupational categories and levels. By pointing out differences in the employment of specific groups and pinpointing regions of underrepresentation, this workforce profile acts as a diagnostic tool. For instance, it would indicate the need for focused interventions in hiring, training, or promotion procedures if specified groups were overrepresented in lower occupational levels. This criterion guarantees an information-driven strategy, allowing the employer to match affirmative action policies to the real disparities that exist in their </w:t>
      </w:r>
      <w:proofErr w:type="gramStart"/>
      <w:r w:rsidRPr="00BB7375">
        <w:rPr>
          <w:rFonts w:ascii="Arial" w:hAnsi="Arial" w:cs="Arial"/>
          <w:sz w:val="24"/>
          <w:szCs w:val="24"/>
        </w:rPr>
        <w:t>particular workplace</w:t>
      </w:r>
      <w:proofErr w:type="gramEnd"/>
      <w:r w:rsidRPr="00BB7375">
        <w:rPr>
          <w:rFonts w:ascii="Arial" w:hAnsi="Arial" w:cs="Arial"/>
          <w:sz w:val="24"/>
          <w:szCs w:val="24"/>
        </w:rPr>
        <w:t>.</w:t>
      </w:r>
    </w:p>
    <w:p w14:paraId="012B12C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Under section 19 of the </w:t>
      </w:r>
      <w:r w:rsidRPr="00BB7375">
        <w:rPr>
          <w:rFonts w:ascii="Arial" w:hAnsi="Arial" w:cs="Arial"/>
          <w:i/>
          <w:iCs/>
          <w:sz w:val="24"/>
          <w:szCs w:val="24"/>
        </w:rPr>
        <w:t>EEA</w:t>
      </w:r>
      <w:r w:rsidRPr="00BB7375">
        <w:rPr>
          <w:rFonts w:ascii="Arial" w:hAnsi="Arial" w:cs="Arial"/>
          <w:sz w:val="24"/>
          <w:szCs w:val="24"/>
        </w:rPr>
        <w:t>, conducting an analysis is a continuous duty that guarantees the long-term efficacy of affirmative action policies rather than an isolated occurrence. In order to take into consideration changes in their workforce's composition, employment policies, and the larger socioeconomic environment, employers must frequently examine and update their analyses in order to track whether observed disparities have been resolved and whether affirmative action policies have the desired effect, further research is necessary.</w:t>
      </w:r>
      <w:r w:rsidRPr="00BB7375">
        <w:rPr>
          <w:rFonts w:ascii="Arial" w:hAnsi="Arial" w:cs="Arial"/>
          <w:sz w:val="24"/>
          <w:szCs w:val="24"/>
          <w:vertAlign w:val="superscript"/>
        </w:rPr>
        <w:footnoteReference w:id="257"/>
      </w:r>
      <w:r w:rsidRPr="00BB7375">
        <w:rPr>
          <w:rFonts w:ascii="Arial" w:hAnsi="Arial" w:cs="Arial"/>
          <w:sz w:val="24"/>
          <w:szCs w:val="24"/>
        </w:rPr>
        <w:t xml:space="preserve"> As such, employers are able to assess the success of their actions, identify areas that could need further improvement and evaluate whether additional measures are required to address persistent or new disparities.</w:t>
      </w:r>
    </w:p>
    <w:p w14:paraId="6C7C097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By using this required approach to identify disparities, the </w:t>
      </w:r>
      <w:r w:rsidRPr="00BB7375">
        <w:rPr>
          <w:rFonts w:ascii="Arial" w:hAnsi="Arial" w:cs="Arial"/>
          <w:i/>
          <w:iCs/>
          <w:sz w:val="24"/>
          <w:szCs w:val="24"/>
        </w:rPr>
        <w:t>EEA</w:t>
      </w:r>
      <w:r w:rsidRPr="00BB7375">
        <w:rPr>
          <w:rFonts w:ascii="Arial" w:hAnsi="Arial" w:cs="Arial"/>
          <w:sz w:val="24"/>
          <w:szCs w:val="24"/>
        </w:rPr>
        <w:t xml:space="preserve"> upholds the idea that affirmative action stems from the moral and legal commitment to address past wrongs </w:t>
      </w:r>
      <w:r w:rsidRPr="00BB7375">
        <w:rPr>
          <w:rFonts w:ascii="Arial" w:hAnsi="Arial" w:cs="Arial"/>
          <w:sz w:val="24"/>
          <w:szCs w:val="24"/>
        </w:rPr>
        <w:lastRenderedPageBreak/>
        <w:t xml:space="preserve">and advance substantive equality.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fulfil their legal responsibilities, employers must not only adhere to these regulations but also embrace the chance to promote a more diverse and equitable workplace. It additionally emphasizes the critical role that accountability and transparency play since employers are expected to use the analysis's insights to develop sustainable, effective initiatives that promote transformation. Therefore, finding disparities in these circumstances becomes imperative before putting legal, lawful and effective affirmative action policies into place.</w:t>
      </w:r>
      <w:r w:rsidRPr="00BB7375">
        <w:rPr>
          <w:rFonts w:ascii="Arial" w:hAnsi="Arial" w:cs="Arial"/>
          <w:sz w:val="24"/>
          <w:szCs w:val="24"/>
          <w:vertAlign w:val="superscript"/>
        </w:rPr>
        <w:footnoteReference w:id="258"/>
      </w:r>
      <w:r w:rsidRPr="00BB7375">
        <w:rPr>
          <w:rFonts w:ascii="Arial" w:hAnsi="Arial" w:cs="Arial"/>
          <w:sz w:val="24"/>
          <w:szCs w:val="24"/>
        </w:rPr>
        <w:t xml:space="preserve"> </w:t>
      </w:r>
    </w:p>
    <w:p w14:paraId="6D84551A" w14:textId="49BA5055" w:rsidR="00BB7375" w:rsidRPr="00BB7375" w:rsidRDefault="002C13EB" w:rsidP="000710D1">
      <w:pPr>
        <w:pStyle w:val="Heading2"/>
        <w:ind w:left="360"/>
      </w:pPr>
      <w:bookmarkStart w:id="150" w:name="_Toc189739325"/>
      <w:r>
        <w:t>3</w:t>
      </w:r>
      <w:r w:rsidR="00BB7375" w:rsidRPr="00BB7375">
        <w:t>.3.3 Preparing an employment equity plan</w:t>
      </w:r>
      <w:bookmarkEnd w:id="150"/>
    </w:p>
    <w:p w14:paraId="08C1AC4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Section 20 of the </w:t>
      </w:r>
      <w:r w:rsidRPr="00BB7375">
        <w:rPr>
          <w:rFonts w:ascii="Arial" w:hAnsi="Arial" w:cs="Arial"/>
          <w:i/>
          <w:iCs/>
          <w:sz w:val="24"/>
          <w:szCs w:val="24"/>
        </w:rPr>
        <w:t>Employment Equity Act</w:t>
      </w:r>
      <w:r w:rsidRPr="00BB7375">
        <w:rPr>
          <w:rFonts w:ascii="Arial" w:hAnsi="Arial" w:cs="Arial"/>
          <w:sz w:val="24"/>
          <w:szCs w:val="24"/>
        </w:rPr>
        <w:t xml:space="preserve"> mandates that employers create and implement an employment equity plan (EE Plan) in the event that they discover inequalities in their workforce.</w:t>
      </w:r>
      <w:r w:rsidRPr="00BB7375">
        <w:rPr>
          <w:rFonts w:ascii="Arial" w:hAnsi="Arial" w:cs="Arial"/>
          <w:sz w:val="24"/>
          <w:szCs w:val="24"/>
          <w:vertAlign w:val="superscript"/>
        </w:rPr>
        <w:footnoteReference w:id="259"/>
      </w:r>
      <w:r w:rsidRPr="00BB7375">
        <w:rPr>
          <w:rFonts w:ascii="Arial" w:hAnsi="Arial" w:cs="Arial"/>
          <w:sz w:val="24"/>
          <w:szCs w:val="24"/>
        </w:rPr>
        <w:t xml:space="preserve"> With an emphasis on resolving any discrepancies found in the workplace, this plan must specify specific actions to be taken in order to achieve employment fairness and as such, targets that can be measured and the affirmative action initiatives that are essential for addressing identified gaps should be included in the equity plan. These steps </w:t>
      </w:r>
      <w:proofErr w:type="gramStart"/>
      <w:r w:rsidRPr="00BB7375">
        <w:rPr>
          <w:rFonts w:ascii="Arial" w:hAnsi="Arial" w:cs="Arial"/>
          <w:sz w:val="24"/>
          <w:szCs w:val="24"/>
        </w:rPr>
        <w:t>have to</w:t>
      </w:r>
      <w:proofErr w:type="gramEnd"/>
      <w:r w:rsidRPr="00BB7375">
        <w:rPr>
          <w:rFonts w:ascii="Arial" w:hAnsi="Arial" w:cs="Arial"/>
          <w:sz w:val="24"/>
          <w:szCs w:val="24"/>
        </w:rPr>
        <w:t xml:space="preserve"> be consistent with section 15(2) criteria, which include establishing numerical targets to address the underrepresentation of designated groups in particular occupational categories and levels.</w:t>
      </w:r>
    </w:p>
    <w:p w14:paraId="08FACD9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Furthermore, the employment equity plan should be implemented in a manner that guarantees developments year after year. It must outline the precise numerical goals for the representation of appropriately qualified members of the selected categories and the timeline to accomplish these aims. The strategy must include both numerical targets and non-numerical goals, such as fostering an inclusive workplace, increasing diversity, and putting skills development initiatives into place. A minimum of one year and a maximum of five years should be covered by the plan, along with precise deadlines and methods for reaching these objectives within that time frame.</w:t>
      </w:r>
    </w:p>
    <w:p w14:paraId="18AD599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Lastly, the employer is required to establish processes for tracking and assessing progress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guarantee the efficacy of the EE Plan. This entails evaluating on a regular basis whether the employment equity goals are being fulfilled and adjusting </w:t>
      </w:r>
      <w:r w:rsidRPr="00BB7375">
        <w:rPr>
          <w:rFonts w:ascii="Arial" w:hAnsi="Arial" w:cs="Arial"/>
          <w:sz w:val="24"/>
          <w:szCs w:val="24"/>
        </w:rPr>
        <w:lastRenderedPageBreak/>
        <w:t xml:space="preserve">as needed. Internal processes for resolving disagreements pertaining to its execution should also be included in the plan to guarantee that disagreements are settled effectively and equitably. Senior managers and other assigned personnel must also </w:t>
      </w:r>
      <w:proofErr w:type="gramStart"/>
      <w:r w:rsidRPr="00BB7375">
        <w:rPr>
          <w:rFonts w:ascii="Arial" w:hAnsi="Arial" w:cs="Arial"/>
          <w:sz w:val="24"/>
          <w:szCs w:val="24"/>
        </w:rPr>
        <w:t>be in charge of</w:t>
      </w:r>
      <w:proofErr w:type="gramEnd"/>
      <w:r w:rsidRPr="00BB7375">
        <w:rPr>
          <w:rFonts w:ascii="Arial" w:hAnsi="Arial" w:cs="Arial"/>
          <w:sz w:val="24"/>
          <w:szCs w:val="24"/>
        </w:rPr>
        <w:t xml:space="preserve"> monitoring the plan's execution to guarantee accountability and efficient administration.</w:t>
      </w:r>
      <w:r w:rsidRPr="00BB7375">
        <w:rPr>
          <w:rFonts w:ascii="Times New Roman" w:eastAsia="Times New Roman" w:hAnsi="Times New Roman" w:cs="Times New Roman"/>
          <w:kern w:val="0"/>
          <w:sz w:val="24"/>
          <w:szCs w:val="24"/>
          <w:lang w:eastAsia="en-ZA"/>
          <w14:ligatures w14:val="none"/>
        </w:rPr>
        <w:t xml:space="preserve"> </w:t>
      </w:r>
      <w:r w:rsidRPr="00BB7375">
        <w:rPr>
          <w:rFonts w:ascii="Arial" w:eastAsia="Times New Roman" w:hAnsi="Arial" w:cs="Arial"/>
          <w:kern w:val="0"/>
          <w:sz w:val="24"/>
          <w:szCs w:val="24"/>
          <w:lang w:eastAsia="en-ZA"/>
          <w14:ligatures w14:val="none"/>
        </w:rPr>
        <w:t xml:space="preserve">In accordance with section 23, a designated employer is required to create a new employment equity plan before the current one expires. </w:t>
      </w:r>
      <w:r w:rsidRPr="00BB7375">
        <w:rPr>
          <w:rFonts w:ascii="Arial" w:hAnsi="Arial" w:cs="Arial"/>
          <w:sz w:val="24"/>
          <w:szCs w:val="24"/>
        </w:rPr>
        <w:t>Therefore, the employment equity plan is crucial for promoting equality in the workplace, given that it not only establishes specific goals for the inclusion of targeted groups but also makes sure that there are practicable processes and strategies to reach these goals.</w:t>
      </w:r>
    </w:p>
    <w:p w14:paraId="4D51EF5C" w14:textId="60025329" w:rsidR="00BB7375" w:rsidRPr="00872D2D" w:rsidRDefault="002C13EB" w:rsidP="00872D2D">
      <w:pPr>
        <w:pStyle w:val="Subtitle"/>
        <w:numPr>
          <w:ilvl w:val="0"/>
          <w:numId w:val="0"/>
        </w:numPr>
        <w:ind w:left="792"/>
      </w:pPr>
      <w:bookmarkStart w:id="151" w:name="_Toc189739326"/>
      <w:r>
        <w:t>3</w:t>
      </w:r>
      <w:r w:rsidR="00BB7375" w:rsidRPr="00872D2D">
        <w:t>.3.3.1 Attaining employment equity</w:t>
      </w:r>
      <w:bookmarkEnd w:id="151"/>
    </w:p>
    <w:p w14:paraId="5B58748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In light of South Africa’s extensive history of persistent prejudice, one of the goals of affirmative action is to eradicate the structural inequities that still exist in work environments as well as to enhance employment equity, subsequently acknowledging the significant inequalities that were caused by the apartheid government and other oppressive legislations.</w:t>
      </w:r>
      <w:r w:rsidRPr="00BB7375">
        <w:rPr>
          <w:rFonts w:ascii="Arial" w:hAnsi="Arial" w:cs="Arial"/>
          <w:sz w:val="24"/>
          <w:szCs w:val="24"/>
          <w:vertAlign w:val="superscript"/>
        </w:rPr>
        <w:footnoteReference w:id="260"/>
      </w:r>
      <w:r w:rsidRPr="00BB7375">
        <w:rPr>
          <w:rFonts w:ascii="Arial" w:hAnsi="Arial" w:cs="Arial"/>
          <w:sz w:val="24"/>
          <w:szCs w:val="24"/>
        </w:rPr>
        <w:t xml:space="preserve"> These injustices resulted in racial disparities in wealth distribution, occupational representation and employment opportunities across the country’s employment landscape, which disproportionately impacted certain groups of people. The </w:t>
      </w:r>
      <w:r w:rsidRPr="00BB7375">
        <w:rPr>
          <w:rFonts w:ascii="Arial" w:hAnsi="Arial" w:cs="Arial"/>
          <w:i/>
          <w:iCs/>
          <w:sz w:val="24"/>
          <w:szCs w:val="24"/>
        </w:rPr>
        <w:t>EEA</w:t>
      </w:r>
      <w:r w:rsidRPr="00BB7375">
        <w:rPr>
          <w:rFonts w:ascii="Arial" w:hAnsi="Arial" w:cs="Arial"/>
          <w:sz w:val="24"/>
          <w:szCs w:val="24"/>
        </w:rPr>
        <w:t xml:space="preserve"> recognizes that merely eliminating discriminatory legislation won't address the ingrained disadvantages brought on by decades of institutional exclusion.</w:t>
      </w:r>
      <w:r w:rsidRPr="00BB7375">
        <w:rPr>
          <w:rFonts w:ascii="Arial" w:hAnsi="Arial" w:cs="Arial"/>
          <w:sz w:val="24"/>
          <w:szCs w:val="24"/>
          <w:vertAlign w:val="superscript"/>
        </w:rPr>
        <w:footnoteReference w:id="261"/>
      </w:r>
      <w:r w:rsidRPr="00BB7375">
        <w:rPr>
          <w:rFonts w:ascii="Arial" w:hAnsi="Arial" w:cs="Arial"/>
          <w:sz w:val="24"/>
          <w:szCs w:val="24"/>
        </w:rPr>
        <w:t xml:space="preserve"> For instance, </w:t>
      </w:r>
      <w:proofErr w:type="gramStart"/>
      <w:r w:rsidRPr="00BB7375">
        <w:rPr>
          <w:rFonts w:ascii="Arial" w:hAnsi="Arial" w:cs="Arial"/>
          <w:sz w:val="24"/>
          <w:szCs w:val="24"/>
        </w:rPr>
        <w:t>the majority of</w:t>
      </w:r>
      <w:proofErr w:type="gramEnd"/>
      <w:r w:rsidRPr="00BB7375">
        <w:rPr>
          <w:rFonts w:ascii="Arial" w:hAnsi="Arial" w:cs="Arial"/>
          <w:sz w:val="24"/>
          <w:szCs w:val="24"/>
        </w:rPr>
        <w:t xml:space="preserve"> the population faced obstacles to professional opportunities, education, and training due to decades of racial segregation under apartheid, which led to underrepresentation in the workforce and generational poverty. </w:t>
      </w:r>
    </w:p>
    <w:p w14:paraId="6B7B9CFC" w14:textId="77777777" w:rsidR="00BB7375" w:rsidRPr="00BB7375" w:rsidRDefault="00BB7375" w:rsidP="00BB7375">
      <w:pPr>
        <w:spacing w:line="360" w:lineRule="auto"/>
        <w:jc w:val="both"/>
        <w:rPr>
          <w:rFonts w:ascii="Arial" w:hAnsi="Arial" w:cs="Arial"/>
          <w:sz w:val="24"/>
          <w:szCs w:val="24"/>
        </w:rPr>
      </w:pPr>
      <w:proofErr w:type="gramStart"/>
      <w:r w:rsidRPr="00BB7375">
        <w:rPr>
          <w:rFonts w:ascii="Arial" w:hAnsi="Arial" w:cs="Arial"/>
          <w:sz w:val="24"/>
          <w:szCs w:val="24"/>
        </w:rPr>
        <w:t>In light of</w:t>
      </w:r>
      <w:proofErr w:type="gramEnd"/>
      <w:r w:rsidRPr="00BB7375">
        <w:rPr>
          <w:rFonts w:ascii="Arial" w:hAnsi="Arial" w:cs="Arial"/>
          <w:sz w:val="24"/>
          <w:szCs w:val="24"/>
        </w:rPr>
        <w:t xml:space="preserve"> this historical background, affirmative action advocates that proactive steps are required to guarantee fair employment opportunities, especially for historically underrepresented groups. Therefore, employment equity legislation is a targeted intervention intended to address economic inequality and provide chances for specific populations, rather than just being an inclusive policy. By guaranteeing equitable representation in all occupational categories and employment levels, affirmative action policies put in place under the </w:t>
      </w:r>
      <w:r w:rsidRPr="00BB7375">
        <w:rPr>
          <w:rFonts w:ascii="Arial" w:hAnsi="Arial" w:cs="Arial"/>
          <w:i/>
          <w:iCs/>
          <w:sz w:val="24"/>
          <w:szCs w:val="24"/>
        </w:rPr>
        <w:t xml:space="preserve">EEA </w:t>
      </w:r>
      <w:r w:rsidRPr="00BB7375">
        <w:rPr>
          <w:rFonts w:ascii="Arial" w:hAnsi="Arial" w:cs="Arial"/>
          <w:sz w:val="24"/>
          <w:szCs w:val="24"/>
        </w:rPr>
        <w:t xml:space="preserve">seek to address these inequities. Additionally, </w:t>
      </w:r>
      <w:proofErr w:type="gramStart"/>
      <w:r w:rsidRPr="00BB7375">
        <w:rPr>
          <w:rFonts w:ascii="Arial" w:hAnsi="Arial" w:cs="Arial"/>
          <w:sz w:val="24"/>
          <w:szCs w:val="24"/>
        </w:rPr>
        <w:t xml:space="preserve">in </w:t>
      </w:r>
      <w:r w:rsidRPr="00BB7375">
        <w:rPr>
          <w:rFonts w:ascii="Arial" w:hAnsi="Arial" w:cs="Arial"/>
          <w:sz w:val="24"/>
          <w:szCs w:val="24"/>
        </w:rPr>
        <w:lastRenderedPageBreak/>
        <w:t>order to</w:t>
      </w:r>
      <w:proofErr w:type="gramEnd"/>
      <w:r w:rsidRPr="00BB7375">
        <w:rPr>
          <w:rFonts w:ascii="Arial" w:hAnsi="Arial" w:cs="Arial"/>
          <w:sz w:val="24"/>
          <w:szCs w:val="24"/>
        </w:rPr>
        <w:t xml:space="preserve"> foster a more inclusive and equitable workplace, designated employers are required by the </w:t>
      </w:r>
      <w:r w:rsidRPr="00BB7375">
        <w:rPr>
          <w:rFonts w:ascii="Arial" w:hAnsi="Arial" w:cs="Arial"/>
          <w:i/>
          <w:iCs/>
          <w:sz w:val="24"/>
          <w:szCs w:val="24"/>
        </w:rPr>
        <w:t>EEA</w:t>
      </w:r>
      <w:r w:rsidRPr="00BB7375">
        <w:rPr>
          <w:rFonts w:ascii="Arial" w:hAnsi="Arial" w:cs="Arial"/>
          <w:sz w:val="24"/>
          <w:szCs w:val="24"/>
        </w:rPr>
        <w:t xml:space="preserve"> to use affirmative action policies. These steps include removing obstacles to job opportunities, making reasonable accommodation for certain groups, and assisting members of these groups in advancing and remaining in the workplace through mentorship and training initiatives.</w:t>
      </w:r>
      <w:r w:rsidRPr="00BB7375">
        <w:rPr>
          <w:rFonts w:ascii="Arial" w:hAnsi="Arial" w:cs="Arial"/>
          <w:sz w:val="24"/>
          <w:szCs w:val="24"/>
          <w:vertAlign w:val="superscript"/>
        </w:rPr>
        <w:footnoteReference w:id="262"/>
      </w:r>
      <w:r w:rsidRPr="00BB7375">
        <w:rPr>
          <w:rFonts w:ascii="Arial" w:hAnsi="Arial" w:cs="Arial"/>
          <w:sz w:val="24"/>
          <w:szCs w:val="24"/>
        </w:rPr>
        <w:t xml:space="preserve"> </w:t>
      </w:r>
    </w:p>
    <w:p w14:paraId="00425B00" w14:textId="7C4F9745" w:rsidR="00BB7375" w:rsidRPr="00BB7375" w:rsidRDefault="00E953ED" w:rsidP="00872D2D">
      <w:pPr>
        <w:pStyle w:val="Subtitle"/>
        <w:numPr>
          <w:ilvl w:val="0"/>
          <w:numId w:val="0"/>
        </w:numPr>
        <w:ind w:left="792"/>
      </w:pPr>
      <w:bookmarkStart w:id="152" w:name="_Toc189739327"/>
      <w:r>
        <w:t>3</w:t>
      </w:r>
      <w:r w:rsidR="00BB7375" w:rsidRPr="00BB7375">
        <w:t>.3.3.2 Identifying and eliminating employment barriers</w:t>
      </w:r>
      <w:bookmarkEnd w:id="152"/>
    </w:p>
    <w:p w14:paraId="0CA9AE6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elimination of job impediments that negatively impact members of specified groups is made explicit in section 15(2)(a). These obstacles, which are typically structural in character, are composed of organizational cultures, policies, and practices that have their roots in the legacy of apartheid. The elimination of unfair discrimination, which the </w:t>
      </w:r>
      <w:r w:rsidRPr="00BB7375">
        <w:rPr>
          <w:rFonts w:ascii="Arial" w:hAnsi="Arial" w:cs="Arial"/>
          <w:i/>
          <w:iCs/>
          <w:sz w:val="24"/>
          <w:szCs w:val="24"/>
        </w:rPr>
        <w:t>EEA</w:t>
      </w:r>
      <w:r w:rsidRPr="00BB7375">
        <w:rPr>
          <w:rFonts w:ascii="Arial" w:hAnsi="Arial" w:cs="Arial"/>
          <w:sz w:val="24"/>
          <w:szCs w:val="24"/>
        </w:rPr>
        <w:t xml:space="preserve"> defines extensively as including both direct and indirect forms of prejudice, is essential when attempting to establish a fair and inclusive workplace environment. This provision relies on the fundamental concept of substantive equality. To be able to guarantee that members of specified groups have equal access to work opportunities, it is necessary for business entities to objectively evaluate and rectify activities that sustain inequality. In </w:t>
      </w:r>
      <w:r w:rsidRPr="00BB7375">
        <w:rPr>
          <w:rFonts w:ascii="Arial" w:hAnsi="Arial" w:cs="Arial"/>
          <w:i/>
          <w:iCs/>
          <w:sz w:val="24"/>
          <w:szCs w:val="24"/>
        </w:rPr>
        <w:t>Naidoo v Parliament of the Republic of South Africa</w:t>
      </w:r>
      <w:r w:rsidRPr="00BB7375">
        <w:rPr>
          <w:rFonts w:ascii="Arial" w:hAnsi="Arial" w:cs="Arial"/>
          <w:sz w:val="24"/>
          <w:szCs w:val="24"/>
        </w:rPr>
        <w:t xml:space="preserve">, the Labour Court emphasized the significance of proactively identifying acts of discrimination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eliminate systematic inequality.</w:t>
      </w:r>
      <w:r w:rsidRPr="00BB7375">
        <w:rPr>
          <w:rFonts w:ascii="Arial" w:hAnsi="Arial" w:cs="Arial"/>
          <w:sz w:val="24"/>
          <w:szCs w:val="24"/>
          <w:vertAlign w:val="superscript"/>
        </w:rPr>
        <w:footnoteReference w:id="263"/>
      </w:r>
      <w:r w:rsidRPr="00BB7375">
        <w:rPr>
          <w:rFonts w:ascii="Arial" w:hAnsi="Arial" w:cs="Arial"/>
          <w:sz w:val="24"/>
          <w:szCs w:val="24"/>
        </w:rPr>
        <w:t xml:space="preserve"> Section 15(2)(a) thus establishes the groundwork for attaining equitable participation in the workplace by confronting these challenges.</w:t>
      </w:r>
    </w:p>
    <w:p w14:paraId="649436A7" w14:textId="711DBFAC" w:rsidR="00BB7375" w:rsidRPr="00BB7375" w:rsidRDefault="00E953ED" w:rsidP="00872D2D">
      <w:pPr>
        <w:pStyle w:val="Subtitle"/>
        <w:numPr>
          <w:ilvl w:val="0"/>
          <w:numId w:val="0"/>
        </w:numPr>
        <w:ind w:left="792"/>
      </w:pPr>
      <w:bookmarkStart w:id="153" w:name="_Toc189739328"/>
      <w:r>
        <w:t>3</w:t>
      </w:r>
      <w:r w:rsidR="00BB7375" w:rsidRPr="00BB7375">
        <w:t>.3.3.3 Promoting diversity in the workplace</w:t>
      </w:r>
      <w:bookmarkEnd w:id="153"/>
    </w:p>
    <w:p w14:paraId="25018458"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Section 15(2)(b) mandates actions to promote diversity grounded in the values of respect and equal dignity for every person. In addition to just demographic representation, diversity in work environments involves cultivating an inclusive culture wherein people from different cultural backgrounds can achieve success on the same playing field.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ensure that every employee is treated with dignity, efforts to promote diversity must take into account and appreciate individual differences. The Constitutional Court highlighted in </w:t>
      </w:r>
      <w:r w:rsidRPr="00BB7375">
        <w:rPr>
          <w:rFonts w:ascii="Arial" w:hAnsi="Arial" w:cs="Arial"/>
          <w:i/>
          <w:iCs/>
          <w:sz w:val="24"/>
          <w:szCs w:val="24"/>
        </w:rPr>
        <w:t xml:space="preserve">City of Tshwane Metropolitan Municipality v </w:t>
      </w:r>
      <w:proofErr w:type="spellStart"/>
      <w:r w:rsidRPr="00BB7375">
        <w:rPr>
          <w:rFonts w:ascii="Arial" w:hAnsi="Arial" w:cs="Arial"/>
          <w:i/>
          <w:iCs/>
          <w:sz w:val="24"/>
          <w:szCs w:val="24"/>
        </w:rPr>
        <w:lastRenderedPageBreak/>
        <w:t>Afriforum</w:t>
      </w:r>
      <w:proofErr w:type="spellEnd"/>
      <w:r w:rsidRPr="00BB7375">
        <w:rPr>
          <w:rFonts w:ascii="Arial" w:hAnsi="Arial" w:cs="Arial"/>
          <w:i/>
          <w:iCs/>
          <w:sz w:val="24"/>
          <w:szCs w:val="24"/>
        </w:rPr>
        <w:t xml:space="preserve"> </w:t>
      </w:r>
      <w:r w:rsidRPr="00BB7375">
        <w:rPr>
          <w:rFonts w:ascii="Arial" w:hAnsi="Arial" w:cs="Arial"/>
          <w:sz w:val="24"/>
          <w:szCs w:val="24"/>
        </w:rPr>
        <w:t>that promoting diversity is an effective way to achieve national unity and reconciliation in addition to being mandated by the constitution.</w:t>
      </w:r>
      <w:r w:rsidRPr="00BB7375">
        <w:rPr>
          <w:rFonts w:ascii="Arial" w:hAnsi="Arial" w:cs="Arial"/>
          <w:sz w:val="24"/>
          <w:szCs w:val="24"/>
          <w:vertAlign w:val="superscript"/>
        </w:rPr>
        <w:footnoteReference w:id="264"/>
      </w:r>
      <w:r w:rsidRPr="00BB7375">
        <w:rPr>
          <w:rFonts w:ascii="Arial" w:hAnsi="Arial" w:cs="Arial"/>
          <w:sz w:val="24"/>
          <w:szCs w:val="24"/>
        </w:rPr>
        <w:t> </w:t>
      </w:r>
    </w:p>
    <w:p w14:paraId="463EECCD" w14:textId="7CCEE6FF" w:rsidR="00BB7375" w:rsidRPr="00BB7375" w:rsidRDefault="00E953ED" w:rsidP="00872D2D">
      <w:pPr>
        <w:pStyle w:val="Subtitle"/>
        <w:numPr>
          <w:ilvl w:val="0"/>
          <w:numId w:val="0"/>
        </w:numPr>
        <w:ind w:left="792"/>
      </w:pPr>
      <w:bookmarkStart w:id="155" w:name="_Toc189739329"/>
      <w:r>
        <w:t>3</w:t>
      </w:r>
      <w:r w:rsidR="00BB7375" w:rsidRPr="00BB7375">
        <w:t>.3.3.4 Reasonable accommodation of designated groups</w:t>
      </w:r>
      <w:bookmarkEnd w:id="155"/>
    </w:p>
    <w:p w14:paraId="770F3D3A"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To provide equal opportunity and representation for members of designated groups in the workforce, section 15(2)(c) requires reasonable accommodation measures. Reasonable accommodations consist of transforming the working environment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eradicate the disadvantages that people belonging to designated groups encounter. In </w:t>
      </w:r>
      <w:r w:rsidRPr="00BB7375">
        <w:rPr>
          <w:rFonts w:ascii="Arial" w:hAnsi="Arial" w:cs="Arial"/>
          <w:i/>
          <w:iCs/>
          <w:sz w:val="24"/>
          <w:szCs w:val="24"/>
        </w:rPr>
        <w:t>Standard Bank of South Africa v Commission for Conciliation, Mediation and Arbitration</w:t>
      </w:r>
      <w:r w:rsidRPr="00BB7375">
        <w:rPr>
          <w:rFonts w:ascii="Arial" w:hAnsi="Arial" w:cs="Arial"/>
          <w:sz w:val="24"/>
          <w:szCs w:val="24"/>
        </w:rPr>
        <w:t>, the Labour Court ruled that the implementation of reasonable accommodation is essential to attaining substantive equality because it enables underprivileged people to get past structural obstacles and engage in meaningful employment.</w:t>
      </w:r>
      <w:r w:rsidRPr="00BB7375">
        <w:rPr>
          <w:rFonts w:ascii="Arial" w:hAnsi="Arial" w:cs="Arial"/>
          <w:sz w:val="24"/>
          <w:szCs w:val="24"/>
          <w:vertAlign w:val="superscript"/>
        </w:rPr>
        <w:footnoteReference w:id="265"/>
      </w:r>
      <w:r w:rsidRPr="00BB7375">
        <w:rPr>
          <w:rFonts w:ascii="Arial" w:hAnsi="Arial" w:cs="Arial"/>
          <w:sz w:val="24"/>
          <w:szCs w:val="24"/>
        </w:rPr>
        <w:t xml:space="preserve"> Additionally, this provision upholds the values of equality and dignity, highlighting the necessity for employers to take proactive measures that equalize the playing field.</w:t>
      </w:r>
    </w:p>
    <w:p w14:paraId="1EACC239" w14:textId="6BB68456" w:rsidR="00BB7375" w:rsidRPr="00BB7375" w:rsidRDefault="00E953ED" w:rsidP="00872D2D">
      <w:pPr>
        <w:pStyle w:val="Subtitle"/>
        <w:numPr>
          <w:ilvl w:val="0"/>
          <w:numId w:val="0"/>
        </w:numPr>
        <w:ind w:left="792"/>
      </w:pPr>
      <w:bookmarkStart w:id="157" w:name="_Toc189739330"/>
      <w:r>
        <w:t>3</w:t>
      </w:r>
      <w:r w:rsidR="00BB7375" w:rsidRPr="00BB7375">
        <w:t>.3.3.5 Ensuring equitable representation and development</w:t>
      </w:r>
      <w:bookmarkEnd w:id="157"/>
    </w:p>
    <w:p w14:paraId="64A3CAC3"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The restitutive nature of affirmative action is made apparent through the multifaceted commitment to representation and development, which acknowledges that combating historical disadvantages necessitates more than fostering the inclusion of marginalized populations but also empowering those who are excluded so they can progress and achieve success. Section 15(2)(d) requires employers to ensure that suitably qualified individuals from designated groups are represented proportionately throughout the workforce, and subsection (d)(ii) supplements this by requiring measures for retaining and developing designated employees through targeted training and capacity-building initiatives. Preferential treatment and the establishment of numerical targets for equal representation are examples of affirmative action practices described in section 15(2)(d).</w:t>
      </w:r>
      <w:r w:rsidRPr="00BB7375">
        <w:rPr>
          <w:rFonts w:ascii="Arial" w:hAnsi="Arial" w:cs="Arial"/>
          <w:sz w:val="24"/>
          <w:szCs w:val="24"/>
          <w:vertAlign w:val="superscript"/>
        </w:rPr>
        <w:footnoteReference w:id="266"/>
      </w:r>
      <w:r w:rsidRPr="00BB7375">
        <w:rPr>
          <w:rFonts w:ascii="Arial" w:hAnsi="Arial" w:cs="Arial"/>
          <w:sz w:val="24"/>
          <w:szCs w:val="24"/>
        </w:rPr>
        <w:t xml:space="preserve"> Nevertheless, the use of strict quotas is expressly prohibited under these measures.</w:t>
      </w:r>
    </w:p>
    <w:p w14:paraId="7AA694AC" w14:textId="14B1D383" w:rsidR="00BB7375" w:rsidRPr="00BB7375" w:rsidRDefault="00E953ED" w:rsidP="00872D2D">
      <w:pPr>
        <w:pStyle w:val="Heading2"/>
        <w:ind w:left="360"/>
      </w:pPr>
      <w:bookmarkStart w:id="158" w:name="_Toc189739331"/>
      <w:r>
        <w:lastRenderedPageBreak/>
        <w:t>3</w:t>
      </w:r>
      <w:r w:rsidR="00BB7375" w:rsidRPr="00BB7375">
        <w:t>.3.4 Submitting a report</w:t>
      </w:r>
      <w:bookmarkEnd w:id="158"/>
    </w:p>
    <w:p w14:paraId="63A271A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terms of section 21 of the </w:t>
      </w:r>
      <w:r w:rsidRPr="00BB7375">
        <w:rPr>
          <w:rFonts w:ascii="Arial" w:hAnsi="Arial" w:cs="Arial"/>
          <w:i/>
          <w:iCs/>
          <w:sz w:val="24"/>
          <w:szCs w:val="24"/>
        </w:rPr>
        <w:t>EEA</w:t>
      </w:r>
      <w:r w:rsidRPr="00BB7375">
        <w:rPr>
          <w:rFonts w:ascii="Arial" w:hAnsi="Arial" w:cs="Arial"/>
          <w:sz w:val="24"/>
          <w:szCs w:val="24"/>
        </w:rPr>
        <w:t>, designated employers are required to report on the effectiveness and success of implementing employment equity in their respective employment environments. Depending on the size of the employer's staff, the frequency and the content of these reports will vary. The initial report for employers with fewer than 150 workers must be submitted to the Director-General within a year of the Act's implementation or a year after the employer is identified as an employer. An additional report is thereafter required to be submitted by these employers on the first working day of October every two years. Employers who employ 150 or more people, on the other hand, are required to submit their first report within six months of the Act's implementation or their designation. After that, they must submit their reports every year on the first working day of October.</w:t>
      </w:r>
    </w:p>
    <w:p w14:paraId="69EF3EE0"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To ensure the report's legitimacy and accountability, the chief executive officer of the designated employer must sign it, and it must contain the information specified by the Act. Designated employers are required to submit reports on an ongoing basis, and </w:t>
      </w:r>
      <w:proofErr w:type="gramStart"/>
      <w:r w:rsidRPr="00BB7375">
        <w:rPr>
          <w:rFonts w:ascii="Arial" w:hAnsi="Arial" w:cs="Arial"/>
          <w:sz w:val="24"/>
          <w:szCs w:val="24"/>
        </w:rPr>
        <w:t>in the event that</w:t>
      </w:r>
      <w:proofErr w:type="gramEnd"/>
      <w:r w:rsidRPr="00BB7375">
        <w:rPr>
          <w:rFonts w:ascii="Arial" w:hAnsi="Arial" w:cs="Arial"/>
          <w:sz w:val="24"/>
          <w:szCs w:val="24"/>
        </w:rPr>
        <w:t xml:space="preserve"> they are unable to do so, they are required to provide the Director-General with an adequate justification. Because the reports are openly available, accountability and openness in the application of employment equity policies are thus fostered. There are further regulations pertaining to report publications for government organizations and publicly listed companies.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give stakeholders easily available information on the company's progress, a public company is required to include a summary of its employment equity report in its annual financial report. In a comparable way, employers in the public sector are subject to additional supervision and accountability when the relevant Minister tables the employment equity report in Parliament.</w:t>
      </w:r>
    </w:p>
    <w:p w14:paraId="1A4C197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Monitoring the success of employment equality initiatives and making sure that advancements are taken toward the development of a more diversified and inclusive employment environment relies substantially on the regular reporting process.</w:t>
      </w:r>
      <w:r w:rsidRPr="00BB7375">
        <w:rPr>
          <w:rFonts w:ascii="Arial" w:hAnsi="Arial" w:cs="Arial"/>
          <w:sz w:val="24"/>
          <w:szCs w:val="24"/>
          <w:vertAlign w:val="superscript"/>
        </w:rPr>
        <w:footnoteReference w:id="267"/>
      </w:r>
      <w:r w:rsidRPr="00BB7375">
        <w:rPr>
          <w:rFonts w:ascii="Arial" w:hAnsi="Arial" w:cs="Arial"/>
          <w:sz w:val="24"/>
          <w:szCs w:val="24"/>
        </w:rPr>
        <w:t xml:space="preserve"> These reports offer openness, enabling stakeholders, including workers and the </w:t>
      </w:r>
      <w:r w:rsidRPr="00BB7375">
        <w:rPr>
          <w:rFonts w:ascii="Arial" w:hAnsi="Arial" w:cs="Arial"/>
          <w:sz w:val="24"/>
          <w:szCs w:val="24"/>
        </w:rPr>
        <w:lastRenderedPageBreak/>
        <w:t>public, to evaluate the actions taken by employers to address past injustices and promote equality in the workplace.</w:t>
      </w:r>
      <w:r w:rsidRPr="00BB7375">
        <w:rPr>
          <w:rFonts w:ascii="Arial" w:hAnsi="Arial" w:cs="Arial"/>
          <w:sz w:val="24"/>
          <w:szCs w:val="24"/>
          <w:vertAlign w:val="superscript"/>
        </w:rPr>
        <w:footnoteReference w:id="268"/>
      </w:r>
    </w:p>
    <w:p w14:paraId="74793734" w14:textId="396CF75B" w:rsidR="00BB7375" w:rsidRPr="00BB7375" w:rsidRDefault="00E953ED" w:rsidP="00872D2D">
      <w:pPr>
        <w:pStyle w:val="Heading2"/>
        <w:ind w:left="360"/>
      </w:pPr>
      <w:bookmarkStart w:id="159" w:name="_Toc189739332"/>
      <w:r>
        <w:t>3</w:t>
      </w:r>
      <w:r w:rsidR="00BB7375" w:rsidRPr="00BB7375">
        <w:t>.3.5 Duty to assign a manager</w:t>
      </w:r>
      <w:bookmarkEnd w:id="159"/>
    </w:p>
    <w:p w14:paraId="6947AB5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According to section 24 of the </w:t>
      </w:r>
      <w:r w:rsidRPr="00BB7375">
        <w:rPr>
          <w:rFonts w:ascii="Arial" w:hAnsi="Arial" w:cs="Arial"/>
          <w:i/>
          <w:iCs/>
          <w:sz w:val="24"/>
          <w:szCs w:val="24"/>
        </w:rPr>
        <w:t>EEA</w:t>
      </w:r>
      <w:r w:rsidRPr="00BB7375">
        <w:rPr>
          <w:rFonts w:ascii="Arial" w:hAnsi="Arial" w:cs="Arial"/>
          <w:sz w:val="24"/>
          <w:szCs w:val="24"/>
        </w:rPr>
        <w:t xml:space="preserve">, each designated employer must nominate one or more senior managers to oversee and carry out the employer's employment equity plan. This provision guarantees that there is unambiguous accountability for the organization's implementation of the employment equity strategy. The authority and resources required to perform their duties must be granted to the assigned managers in charge, and this includes giving them the resources and assistance they require to guarantee the plan's successful execution.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guarantee that the designated managers carry out their responsibilities, employers must additionally implement suitable precautions. These clauses support the </w:t>
      </w:r>
      <w:r w:rsidRPr="00BB7375">
        <w:rPr>
          <w:rFonts w:ascii="Arial" w:hAnsi="Arial" w:cs="Arial"/>
          <w:i/>
          <w:iCs/>
          <w:sz w:val="24"/>
          <w:szCs w:val="24"/>
        </w:rPr>
        <w:t>EEA</w:t>
      </w:r>
      <w:r w:rsidRPr="00BB7375">
        <w:rPr>
          <w:rFonts w:ascii="Arial" w:hAnsi="Arial" w:cs="Arial"/>
          <w:sz w:val="24"/>
          <w:szCs w:val="24"/>
        </w:rPr>
        <w:t xml:space="preserve">'s overarching goals of addressing designated groups' underrepresentation in the workforce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achieve equality.</w:t>
      </w:r>
    </w:p>
    <w:p w14:paraId="7D8526B5"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It is crucial to remember that even while senior managers are given additional authority, the employer is still ultimately in charge of adhering to the </w:t>
      </w:r>
      <w:r w:rsidRPr="00BB7375">
        <w:rPr>
          <w:rFonts w:ascii="Arial" w:hAnsi="Arial" w:cs="Arial"/>
          <w:i/>
          <w:iCs/>
          <w:sz w:val="24"/>
          <w:szCs w:val="24"/>
        </w:rPr>
        <w:t>Employment Equity Act</w:t>
      </w:r>
      <w:r w:rsidRPr="00BB7375">
        <w:rPr>
          <w:rFonts w:ascii="Arial" w:hAnsi="Arial" w:cs="Arial"/>
          <w:sz w:val="24"/>
          <w:szCs w:val="24"/>
        </w:rPr>
        <w:t>'s requirements as well as those of any other applicable laws.</w:t>
      </w:r>
      <w:r w:rsidRPr="00BB7375">
        <w:rPr>
          <w:rFonts w:ascii="Arial" w:hAnsi="Arial" w:cs="Arial"/>
          <w:sz w:val="24"/>
          <w:szCs w:val="24"/>
          <w:vertAlign w:val="superscript"/>
        </w:rPr>
        <w:footnoteReference w:id="269"/>
      </w:r>
      <w:r w:rsidRPr="00BB7375">
        <w:rPr>
          <w:rFonts w:ascii="Arial" w:hAnsi="Arial" w:cs="Arial"/>
          <w:sz w:val="24"/>
          <w:szCs w:val="24"/>
        </w:rPr>
        <w:t xml:space="preserve"> This implies that the employer's duties to attain and report on employment equity are not released by the delegation of responsibilities. Employers are responsible for making sure the designated managers have the power and backing to implement the necessary changes and maintain the organization's alignment with its equality objectives.</w:t>
      </w:r>
    </w:p>
    <w:p w14:paraId="782AE27D" w14:textId="31FA3CEE" w:rsidR="00BB7375" w:rsidRPr="00BB7375" w:rsidRDefault="00E953ED" w:rsidP="00872D2D">
      <w:pPr>
        <w:pStyle w:val="Heading2"/>
        <w:ind w:left="360"/>
      </w:pPr>
      <w:bookmarkStart w:id="160" w:name="_Toc189739333"/>
      <w:r>
        <w:t>3</w:t>
      </w:r>
      <w:r w:rsidR="00BB7375" w:rsidRPr="00BB7375">
        <w:t>.3.6 Duty to inform</w:t>
      </w:r>
      <w:bookmarkEnd w:id="160"/>
    </w:p>
    <w:p w14:paraId="203FD59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Employers are clearly required under section 25 of the </w:t>
      </w:r>
      <w:r w:rsidRPr="00BB7375">
        <w:rPr>
          <w:rFonts w:ascii="Arial" w:hAnsi="Arial" w:cs="Arial"/>
          <w:i/>
          <w:iCs/>
          <w:sz w:val="24"/>
          <w:szCs w:val="24"/>
        </w:rPr>
        <w:t>Employment Equity Act</w:t>
      </w:r>
      <w:r w:rsidRPr="00BB7375">
        <w:rPr>
          <w:rFonts w:ascii="Arial" w:hAnsi="Arial" w:cs="Arial"/>
          <w:sz w:val="24"/>
          <w:szCs w:val="24"/>
        </w:rPr>
        <w:t xml:space="preserve"> to educate staff members on their legal entitlements and the conditions imposed by the Act. This is accomplished by means of </w:t>
      </w:r>
      <w:proofErr w:type="gramStart"/>
      <w:r w:rsidRPr="00BB7375">
        <w:rPr>
          <w:rFonts w:ascii="Arial" w:hAnsi="Arial" w:cs="Arial"/>
          <w:sz w:val="24"/>
          <w:szCs w:val="24"/>
        </w:rPr>
        <w:t>a number of</w:t>
      </w:r>
      <w:proofErr w:type="gramEnd"/>
      <w:r w:rsidRPr="00BB7375">
        <w:rPr>
          <w:rFonts w:ascii="Arial" w:hAnsi="Arial" w:cs="Arial"/>
          <w:sz w:val="24"/>
          <w:szCs w:val="24"/>
        </w:rPr>
        <w:t xml:space="preserve"> clauses intended to guarantee the openness and accessibility of data pertaining to employment equity. Employers are required by section 25(1) to put up a notice informing workers of the </w:t>
      </w:r>
      <w:r w:rsidRPr="00BB7375">
        <w:rPr>
          <w:rFonts w:ascii="Arial" w:hAnsi="Arial" w:cs="Arial"/>
          <w:i/>
          <w:iCs/>
          <w:sz w:val="24"/>
          <w:szCs w:val="24"/>
        </w:rPr>
        <w:t>EEA</w:t>
      </w:r>
      <w:r w:rsidRPr="00BB7375">
        <w:rPr>
          <w:rFonts w:ascii="Arial" w:hAnsi="Arial" w:cs="Arial"/>
          <w:sz w:val="24"/>
          <w:szCs w:val="24"/>
        </w:rPr>
        <w:t xml:space="preserve">'s regulations in the workplace in a specific manner. This safeguards the employer from adhering to their legal responsibilities and ensuring that all workers are informed of their rights pertaining to employment equity. Additionally, designated employers are required by </w:t>
      </w:r>
      <w:r w:rsidRPr="00BB7375">
        <w:rPr>
          <w:rFonts w:ascii="Arial" w:hAnsi="Arial" w:cs="Arial"/>
          <w:sz w:val="24"/>
          <w:szCs w:val="24"/>
        </w:rPr>
        <w:lastRenderedPageBreak/>
        <w:t xml:space="preserve">section 25(2) to put specific important documents in conspicuous and easily accessible locations within their workplaces. These contain any orders from the Labour Court pertaining to the employer's duties under the </w:t>
      </w:r>
      <w:r w:rsidRPr="00BB7375">
        <w:rPr>
          <w:rFonts w:ascii="Arial" w:hAnsi="Arial" w:cs="Arial"/>
          <w:i/>
          <w:iCs/>
          <w:sz w:val="24"/>
          <w:szCs w:val="24"/>
        </w:rPr>
        <w:t>EEA</w:t>
      </w:r>
      <w:r w:rsidRPr="00BB7375">
        <w:rPr>
          <w:rFonts w:ascii="Arial" w:hAnsi="Arial" w:cs="Arial"/>
          <w:sz w:val="24"/>
          <w:szCs w:val="24"/>
        </w:rPr>
        <w:t>, compliance orders, arbitration awards, and the most recent report that was submitted to the Director-General. Lastly, companies that have an employment equity plan are required to provide it to their employees, according to section 25(3). This provision guarantees that workers can view or reference the employment equality plan whenever required, allowing them to comprehend the employer's aims and strategies for resolving issues, including underrepresentation and employment challenges.</w:t>
      </w:r>
    </w:p>
    <w:p w14:paraId="4BF2B9C8" w14:textId="6C3E2C5D" w:rsidR="00BB7375" w:rsidRPr="00BB7375" w:rsidRDefault="00E953ED" w:rsidP="00872D2D">
      <w:pPr>
        <w:pStyle w:val="Heading2"/>
        <w:ind w:left="360"/>
      </w:pPr>
      <w:bookmarkStart w:id="161" w:name="_Toc189739334"/>
      <w:r>
        <w:t>3</w:t>
      </w:r>
      <w:r w:rsidR="00BB7375" w:rsidRPr="00BB7375">
        <w:t>.3.7 Duty to keep records</w:t>
      </w:r>
      <w:bookmarkEnd w:id="161"/>
    </w:p>
    <w:p w14:paraId="39CE0E0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Employers are required by section 26 of the </w:t>
      </w:r>
      <w:r w:rsidRPr="00BB7375">
        <w:rPr>
          <w:rFonts w:ascii="Arial" w:hAnsi="Arial" w:cs="Arial"/>
          <w:i/>
          <w:iCs/>
          <w:sz w:val="24"/>
          <w:szCs w:val="24"/>
        </w:rPr>
        <w:t>Employment Equity Act</w:t>
      </w:r>
      <w:r w:rsidRPr="00BB7375">
        <w:rPr>
          <w:rFonts w:ascii="Arial" w:hAnsi="Arial" w:cs="Arial"/>
          <w:sz w:val="24"/>
          <w:szCs w:val="24"/>
        </w:rPr>
        <w:t xml:space="preserve"> to keep thorough and accurate records as part of their obligation to abide by the Act. For the allotted time, the employer is required to create and maintain records pertaining to the workforce, the employment equity strategy, and any other records pertinent to the Act's compliance. This provision permits efficient monitoring, auditing, and enforcement of employment equity policies and guarantees that employers keep accurate records of their attempts to correct disparities within their workforce.</w:t>
      </w:r>
    </w:p>
    <w:p w14:paraId="30FC798F" w14:textId="25F6B1CE" w:rsidR="00BB7375" w:rsidRPr="00BB7375" w:rsidRDefault="00E953ED" w:rsidP="00872D2D">
      <w:pPr>
        <w:pStyle w:val="Heading2"/>
        <w:ind w:left="360"/>
      </w:pPr>
      <w:bookmarkStart w:id="162" w:name="_Toc189739335"/>
      <w:r>
        <w:t>3</w:t>
      </w:r>
      <w:r w:rsidR="00BB7375" w:rsidRPr="00BB7375">
        <w:t>.3.8 Submit a statement on income differentials</w:t>
      </w:r>
      <w:bookmarkEnd w:id="162"/>
    </w:p>
    <w:p w14:paraId="60D02F13"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Income disparities are addressed in section 27 of the </w:t>
      </w:r>
      <w:r w:rsidRPr="00BB7375">
        <w:rPr>
          <w:rFonts w:ascii="Arial" w:hAnsi="Arial" w:cs="Arial"/>
          <w:i/>
          <w:iCs/>
          <w:sz w:val="24"/>
          <w:szCs w:val="24"/>
        </w:rPr>
        <w:t>Employment Equity Act</w:t>
      </w:r>
      <w:r w:rsidRPr="00BB7375">
        <w:rPr>
          <w:rFonts w:ascii="Arial" w:hAnsi="Arial" w:cs="Arial"/>
          <w:sz w:val="24"/>
          <w:szCs w:val="24"/>
        </w:rPr>
        <w:t xml:space="preserve">, which highlights the necessity of fair compensation for all occupational groups and levels in the workplace. It requires designated employers to present the </w:t>
      </w:r>
      <w:bookmarkStart w:id="163" w:name="_Hlk183357523"/>
      <w:r w:rsidRPr="00BB7375">
        <w:rPr>
          <w:rFonts w:ascii="Arial" w:hAnsi="Arial" w:cs="Arial"/>
          <w:sz w:val="24"/>
          <w:szCs w:val="24"/>
        </w:rPr>
        <w:t xml:space="preserve">Employment Conditions Commission (ECC) </w:t>
      </w:r>
      <w:bookmarkEnd w:id="163"/>
      <w:r w:rsidRPr="00BB7375">
        <w:rPr>
          <w:rFonts w:ascii="Arial" w:hAnsi="Arial" w:cs="Arial"/>
          <w:sz w:val="24"/>
          <w:szCs w:val="24"/>
        </w:rPr>
        <w:t xml:space="preserve">with a statement outlining the pay and benefits offered to </w:t>
      </w:r>
      <w:proofErr w:type="gramStart"/>
      <w:r w:rsidRPr="00BB7375">
        <w:rPr>
          <w:rFonts w:ascii="Arial" w:hAnsi="Arial" w:cs="Arial"/>
          <w:sz w:val="24"/>
          <w:szCs w:val="24"/>
        </w:rPr>
        <w:t>all of</w:t>
      </w:r>
      <w:proofErr w:type="gramEnd"/>
      <w:r w:rsidRPr="00BB7375">
        <w:rPr>
          <w:rFonts w:ascii="Arial" w:hAnsi="Arial" w:cs="Arial"/>
          <w:sz w:val="24"/>
          <w:szCs w:val="24"/>
        </w:rPr>
        <w:t xml:space="preserve"> their employees as part of their employment equity reporting under section 21. This guarantees openness and makes it possible to identify disproportionate income disparities that may perpetuate inequality. Where disproportionate income disparities are detected, employers must take progressive steps to decrease them.</w:t>
      </w:r>
      <w:r w:rsidRPr="00BB7375">
        <w:rPr>
          <w:rFonts w:ascii="Arial" w:hAnsi="Arial" w:cs="Arial"/>
          <w:sz w:val="24"/>
          <w:szCs w:val="24"/>
          <w:vertAlign w:val="superscript"/>
        </w:rPr>
        <w:footnoteReference w:id="270"/>
      </w:r>
      <w:r w:rsidRPr="00BB7375">
        <w:rPr>
          <w:rFonts w:ascii="Arial" w:hAnsi="Arial" w:cs="Arial"/>
          <w:sz w:val="24"/>
          <w:szCs w:val="24"/>
        </w:rPr>
        <w:t xml:space="preserve"> Collective bargaining, compliance with sectoral determinations under the </w:t>
      </w:r>
      <w:bookmarkStart w:id="164" w:name="_Hlk183357726"/>
      <w:r w:rsidRPr="00BB7375">
        <w:rPr>
          <w:rFonts w:ascii="Arial" w:hAnsi="Arial" w:cs="Arial"/>
          <w:i/>
          <w:iCs/>
          <w:sz w:val="24"/>
          <w:szCs w:val="24"/>
        </w:rPr>
        <w:t>Basic Conditions of Employment Act</w:t>
      </w:r>
      <w:r w:rsidRPr="00BB7375">
        <w:rPr>
          <w:rFonts w:ascii="Arial" w:hAnsi="Arial" w:cs="Arial"/>
          <w:sz w:val="24"/>
          <w:szCs w:val="24"/>
        </w:rPr>
        <w:t xml:space="preserve"> (BCEA), </w:t>
      </w:r>
      <w:bookmarkEnd w:id="164"/>
      <w:r w:rsidRPr="00BB7375">
        <w:rPr>
          <w:rFonts w:ascii="Arial" w:hAnsi="Arial" w:cs="Arial"/>
          <w:sz w:val="24"/>
          <w:szCs w:val="24"/>
        </w:rPr>
        <w:t xml:space="preserve">the application of ECC norms and benchmarks, and the implementation of applicable skills development legislation are all examples of such approaches. </w:t>
      </w:r>
    </w:p>
    <w:p w14:paraId="2DAADAB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The ECC is essential because it conducts research, sets standards and benchmarks for proportional income differences, and advises the Minister on how to resolve disparities.</w:t>
      </w:r>
      <w:r w:rsidRPr="00BB7375">
        <w:rPr>
          <w:rFonts w:ascii="Arial" w:hAnsi="Arial" w:cs="Arial"/>
          <w:sz w:val="24"/>
          <w:szCs w:val="24"/>
          <w:vertAlign w:val="superscript"/>
        </w:rPr>
        <w:footnoteReference w:id="271"/>
      </w:r>
      <w:r w:rsidRPr="00BB7375">
        <w:rPr>
          <w:rFonts w:ascii="Arial" w:hAnsi="Arial" w:cs="Arial"/>
          <w:sz w:val="24"/>
          <w:szCs w:val="24"/>
        </w:rPr>
        <w:t xml:space="preserve"> This guarantees that companies have access to organized advice on how to reconcile equity and fairness principles with their compensation practices. However,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protect confidentiality and further group objectives, the ECC is not allowed to reveal information about specific workers or employers.</w:t>
      </w:r>
      <w:r w:rsidRPr="00BB7375">
        <w:rPr>
          <w:rFonts w:ascii="Arial" w:hAnsi="Arial" w:cs="Arial"/>
          <w:sz w:val="24"/>
          <w:szCs w:val="24"/>
          <w:vertAlign w:val="superscript"/>
        </w:rPr>
        <w:footnoteReference w:id="272"/>
      </w:r>
      <w:r w:rsidRPr="00BB7375">
        <w:rPr>
          <w:rFonts w:ascii="Arial" w:hAnsi="Arial" w:cs="Arial"/>
          <w:sz w:val="24"/>
          <w:szCs w:val="24"/>
        </w:rPr>
        <w:t xml:space="preserve"> Parties involved in collective bargaining procedures may also get information about income disparities, as long as they do so in accordance with section 16(4) and (5) of the </w:t>
      </w:r>
      <w:r w:rsidRPr="00BB7375">
        <w:rPr>
          <w:rFonts w:ascii="Arial" w:hAnsi="Arial" w:cs="Arial"/>
          <w:i/>
          <w:iCs/>
          <w:sz w:val="24"/>
          <w:szCs w:val="24"/>
        </w:rPr>
        <w:t>Labour Relations Act</w:t>
      </w:r>
      <w:r w:rsidRPr="00BB7375">
        <w:rPr>
          <w:rFonts w:ascii="Arial" w:hAnsi="Arial" w:cs="Arial"/>
          <w:sz w:val="24"/>
          <w:szCs w:val="24"/>
        </w:rPr>
        <w:t xml:space="preserve"> (LRA).</w:t>
      </w:r>
      <w:r w:rsidRPr="00BB7375">
        <w:rPr>
          <w:rFonts w:ascii="Arial" w:hAnsi="Arial" w:cs="Arial"/>
          <w:sz w:val="24"/>
          <w:szCs w:val="24"/>
          <w:vertAlign w:val="superscript"/>
        </w:rPr>
        <w:footnoteReference w:id="273"/>
      </w:r>
      <w:r w:rsidRPr="00BB7375">
        <w:rPr>
          <w:rFonts w:ascii="Arial" w:hAnsi="Arial" w:cs="Arial"/>
          <w:sz w:val="24"/>
          <w:szCs w:val="24"/>
        </w:rPr>
        <w:t xml:space="preserve"> </w:t>
      </w:r>
    </w:p>
    <w:p w14:paraId="24114116" w14:textId="2E21AE6C"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By mandating firms to review their compensation practices, notify the Department of Employment and Labour of income discrepancies, and put strategies in place to remedy unjustifiable pay gaps, section 27 also targets unjustified income differentials. Employers must thus provide equal compensation for equal work, justifying disparities based on objective standards including performance, experience, and credentials.</w:t>
      </w:r>
    </w:p>
    <w:p w14:paraId="44FAC022" w14:textId="74E4B8F5" w:rsidR="00BB7375" w:rsidRPr="00BB7375" w:rsidRDefault="00E953ED" w:rsidP="00872D2D">
      <w:pPr>
        <w:pStyle w:val="Heading1"/>
      </w:pPr>
      <w:bookmarkStart w:id="165" w:name="_Toc189739336"/>
      <w:r>
        <w:t>3</w:t>
      </w:r>
      <w:r w:rsidR="00BB7375" w:rsidRPr="00BB7375">
        <w:t>.4 Problematic aspects in the implementation of the EE Plan (and affirmative action measures)</w:t>
      </w:r>
      <w:bookmarkEnd w:id="165"/>
    </w:p>
    <w:p w14:paraId="7353D9E9" w14:textId="77777777" w:rsidR="008E78D0"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One of the key elements of South Africa's revolutionary legal framework, which aims to address the injustices of apartheid and systemic discrimination, is the adoption of Employment Equity Plans.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attain real equality in the workplace, these plans put into effect affirmative action policies.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remove long-standing obstacles to economic participation, the </w:t>
      </w:r>
      <w:r w:rsidRPr="00BB7375">
        <w:rPr>
          <w:rFonts w:ascii="Arial" w:hAnsi="Arial" w:cs="Arial"/>
          <w:i/>
          <w:iCs/>
          <w:sz w:val="24"/>
          <w:szCs w:val="24"/>
        </w:rPr>
        <w:t>EEA</w:t>
      </w:r>
      <w:r w:rsidRPr="00BB7375">
        <w:rPr>
          <w:rFonts w:ascii="Arial" w:hAnsi="Arial" w:cs="Arial"/>
          <w:sz w:val="24"/>
          <w:szCs w:val="24"/>
        </w:rPr>
        <w:t xml:space="preserve"> allows special treatment for specific groups, as guided by section 9(2) of the </w:t>
      </w:r>
      <w:r w:rsidRPr="00BB7375">
        <w:rPr>
          <w:rFonts w:ascii="Arial" w:hAnsi="Arial" w:cs="Arial"/>
          <w:i/>
          <w:iCs/>
          <w:sz w:val="24"/>
          <w:szCs w:val="24"/>
        </w:rPr>
        <w:t>Constitution</w:t>
      </w:r>
      <w:r w:rsidRPr="00BB7375">
        <w:rPr>
          <w:rFonts w:ascii="Arial" w:hAnsi="Arial" w:cs="Arial"/>
          <w:sz w:val="24"/>
          <w:szCs w:val="24"/>
        </w:rPr>
        <w:t xml:space="preserve">. </w:t>
      </w:r>
    </w:p>
    <w:p w14:paraId="62A9BBB4" w14:textId="4B616B07" w:rsidR="00BB7375" w:rsidRPr="008E78D0" w:rsidRDefault="00BB7375" w:rsidP="00BB7375">
      <w:pPr>
        <w:spacing w:line="360" w:lineRule="auto"/>
        <w:jc w:val="both"/>
        <w:rPr>
          <w:rFonts w:ascii="Arial" w:hAnsi="Arial" w:cs="Arial"/>
          <w:sz w:val="24"/>
          <w:szCs w:val="24"/>
          <w:lang w:val="en-ZA"/>
        </w:rPr>
      </w:pPr>
      <w:r w:rsidRPr="00BB7375">
        <w:rPr>
          <w:rFonts w:ascii="Arial" w:hAnsi="Arial" w:cs="Arial"/>
          <w:sz w:val="24"/>
          <w:szCs w:val="24"/>
        </w:rPr>
        <w:t xml:space="preserve">However, implementing these policies has shown a lot of challenges and complications, especially when it comes to determining and placing beneficiaries and determining who is eligible for inclusion. Additional difficulties have included determining equal representation, assessing whether AA measures are meant to be temporary or permanent, looking at the idea of a "sunset clause," and considering the consequences of reaching goals for specific groups. </w:t>
      </w:r>
      <w:r w:rsidR="008E78D0" w:rsidRPr="008E78D0">
        <w:rPr>
          <w:rFonts w:ascii="Arial" w:hAnsi="Arial" w:cs="Arial"/>
          <w:sz w:val="24"/>
          <w:szCs w:val="24"/>
          <w:lang w:val="en-ZA"/>
        </w:rPr>
        <w:t xml:space="preserve">The discourse surrounding these matters emphasizes how crucial it is to approach workplace equity in a fair and </w:t>
      </w:r>
      <w:r w:rsidR="008E78D0" w:rsidRPr="008E78D0">
        <w:rPr>
          <w:rFonts w:ascii="Arial" w:hAnsi="Arial" w:cs="Arial"/>
          <w:sz w:val="24"/>
          <w:szCs w:val="24"/>
          <w:lang w:val="en-ZA"/>
        </w:rPr>
        <w:lastRenderedPageBreak/>
        <w:t xml:space="preserve">compliant manner. Employment Equity Plans must be designed to withstand legal scrutiny while accomplishing the transformative goals envisioned in the </w:t>
      </w:r>
      <w:r w:rsidR="008E78D0" w:rsidRPr="008E78D0">
        <w:rPr>
          <w:rFonts w:ascii="Arial" w:hAnsi="Arial" w:cs="Arial"/>
          <w:i/>
          <w:iCs/>
          <w:sz w:val="24"/>
          <w:szCs w:val="24"/>
          <w:lang w:val="en-ZA"/>
        </w:rPr>
        <w:t>EEA</w:t>
      </w:r>
      <w:r w:rsidR="008E78D0" w:rsidRPr="008E78D0">
        <w:rPr>
          <w:rFonts w:ascii="Arial" w:hAnsi="Arial" w:cs="Arial"/>
          <w:sz w:val="24"/>
          <w:szCs w:val="24"/>
          <w:lang w:val="en-ZA"/>
        </w:rPr>
        <w:t>. Employers must traverse the difficulties of affirmative action while keeping legal commitments in mind.</w:t>
      </w:r>
    </w:p>
    <w:p w14:paraId="321D2A76" w14:textId="70CF36DC" w:rsidR="00BB7375" w:rsidRPr="00BB7375" w:rsidRDefault="008E78D0" w:rsidP="00872D2D">
      <w:pPr>
        <w:pStyle w:val="Heading2"/>
        <w:ind w:left="360"/>
      </w:pPr>
      <w:bookmarkStart w:id="166" w:name="_Toc189739337"/>
      <w:r>
        <w:t>3</w:t>
      </w:r>
      <w:r w:rsidR="00872D2D">
        <w:t xml:space="preserve">.4.1 </w:t>
      </w:r>
      <w:r w:rsidR="00BB7375" w:rsidRPr="00BB7375">
        <w:t>The advancement of “designated groups”</w:t>
      </w:r>
      <w:bookmarkEnd w:id="166"/>
    </w:p>
    <w:p w14:paraId="23F2C84F" w14:textId="218C44C2" w:rsidR="00BB7375" w:rsidRPr="00BB7375" w:rsidRDefault="008E78D0" w:rsidP="00872D2D">
      <w:pPr>
        <w:pStyle w:val="Subtitle"/>
        <w:numPr>
          <w:ilvl w:val="0"/>
          <w:numId w:val="0"/>
        </w:numPr>
        <w:ind w:left="792"/>
      </w:pPr>
      <w:bookmarkStart w:id="167" w:name="_Toc189739338"/>
      <w:r>
        <w:t>3</w:t>
      </w:r>
      <w:r w:rsidR="00BB7375" w:rsidRPr="00BB7375">
        <w:t>.4.1.1. Identifying designated groups</w:t>
      </w:r>
      <w:bookmarkEnd w:id="167"/>
    </w:p>
    <w:p w14:paraId="33FB5791"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According to the </w:t>
      </w:r>
      <w:r w:rsidRPr="00BB7375">
        <w:rPr>
          <w:rFonts w:ascii="Arial" w:hAnsi="Arial" w:cs="Arial"/>
          <w:i/>
          <w:iCs/>
          <w:sz w:val="24"/>
          <w:szCs w:val="24"/>
        </w:rPr>
        <w:t>EEA</w:t>
      </w:r>
      <w:r w:rsidRPr="00BB7375">
        <w:rPr>
          <w:rFonts w:ascii="Arial" w:hAnsi="Arial" w:cs="Arial"/>
          <w:sz w:val="24"/>
          <w:szCs w:val="24"/>
        </w:rPr>
        <w:t xml:space="preserve">, designated groups include women, people with disabilities, and Black people (African, Coloured, and Indian). The Act's goal, as stated in section 2, is to address injustices brought about by apartheid and other types of systemic discrimination, and the description it provides aligns with that goal. According to section 1(1), the phrase "Black people" is used as an umbrella term to refer to various racial groupings who have historically been shut out of substantial economic involvement. </w:t>
      </w:r>
    </w:p>
    <w:p w14:paraId="4C5B197C"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Determining the true beneficiaries of affirmative action policies has been a major challenge for enterprises implementing these policies.</w:t>
      </w:r>
      <w:r w:rsidRPr="00BB7375">
        <w:rPr>
          <w:rFonts w:ascii="Arial" w:hAnsi="Arial" w:cs="Arial"/>
          <w:sz w:val="24"/>
          <w:szCs w:val="24"/>
          <w:vertAlign w:val="superscript"/>
        </w:rPr>
        <w:footnoteReference w:id="274"/>
      </w:r>
      <w:r w:rsidRPr="00BB7375">
        <w:rPr>
          <w:rFonts w:ascii="Arial" w:hAnsi="Arial" w:cs="Arial"/>
          <w:sz w:val="24"/>
          <w:szCs w:val="24"/>
        </w:rPr>
        <w:t xml:space="preserve"> There are two schools of thought that exacerbate this matter. According to the first, membership in a certain group that has historically experienced systemic discrimination makes a person eligible to be considered a formerly disadvantaged individual.</w:t>
      </w:r>
      <w:r w:rsidRPr="00BB7375">
        <w:rPr>
          <w:rFonts w:ascii="Arial" w:hAnsi="Arial" w:cs="Arial"/>
          <w:sz w:val="24"/>
          <w:szCs w:val="24"/>
          <w:vertAlign w:val="superscript"/>
        </w:rPr>
        <w:footnoteReference w:id="275"/>
      </w:r>
      <w:r w:rsidRPr="00BB7375">
        <w:rPr>
          <w:rFonts w:ascii="Arial" w:hAnsi="Arial" w:cs="Arial"/>
          <w:sz w:val="24"/>
          <w:szCs w:val="24"/>
        </w:rPr>
        <w:t xml:space="preserve"> Regardless of an individual's particular experiences, this approach, which is often referred to as "group disadvantage", suggests that membership in a disadvantaged group is sufficient for eligibility for affirmative action. Affirmative action recipients, according to the opposing viewpoint, ought to have experienced a personal, observable disadvantage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guarantee that only individuals who have been directly impacted by past injustices are given preference.</w:t>
      </w:r>
      <w:r w:rsidRPr="00BB7375">
        <w:rPr>
          <w:rFonts w:ascii="Arial" w:hAnsi="Arial" w:cs="Arial"/>
          <w:sz w:val="24"/>
          <w:szCs w:val="24"/>
          <w:vertAlign w:val="superscript"/>
        </w:rPr>
        <w:footnoteReference w:id="276"/>
      </w:r>
      <w:r w:rsidRPr="00BB7375">
        <w:rPr>
          <w:rFonts w:ascii="Arial" w:hAnsi="Arial" w:cs="Arial"/>
          <w:sz w:val="24"/>
          <w:szCs w:val="24"/>
        </w:rPr>
        <w:t xml:space="preserve"> According to this perspective, evaluations must be conducted individually rather than in groups, which can make affirmative action regulations more complicated.</w:t>
      </w:r>
    </w:p>
    <w:p w14:paraId="5DED92A5"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the case of </w:t>
      </w:r>
      <w:r w:rsidRPr="00BB7375">
        <w:rPr>
          <w:rFonts w:ascii="Arial" w:hAnsi="Arial" w:cs="Arial"/>
          <w:i/>
          <w:iCs/>
          <w:sz w:val="24"/>
          <w:szCs w:val="24"/>
        </w:rPr>
        <w:t>Durban Metropolitan Council (Parks Department) v SAMWU</w:t>
      </w:r>
      <w:r w:rsidRPr="00BB7375">
        <w:rPr>
          <w:rFonts w:ascii="Arial" w:hAnsi="Arial" w:cs="Arial"/>
          <w:sz w:val="24"/>
          <w:szCs w:val="24"/>
        </w:rPr>
        <w:t>,</w:t>
      </w:r>
      <w:r w:rsidRPr="00BB7375">
        <w:rPr>
          <w:rFonts w:ascii="Arial" w:hAnsi="Arial" w:cs="Arial"/>
          <w:sz w:val="24"/>
          <w:szCs w:val="24"/>
          <w:vertAlign w:val="superscript"/>
        </w:rPr>
        <w:footnoteReference w:id="277"/>
      </w:r>
      <w:r w:rsidRPr="00BB7375">
        <w:rPr>
          <w:rFonts w:ascii="Arial" w:hAnsi="Arial" w:cs="Arial"/>
          <w:sz w:val="24"/>
          <w:szCs w:val="24"/>
        </w:rPr>
        <w:t xml:space="preserve"> an African was given a supervisory post instead of the grievant, a coloured man. The arbitrator pointed out that no specific class of disadvantaged individuals is </w:t>
      </w:r>
      <w:r w:rsidRPr="00BB7375">
        <w:rPr>
          <w:rFonts w:ascii="Arial" w:hAnsi="Arial" w:cs="Arial"/>
          <w:sz w:val="24"/>
          <w:szCs w:val="24"/>
        </w:rPr>
        <w:lastRenderedPageBreak/>
        <w:t xml:space="preserve">automatically given precedence under the applicable affirmative action program. Among the pertinent factors that should influence the choice were the position's requirements, the department's demographics, and the candidates' backgrounds and work histories. Therefore, affirmative action must be focused and detailed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be both successful and compliant with the law. Affirmative action practices must </w:t>
      </w:r>
      <w:proofErr w:type="gramStart"/>
      <w:r w:rsidRPr="00BB7375">
        <w:rPr>
          <w:rFonts w:ascii="Arial" w:hAnsi="Arial" w:cs="Arial"/>
          <w:sz w:val="24"/>
          <w:szCs w:val="24"/>
        </w:rPr>
        <w:t>take into account</w:t>
      </w:r>
      <w:proofErr w:type="gramEnd"/>
      <w:r w:rsidRPr="00BB7375">
        <w:rPr>
          <w:rFonts w:ascii="Arial" w:hAnsi="Arial" w:cs="Arial"/>
          <w:sz w:val="24"/>
          <w:szCs w:val="24"/>
        </w:rPr>
        <w:t xml:space="preserve"> the special requirements of historically underrepresented groups, according to section 15 of the </w:t>
      </w:r>
      <w:r w:rsidRPr="00BB7375">
        <w:rPr>
          <w:rFonts w:ascii="Arial" w:hAnsi="Arial" w:cs="Arial"/>
          <w:i/>
          <w:iCs/>
          <w:sz w:val="24"/>
          <w:szCs w:val="24"/>
        </w:rPr>
        <w:t>EEA</w:t>
      </w:r>
      <w:r w:rsidRPr="00BB7375">
        <w:rPr>
          <w:rFonts w:ascii="Arial" w:hAnsi="Arial" w:cs="Arial"/>
          <w:sz w:val="24"/>
          <w:szCs w:val="24"/>
        </w:rPr>
        <w:t xml:space="preserve">. Policies that are too broad run the risk of being ambiguous and giving rise to allegations of discriminatory treatment. Being specific guarantees that affirmative action is given to people who </w:t>
      </w:r>
      <w:proofErr w:type="gramStart"/>
      <w:r w:rsidRPr="00BB7375">
        <w:rPr>
          <w:rFonts w:ascii="Arial" w:hAnsi="Arial" w:cs="Arial"/>
          <w:sz w:val="24"/>
          <w:szCs w:val="24"/>
        </w:rPr>
        <w:t>actually need</w:t>
      </w:r>
      <w:proofErr w:type="gramEnd"/>
      <w:r w:rsidRPr="00BB7375">
        <w:rPr>
          <w:rFonts w:ascii="Arial" w:hAnsi="Arial" w:cs="Arial"/>
          <w:sz w:val="24"/>
          <w:szCs w:val="24"/>
        </w:rPr>
        <w:t xml:space="preserve"> it. </w:t>
      </w:r>
    </w:p>
    <w:p w14:paraId="7E1FB3A8"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w:t>
      </w:r>
      <w:proofErr w:type="spellStart"/>
      <w:r w:rsidRPr="00BB7375">
        <w:rPr>
          <w:rFonts w:ascii="Arial" w:hAnsi="Arial" w:cs="Arial"/>
          <w:i/>
          <w:iCs/>
          <w:sz w:val="24"/>
          <w:szCs w:val="24"/>
        </w:rPr>
        <w:t>Stoman</w:t>
      </w:r>
      <w:proofErr w:type="spellEnd"/>
      <w:r w:rsidRPr="00BB7375">
        <w:rPr>
          <w:rFonts w:ascii="Arial" w:hAnsi="Arial" w:cs="Arial"/>
          <w:i/>
          <w:iCs/>
          <w:sz w:val="24"/>
          <w:szCs w:val="24"/>
        </w:rPr>
        <w:t xml:space="preserve"> v Minister of Safety &amp; Security</w:t>
      </w:r>
      <w:r w:rsidRPr="00BB7375">
        <w:rPr>
          <w:rFonts w:ascii="Arial" w:hAnsi="Arial" w:cs="Arial"/>
          <w:sz w:val="24"/>
          <w:szCs w:val="24"/>
        </w:rPr>
        <w:t>,</w:t>
      </w:r>
      <w:r w:rsidRPr="00BB7375">
        <w:rPr>
          <w:rFonts w:ascii="Arial" w:hAnsi="Arial" w:cs="Arial"/>
          <w:sz w:val="24"/>
          <w:szCs w:val="24"/>
          <w:vertAlign w:val="superscript"/>
        </w:rPr>
        <w:footnoteReference w:id="278"/>
      </w:r>
      <w:r w:rsidRPr="00BB7375">
        <w:rPr>
          <w:rFonts w:ascii="Arial" w:hAnsi="Arial" w:cs="Arial"/>
          <w:sz w:val="24"/>
          <w:szCs w:val="24"/>
        </w:rPr>
        <w:t xml:space="preserve"> the Court acknowledged that in some circumstances a balance must be found between representation and effectiveness in the ruling by Van der Westhuizen J. Efficiency and equality are frequently related, the judge reiterated and should not be viewed as mutually exclusive ideas. Therefore, applying affirmative action policies should not be limited to situations in which candidates possess the same credentials or </w:t>
      </w:r>
      <w:proofErr w:type="gramStart"/>
      <w:r w:rsidRPr="00BB7375">
        <w:rPr>
          <w:rFonts w:ascii="Arial" w:hAnsi="Arial" w:cs="Arial"/>
          <w:sz w:val="24"/>
          <w:szCs w:val="24"/>
        </w:rPr>
        <w:t>merits</w:t>
      </w:r>
      <w:proofErr w:type="gramEnd"/>
      <w:r w:rsidRPr="00BB7375">
        <w:rPr>
          <w:rFonts w:ascii="Arial" w:hAnsi="Arial" w:cs="Arial"/>
          <w:sz w:val="24"/>
          <w:szCs w:val="24"/>
        </w:rPr>
        <w:t xml:space="preserve"> and that equality must be a top priority when making decisions in a society that has just recovered from a history of unjust discrimination. However, the rationality principle nevertheless remains true, though, and it is inexcusable to assign people to significant positions who lack the necessary qualifications. The Labour Court made clear in </w:t>
      </w:r>
      <w:r w:rsidRPr="00BB7375">
        <w:rPr>
          <w:rFonts w:ascii="Arial" w:hAnsi="Arial" w:cs="Arial"/>
          <w:i/>
          <w:iCs/>
          <w:sz w:val="24"/>
          <w:szCs w:val="24"/>
        </w:rPr>
        <w:t>Fourie v Provincial Commissioner of SA Police Service</w:t>
      </w:r>
      <w:r w:rsidRPr="00BB7375">
        <w:rPr>
          <w:rFonts w:ascii="Arial" w:hAnsi="Arial" w:cs="Arial"/>
          <w:sz w:val="24"/>
          <w:szCs w:val="24"/>
        </w:rPr>
        <w:t> that it is impossible to determine the degree of disadvantage in a vacuum. Rather, it needs to consider the historical background of South Africa, and the disparities brought forth by the past.</w:t>
      </w:r>
      <w:r w:rsidRPr="00BB7375">
        <w:rPr>
          <w:rFonts w:ascii="Arial" w:hAnsi="Arial" w:cs="Arial"/>
          <w:sz w:val="24"/>
          <w:szCs w:val="24"/>
          <w:vertAlign w:val="superscript"/>
        </w:rPr>
        <w:footnoteReference w:id="279"/>
      </w:r>
      <w:r w:rsidRPr="00BB7375">
        <w:rPr>
          <w:rFonts w:ascii="Arial" w:hAnsi="Arial" w:cs="Arial"/>
          <w:sz w:val="24"/>
          <w:szCs w:val="24"/>
        </w:rPr>
        <w:t xml:space="preserve"> The Court demonstrated in </w:t>
      </w:r>
      <w:r w:rsidRPr="00BB7375">
        <w:rPr>
          <w:rFonts w:ascii="Arial" w:hAnsi="Arial" w:cs="Arial"/>
          <w:i/>
          <w:iCs/>
          <w:sz w:val="24"/>
          <w:szCs w:val="24"/>
        </w:rPr>
        <w:t>City Council of Pretoria v. Walker</w:t>
      </w:r>
      <w:r w:rsidRPr="00BB7375">
        <w:rPr>
          <w:rFonts w:ascii="Arial" w:hAnsi="Arial" w:cs="Arial"/>
          <w:i/>
          <w:iCs/>
          <w:sz w:val="24"/>
          <w:szCs w:val="24"/>
          <w:vertAlign w:val="superscript"/>
        </w:rPr>
        <w:footnoteReference w:id="280"/>
      </w:r>
      <w:r w:rsidRPr="00BB7375">
        <w:rPr>
          <w:rFonts w:ascii="Arial" w:hAnsi="Arial" w:cs="Arial"/>
          <w:sz w:val="24"/>
          <w:szCs w:val="24"/>
        </w:rPr>
        <w:t xml:space="preserve"> that affirmative action policies should not be implemented arbitrarily but rather must be carefully crafted to address identified inequalities prevalent in specific employment environments. This case reaffirmed the notion that designated groups, and specific goals should be the </w:t>
      </w:r>
      <w:proofErr w:type="gramStart"/>
      <w:r w:rsidRPr="00BB7375">
        <w:rPr>
          <w:rFonts w:ascii="Arial" w:hAnsi="Arial" w:cs="Arial"/>
          <w:sz w:val="24"/>
          <w:szCs w:val="24"/>
        </w:rPr>
        <w:t>main focus</w:t>
      </w:r>
      <w:proofErr w:type="gramEnd"/>
      <w:r w:rsidRPr="00BB7375">
        <w:rPr>
          <w:rFonts w:ascii="Arial" w:hAnsi="Arial" w:cs="Arial"/>
          <w:sz w:val="24"/>
          <w:szCs w:val="24"/>
        </w:rPr>
        <w:t xml:space="preserve"> of affirmative action laws. By being precise, these actions prevent needless exclusions and preserve a direct link to addressing detected disparities. </w:t>
      </w:r>
    </w:p>
    <w:p w14:paraId="213C2D91" w14:textId="49E69FD7" w:rsidR="00BB7375" w:rsidRPr="00BB7375" w:rsidRDefault="00A726E2" w:rsidP="00872D2D">
      <w:pPr>
        <w:pStyle w:val="Subtitle"/>
        <w:numPr>
          <w:ilvl w:val="0"/>
          <w:numId w:val="0"/>
        </w:numPr>
        <w:ind w:left="1701" w:hanging="907"/>
      </w:pPr>
      <w:bookmarkStart w:id="169" w:name="_Toc189739339"/>
      <w:r>
        <w:t>3</w:t>
      </w:r>
      <w:r w:rsidR="00BB7375" w:rsidRPr="00BB7375">
        <w:t>.4.1.2 Prioritizing South African citizens in affirmative action measures</w:t>
      </w:r>
      <w:bookmarkEnd w:id="169"/>
    </w:p>
    <w:p w14:paraId="1CACDF2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 xml:space="preserve">The Constitutional Court emphasized in </w:t>
      </w:r>
      <w:r w:rsidRPr="00BB7375">
        <w:rPr>
          <w:rFonts w:ascii="Arial" w:hAnsi="Arial" w:cs="Arial"/>
          <w:i/>
          <w:iCs/>
          <w:sz w:val="24"/>
          <w:szCs w:val="24"/>
        </w:rPr>
        <w:t>Solidarity obo Barnard v SAPS</w:t>
      </w:r>
      <w:r w:rsidRPr="00BB7375">
        <w:rPr>
          <w:rFonts w:ascii="Arial" w:hAnsi="Arial" w:cs="Arial"/>
          <w:sz w:val="24"/>
          <w:szCs w:val="24"/>
        </w:rPr>
        <w:t xml:space="preserve"> that affirmative action is a fundamental principle that needs to be customized to rectify </w:t>
      </w:r>
      <w:proofErr w:type="gramStart"/>
      <w:r w:rsidRPr="00BB7375">
        <w:rPr>
          <w:rFonts w:ascii="Arial" w:hAnsi="Arial" w:cs="Arial"/>
          <w:sz w:val="24"/>
          <w:szCs w:val="24"/>
        </w:rPr>
        <w:t>particular historical</w:t>
      </w:r>
      <w:proofErr w:type="gramEnd"/>
      <w:r w:rsidRPr="00BB7375">
        <w:rPr>
          <w:rFonts w:ascii="Arial" w:hAnsi="Arial" w:cs="Arial"/>
          <w:sz w:val="24"/>
          <w:szCs w:val="24"/>
        </w:rPr>
        <w:t xml:space="preserve"> injustices.</w:t>
      </w:r>
      <w:r w:rsidRPr="00BB7375">
        <w:rPr>
          <w:rFonts w:ascii="Arial" w:hAnsi="Arial" w:cs="Arial"/>
          <w:sz w:val="24"/>
          <w:szCs w:val="24"/>
          <w:vertAlign w:val="superscript"/>
        </w:rPr>
        <w:footnoteReference w:id="281"/>
      </w:r>
      <w:r w:rsidRPr="00BB7375">
        <w:rPr>
          <w:rFonts w:ascii="Arial" w:hAnsi="Arial" w:cs="Arial"/>
          <w:sz w:val="24"/>
          <w:szCs w:val="24"/>
        </w:rPr>
        <w:t xml:space="preserve"> This case supported the idea that AA is only constitutionally permissible inasmuch as it confronts long-standing patterns of inequality resulting from South Africa's distinct socio-political history, even though it did not directly involve non-citizens. Therefore, the goal of the policies and the advantages meant for permanent residents may be undermined if non-citizens are included, particularly those who have not been affected by the legacy of apartheid.</w:t>
      </w:r>
    </w:p>
    <w:p w14:paraId="2EF8CB75"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question of whether a Black person who was not a citizen of South Africa could derive benefit from affirmative action initiatives, was considered by the court in </w:t>
      </w:r>
      <w:r w:rsidRPr="00BB7375">
        <w:rPr>
          <w:rFonts w:ascii="Arial" w:hAnsi="Arial" w:cs="Arial"/>
          <w:i/>
          <w:iCs/>
          <w:sz w:val="24"/>
          <w:szCs w:val="24"/>
        </w:rPr>
        <w:t>Thomas auf der Heyde v University of Cape Town</w:t>
      </w:r>
      <w:r w:rsidRPr="00BB7375">
        <w:rPr>
          <w:rFonts w:ascii="Arial" w:hAnsi="Arial" w:cs="Arial"/>
          <w:sz w:val="24"/>
          <w:szCs w:val="24"/>
        </w:rPr>
        <w:t>.</w:t>
      </w:r>
      <w:r w:rsidRPr="00BB7375">
        <w:rPr>
          <w:rFonts w:ascii="Arial" w:hAnsi="Arial" w:cs="Arial"/>
          <w:sz w:val="24"/>
          <w:szCs w:val="24"/>
          <w:vertAlign w:val="superscript"/>
        </w:rPr>
        <w:footnoteReference w:id="282"/>
      </w:r>
      <w:r w:rsidRPr="00BB7375">
        <w:rPr>
          <w:rFonts w:ascii="Arial" w:hAnsi="Arial" w:cs="Arial"/>
          <w:sz w:val="24"/>
          <w:szCs w:val="24"/>
        </w:rPr>
        <w:t xml:space="preserve"> The court upheld the proposition that South Africa's unique historical background of systemic discrimination is the foundation of affirmative action, as envisioned by the country's </w:t>
      </w:r>
      <w:r w:rsidRPr="00BB7375">
        <w:rPr>
          <w:rFonts w:ascii="Arial" w:hAnsi="Arial" w:cs="Arial"/>
          <w:i/>
          <w:iCs/>
          <w:sz w:val="24"/>
          <w:szCs w:val="24"/>
        </w:rPr>
        <w:t>Constitution</w:t>
      </w:r>
      <w:r w:rsidRPr="00BB7375">
        <w:rPr>
          <w:rFonts w:ascii="Arial" w:hAnsi="Arial" w:cs="Arial"/>
          <w:sz w:val="24"/>
          <w:szCs w:val="24"/>
        </w:rPr>
        <w:t xml:space="preserve"> and previously governed by the </w:t>
      </w:r>
      <w:r w:rsidRPr="00BB7375">
        <w:rPr>
          <w:rFonts w:ascii="Arial" w:hAnsi="Arial" w:cs="Arial"/>
          <w:i/>
          <w:iCs/>
          <w:sz w:val="24"/>
          <w:szCs w:val="24"/>
        </w:rPr>
        <w:t>Labour Relations Act</w:t>
      </w:r>
      <w:r w:rsidRPr="00BB7375">
        <w:rPr>
          <w:rFonts w:ascii="Arial" w:hAnsi="Arial" w:cs="Arial"/>
          <w:sz w:val="24"/>
          <w:szCs w:val="24"/>
        </w:rPr>
        <w:t xml:space="preserve"> prior to the passage of the </w:t>
      </w:r>
      <w:r w:rsidRPr="00BB7375">
        <w:rPr>
          <w:rFonts w:ascii="Arial" w:hAnsi="Arial" w:cs="Arial"/>
          <w:i/>
          <w:iCs/>
          <w:sz w:val="24"/>
          <w:szCs w:val="24"/>
        </w:rPr>
        <w:t>Employment Equity Act</w:t>
      </w:r>
      <w:r w:rsidRPr="00BB7375">
        <w:rPr>
          <w:rFonts w:ascii="Arial" w:hAnsi="Arial" w:cs="Arial"/>
          <w:sz w:val="24"/>
          <w:szCs w:val="24"/>
        </w:rPr>
        <w:t>.</w:t>
      </w:r>
      <w:r w:rsidRPr="00BB7375">
        <w:rPr>
          <w:rFonts w:ascii="Arial" w:hAnsi="Arial" w:cs="Arial"/>
          <w:sz w:val="24"/>
          <w:szCs w:val="24"/>
          <w:vertAlign w:val="superscript"/>
        </w:rPr>
        <w:footnoteReference w:id="283"/>
      </w:r>
      <w:r w:rsidRPr="00BB7375">
        <w:rPr>
          <w:rFonts w:ascii="Arial" w:hAnsi="Arial" w:cs="Arial"/>
          <w:sz w:val="24"/>
          <w:szCs w:val="24"/>
        </w:rPr>
        <w:t xml:space="preserve"> The legacy of patriarchy and apartheid, which directly and significantly disadvantaged certain populations in South Africa, was intended to be addressed by affirmative action policies. In other words, nationality is a limiting condition that is "fundamental and justifiable."</w:t>
      </w:r>
      <w:r w:rsidRPr="00BB7375">
        <w:rPr>
          <w:rFonts w:ascii="Arial" w:hAnsi="Arial" w:cs="Arial"/>
          <w:sz w:val="24"/>
          <w:szCs w:val="24"/>
          <w:vertAlign w:val="superscript"/>
        </w:rPr>
        <w:footnoteReference w:id="284"/>
      </w:r>
      <w:r w:rsidRPr="00BB7375">
        <w:rPr>
          <w:rFonts w:ascii="Arial" w:hAnsi="Arial" w:cs="Arial"/>
          <w:sz w:val="24"/>
          <w:szCs w:val="24"/>
        </w:rPr>
        <w:t xml:space="preserve"> </w:t>
      </w:r>
    </w:p>
    <w:p w14:paraId="19A21283"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An employer's employment equity numerical goals cannot include foreign Black people from anywhere in the world, as the Labour Minister has clarified.</w:t>
      </w:r>
      <w:r w:rsidRPr="00BB7375">
        <w:rPr>
          <w:rFonts w:ascii="Arial" w:hAnsi="Arial" w:cs="Arial"/>
          <w:sz w:val="24"/>
          <w:szCs w:val="24"/>
          <w:vertAlign w:val="superscript"/>
        </w:rPr>
        <w:footnoteReference w:id="285"/>
      </w:r>
      <w:r w:rsidRPr="00BB7375">
        <w:rPr>
          <w:rFonts w:ascii="Arial" w:hAnsi="Arial" w:cs="Arial"/>
          <w:sz w:val="24"/>
          <w:szCs w:val="24"/>
        </w:rPr>
        <w:t xml:space="preserve"> This is in line with the </w:t>
      </w:r>
      <w:r w:rsidRPr="00BB7375">
        <w:rPr>
          <w:rFonts w:ascii="Arial" w:hAnsi="Arial" w:cs="Arial"/>
          <w:i/>
          <w:iCs/>
          <w:sz w:val="24"/>
          <w:szCs w:val="24"/>
        </w:rPr>
        <w:t>Employment Equity Act's</w:t>
      </w:r>
      <w:r w:rsidRPr="00BB7375">
        <w:rPr>
          <w:rFonts w:ascii="Arial" w:hAnsi="Arial" w:cs="Arial"/>
          <w:sz w:val="24"/>
          <w:szCs w:val="24"/>
        </w:rPr>
        <w:t xml:space="preserve"> goal of addressing the disadvantages that foreign Black workers would not have faced </w:t>
      </w:r>
      <w:proofErr w:type="gramStart"/>
      <w:r w:rsidRPr="00BB7375">
        <w:rPr>
          <w:rFonts w:ascii="Arial" w:hAnsi="Arial" w:cs="Arial"/>
          <w:sz w:val="24"/>
          <w:szCs w:val="24"/>
        </w:rPr>
        <w:t>as a result of</w:t>
      </w:r>
      <w:proofErr w:type="gramEnd"/>
      <w:r w:rsidRPr="00BB7375">
        <w:rPr>
          <w:rFonts w:ascii="Arial" w:hAnsi="Arial" w:cs="Arial"/>
          <w:sz w:val="24"/>
          <w:szCs w:val="24"/>
        </w:rPr>
        <w:t xml:space="preserve"> apartheid. However, the Minister added that as long as they possess legitimate work permits and are permitted to be in the country legally, foreigners cannot be denied employment solely because they are not citizens of South Africa.</w:t>
      </w:r>
      <w:r w:rsidRPr="00BB7375">
        <w:rPr>
          <w:rFonts w:ascii="Arial" w:hAnsi="Arial" w:cs="Arial"/>
          <w:sz w:val="24"/>
          <w:szCs w:val="24"/>
          <w:vertAlign w:val="superscript"/>
        </w:rPr>
        <w:footnoteReference w:id="286"/>
      </w:r>
      <w:r w:rsidRPr="00BB7375">
        <w:rPr>
          <w:rFonts w:ascii="Arial" w:hAnsi="Arial" w:cs="Arial"/>
          <w:sz w:val="24"/>
          <w:szCs w:val="24"/>
        </w:rPr>
        <w:t xml:space="preserve"> A comprehensive framework for governing the employment of foreign nationals in South Africa is provided by the </w:t>
      </w:r>
      <w:r w:rsidRPr="00BB7375">
        <w:rPr>
          <w:rFonts w:ascii="Arial" w:hAnsi="Arial" w:cs="Arial"/>
          <w:i/>
          <w:iCs/>
          <w:sz w:val="24"/>
          <w:szCs w:val="24"/>
        </w:rPr>
        <w:t>Immigration Act</w:t>
      </w:r>
      <w:r w:rsidRPr="00BB7375">
        <w:rPr>
          <w:rFonts w:ascii="Arial" w:hAnsi="Arial" w:cs="Arial"/>
          <w:sz w:val="24"/>
          <w:szCs w:val="24"/>
        </w:rPr>
        <w:t>.</w:t>
      </w:r>
      <w:r w:rsidRPr="00BB7375">
        <w:rPr>
          <w:rFonts w:ascii="Arial" w:hAnsi="Arial" w:cs="Arial"/>
          <w:sz w:val="24"/>
          <w:szCs w:val="24"/>
          <w:vertAlign w:val="superscript"/>
        </w:rPr>
        <w:footnoteReference w:id="287"/>
      </w:r>
      <w:r w:rsidRPr="00BB7375">
        <w:rPr>
          <w:rFonts w:ascii="Arial" w:hAnsi="Arial" w:cs="Arial"/>
          <w:sz w:val="24"/>
          <w:szCs w:val="24"/>
        </w:rPr>
        <w:t xml:space="preserve"> It states that foreign nationals who conform to certain categories determined by the Minister of Home Affairs are the only ones eligible to receive work permits for "quota" </w:t>
      </w:r>
      <w:r w:rsidRPr="00BB7375">
        <w:rPr>
          <w:rFonts w:ascii="Arial" w:hAnsi="Arial" w:cs="Arial"/>
          <w:sz w:val="24"/>
          <w:szCs w:val="24"/>
        </w:rPr>
        <w:lastRenderedPageBreak/>
        <w:t>positions.</w:t>
      </w:r>
      <w:r w:rsidRPr="00BB7375">
        <w:rPr>
          <w:rFonts w:ascii="Arial" w:hAnsi="Arial" w:cs="Arial"/>
          <w:sz w:val="24"/>
          <w:szCs w:val="24"/>
          <w:vertAlign w:val="superscript"/>
        </w:rPr>
        <w:footnoteReference w:id="288"/>
      </w:r>
      <w:r w:rsidRPr="00BB7375">
        <w:rPr>
          <w:rFonts w:ascii="Arial" w:hAnsi="Arial" w:cs="Arial"/>
          <w:sz w:val="24"/>
          <w:szCs w:val="24"/>
        </w:rPr>
        <w:t xml:space="preserve"> The Department of Home Affairs requires businesses to prove that, despite a thorough search, they were unable to locate a suitable South African applicant for the job in order to grant a "general" work permit.</w:t>
      </w:r>
      <w:r w:rsidRPr="00BB7375">
        <w:rPr>
          <w:rFonts w:ascii="Arial" w:hAnsi="Arial" w:cs="Arial"/>
          <w:sz w:val="24"/>
          <w:szCs w:val="24"/>
          <w:vertAlign w:val="superscript"/>
        </w:rPr>
        <w:footnoteReference w:id="289"/>
      </w:r>
      <w:r w:rsidRPr="00BB7375">
        <w:rPr>
          <w:rFonts w:ascii="Arial" w:hAnsi="Arial" w:cs="Arial"/>
          <w:sz w:val="24"/>
          <w:szCs w:val="24"/>
        </w:rPr>
        <w:t xml:space="preserve"> Permits for permanent residence may also only be issued if it can be demonstrated that no "suitably qualified" South African citizen or permanent resident was identified despite the job being advertised as required by law.</w:t>
      </w:r>
      <w:r w:rsidRPr="00BB7375">
        <w:rPr>
          <w:rFonts w:ascii="Arial" w:hAnsi="Arial" w:cs="Arial"/>
          <w:sz w:val="24"/>
          <w:szCs w:val="24"/>
          <w:vertAlign w:val="superscript"/>
        </w:rPr>
        <w:footnoteReference w:id="290"/>
      </w:r>
      <w:r w:rsidRPr="00BB7375">
        <w:rPr>
          <w:rFonts w:ascii="Arial" w:hAnsi="Arial" w:cs="Arial"/>
          <w:sz w:val="24"/>
          <w:szCs w:val="24"/>
        </w:rPr>
        <w:t xml:space="preserve"> Therefore, in order to be eligible, the foreign applicant must also have exceptional abilities or credentials.</w:t>
      </w:r>
      <w:r w:rsidRPr="00BB7375">
        <w:rPr>
          <w:rFonts w:ascii="Arial" w:hAnsi="Arial" w:cs="Arial"/>
          <w:sz w:val="24"/>
          <w:szCs w:val="24"/>
          <w:vertAlign w:val="superscript"/>
        </w:rPr>
        <w:footnoteReference w:id="291"/>
      </w:r>
      <w:r w:rsidRPr="00BB7375">
        <w:rPr>
          <w:rFonts w:ascii="Arial" w:hAnsi="Arial" w:cs="Arial"/>
          <w:sz w:val="24"/>
          <w:szCs w:val="24"/>
        </w:rPr>
        <w:t xml:space="preserve"> </w:t>
      </w:r>
    </w:p>
    <w:p w14:paraId="79ACD83E" w14:textId="16AB8CA8" w:rsidR="00BB7375" w:rsidRPr="00BB7375" w:rsidRDefault="00A726E2" w:rsidP="00872D2D">
      <w:pPr>
        <w:pStyle w:val="Subtitle"/>
        <w:numPr>
          <w:ilvl w:val="0"/>
          <w:numId w:val="0"/>
        </w:numPr>
        <w:ind w:left="1701" w:hanging="907"/>
      </w:pPr>
      <w:bookmarkStart w:id="171" w:name="_Toc189739340"/>
      <w:r>
        <w:t>3</w:t>
      </w:r>
      <w:r w:rsidR="00BB7375" w:rsidRPr="00BB7375">
        <w:t>.4.1.3 The importance of group membership over individual disadvantage in Affirmative Action</w:t>
      </w:r>
      <w:bookmarkEnd w:id="171"/>
    </w:p>
    <w:p w14:paraId="76F0CC9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Section 9(2) of the </w:t>
      </w:r>
      <w:r w:rsidRPr="00BB7375">
        <w:rPr>
          <w:rFonts w:ascii="Arial" w:hAnsi="Arial" w:cs="Arial"/>
          <w:i/>
          <w:iCs/>
          <w:sz w:val="24"/>
          <w:szCs w:val="24"/>
        </w:rPr>
        <w:t>Constitution</w:t>
      </w:r>
      <w:r w:rsidRPr="00BB7375">
        <w:rPr>
          <w:rFonts w:ascii="Arial" w:hAnsi="Arial" w:cs="Arial"/>
          <w:sz w:val="24"/>
          <w:szCs w:val="24"/>
        </w:rPr>
        <w:t xml:space="preserve"> established the affirmative action principle, which is essentially group-based and targets groups of people who have historically been disadvantaged by unjust discrimination. According to the court's ruling in Minister of </w:t>
      </w:r>
      <w:bookmarkStart w:id="172" w:name="_Hlk183745627"/>
      <w:r w:rsidRPr="00BB7375">
        <w:rPr>
          <w:rFonts w:ascii="Arial" w:hAnsi="Arial" w:cs="Arial"/>
          <w:i/>
          <w:iCs/>
          <w:sz w:val="24"/>
          <w:szCs w:val="24"/>
        </w:rPr>
        <w:t>Finance v Van Heerden</w:t>
      </w:r>
      <w:bookmarkEnd w:id="172"/>
      <w:r w:rsidRPr="00BB7375">
        <w:rPr>
          <w:rFonts w:ascii="Arial" w:hAnsi="Arial" w:cs="Arial"/>
          <w:sz w:val="24"/>
          <w:szCs w:val="24"/>
        </w:rPr>
        <w:t>,</w:t>
      </w:r>
      <w:r w:rsidRPr="00BB7375">
        <w:rPr>
          <w:rFonts w:ascii="Arial" w:hAnsi="Arial" w:cs="Arial"/>
          <w:sz w:val="24"/>
          <w:szCs w:val="24"/>
          <w:vertAlign w:val="superscript"/>
        </w:rPr>
        <w:footnoteReference w:id="292"/>
      </w:r>
      <w:r w:rsidRPr="00BB7375">
        <w:rPr>
          <w:rFonts w:ascii="Arial" w:hAnsi="Arial" w:cs="Arial"/>
          <w:sz w:val="24"/>
          <w:szCs w:val="24"/>
        </w:rPr>
        <w:t xml:space="preserve"> affirmative action policies must benefit a class or group of people who have been harmed by prior discrimination, not just individuals acting alone. The distinction was made clear in the </w:t>
      </w:r>
      <w:r w:rsidRPr="00BB7375">
        <w:rPr>
          <w:rFonts w:ascii="Arial" w:hAnsi="Arial" w:cs="Arial"/>
          <w:i/>
          <w:iCs/>
          <w:sz w:val="24"/>
          <w:szCs w:val="24"/>
        </w:rPr>
        <w:t>Solidarity v Department of Correctional Services</w:t>
      </w:r>
      <w:r w:rsidRPr="00BB7375">
        <w:rPr>
          <w:rFonts w:ascii="Arial" w:hAnsi="Arial" w:cs="Arial"/>
          <w:sz w:val="24"/>
          <w:szCs w:val="24"/>
        </w:rPr>
        <w:t xml:space="preserve"> case,</w:t>
      </w:r>
      <w:r w:rsidRPr="00BB7375">
        <w:rPr>
          <w:rFonts w:ascii="Arial" w:hAnsi="Arial" w:cs="Arial"/>
          <w:sz w:val="24"/>
          <w:szCs w:val="24"/>
          <w:vertAlign w:val="superscript"/>
        </w:rPr>
        <w:footnoteReference w:id="293"/>
      </w:r>
      <w:r w:rsidRPr="00BB7375">
        <w:rPr>
          <w:rFonts w:ascii="Arial" w:hAnsi="Arial" w:cs="Arial"/>
          <w:sz w:val="24"/>
          <w:szCs w:val="24"/>
        </w:rPr>
        <w:t xml:space="preserve"> where according to the Court, employment equity plans must take into consideration both the general disadvantage faced by racial and gender groupings as well as the unique conditions of each group, such as differences in education or geography. Therefore, even while affirmative action is based on group disadvantage, policies shouldn't unjustly exclude members of the group who might have other, overlapping disadvantages.</w:t>
      </w:r>
    </w:p>
    <w:p w14:paraId="0EE69A40"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main issue in </w:t>
      </w:r>
      <w:r w:rsidRPr="00BB7375">
        <w:rPr>
          <w:rFonts w:ascii="Arial" w:hAnsi="Arial" w:cs="Arial"/>
          <w:i/>
          <w:iCs/>
          <w:sz w:val="24"/>
          <w:szCs w:val="24"/>
        </w:rPr>
        <w:t>Minister of Finance v Van Heerden</w:t>
      </w:r>
      <w:r w:rsidRPr="00BB7375">
        <w:rPr>
          <w:rFonts w:ascii="Arial" w:hAnsi="Arial" w:cs="Arial"/>
          <w:sz w:val="24"/>
          <w:szCs w:val="24"/>
        </w:rPr>
        <w:t xml:space="preserve"> was whether the goal of the redress program was to uplift and safeguard a marginalized population.</w:t>
      </w:r>
      <w:r w:rsidRPr="00BB7375">
        <w:rPr>
          <w:rFonts w:ascii="Arial" w:hAnsi="Arial" w:cs="Arial"/>
          <w:sz w:val="24"/>
          <w:szCs w:val="24"/>
          <w:vertAlign w:val="superscript"/>
        </w:rPr>
        <w:footnoteReference w:id="294"/>
      </w:r>
      <w:r w:rsidRPr="00BB7375">
        <w:rPr>
          <w:rFonts w:ascii="Arial" w:hAnsi="Arial" w:cs="Arial"/>
          <w:sz w:val="24"/>
          <w:szCs w:val="24"/>
        </w:rPr>
        <w:t xml:space="preserve"> According to section 9(2), the reparation measures chosen must be advantageous to a particular group or category. Section 9(2) provides for both personalized and group-based affirmative action measures, according to a thorough interpretation of its text. Affirmative action benefits are available to people who are not direct victims of unfair discrimination but who are members of a group that has been disadvantaged by it </w:t>
      </w:r>
      <w:r w:rsidRPr="00BB7375">
        <w:rPr>
          <w:rFonts w:ascii="Arial" w:hAnsi="Arial" w:cs="Arial"/>
          <w:sz w:val="24"/>
          <w:szCs w:val="24"/>
        </w:rPr>
        <w:lastRenderedPageBreak/>
        <w:t>because it explicitly refers to "persons or categories of persons disadvantaged by unfair discrimination."</w:t>
      </w:r>
      <w:r w:rsidRPr="00BB7375">
        <w:rPr>
          <w:rFonts w:ascii="Arial" w:hAnsi="Arial" w:cs="Arial"/>
          <w:sz w:val="24"/>
          <w:szCs w:val="24"/>
          <w:vertAlign w:val="superscript"/>
        </w:rPr>
        <w:footnoteReference w:id="295"/>
      </w:r>
      <w:r w:rsidRPr="00BB7375">
        <w:rPr>
          <w:rFonts w:ascii="Arial" w:hAnsi="Arial" w:cs="Arial"/>
          <w:sz w:val="24"/>
          <w:szCs w:val="24"/>
        </w:rPr>
        <w:t xml:space="preserve"> Such actions serve a purpose specifically authorized by section 9(2) so long as they may be claimed, in this context, to address the disadvantages that the specific group experienced. </w:t>
      </w:r>
    </w:p>
    <w:p w14:paraId="3FB83C6D" w14:textId="7F99C89A" w:rsidR="00BB7375" w:rsidRPr="00BB7375" w:rsidRDefault="00A726E2" w:rsidP="00872D2D">
      <w:pPr>
        <w:pStyle w:val="Subtitle"/>
        <w:numPr>
          <w:ilvl w:val="0"/>
          <w:numId w:val="0"/>
        </w:numPr>
        <w:ind w:left="792"/>
      </w:pPr>
      <w:bookmarkStart w:id="173" w:name="_Toc189739341"/>
      <w:r>
        <w:t>3</w:t>
      </w:r>
      <w:r w:rsidR="00BB7375" w:rsidRPr="00BB7375">
        <w:t>.4.1.4 Group preference based on greater inequality</w:t>
      </w:r>
      <w:bookmarkEnd w:id="173"/>
    </w:p>
    <w:p w14:paraId="19F2FDC3"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Because of historical inequity, the Constitutional Court considered whether one group might be given preference over another in employment equity measures. The Court underlined in </w:t>
      </w:r>
      <w:r w:rsidRPr="00BB7375">
        <w:rPr>
          <w:rFonts w:ascii="Arial" w:hAnsi="Arial" w:cs="Arial"/>
          <w:i/>
          <w:iCs/>
          <w:sz w:val="24"/>
          <w:szCs w:val="24"/>
        </w:rPr>
        <w:t>Solidarity v Department of Correctional Services</w:t>
      </w:r>
      <w:r w:rsidRPr="00BB7375">
        <w:rPr>
          <w:rFonts w:ascii="Arial" w:hAnsi="Arial" w:cs="Arial"/>
          <w:sz w:val="24"/>
          <w:szCs w:val="24"/>
        </w:rPr>
        <w:t xml:space="preserve"> that affirmative action must be consistent with the </w:t>
      </w:r>
      <w:r w:rsidRPr="00BB7375">
        <w:rPr>
          <w:rFonts w:ascii="Arial" w:hAnsi="Arial" w:cs="Arial"/>
          <w:i/>
          <w:iCs/>
          <w:sz w:val="24"/>
          <w:szCs w:val="24"/>
        </w:rPr>
        <w:t>EEA</w:t>
      </w:r>
      <w:r w:rsidRPr="00BB7375">
        <w:rPr>
          <w:rFonts w:ascii="Arial" w:hAnsi="Arial" w:cs="Arial"/>
          <w:sz w:val="24"/>
          <w:szCs w:val="24"/>
        </w:rPr>
        <w:t xml:space="preserve"> and constitutional principles of substantive equality, striking a balance between redressing historical disadvantages and preventing undue harm to excluded groups. According to the Court, affirmative action policies must be created to promote substantive equality and be inclusive of all historically underrepresented groups in accordance with section 9(2) of the </w:t>
      </w:r>
      <w:r w:rsidRPr="00BB7375">
        <w:rPr>
          <w:rFonts w:ascii="Arial" w:hAnsi="Arial" w:cs="Arial"/>
          <w:i/>
          <w:iCs/>
          <w:sz w:val="24"/>
          <w:szCs w:val="24"/>
        </w:rPr>
        <w:t>Constitution</w:t>
      </w:r>
      <w:r w:rsidRPr="00BB7375">
        <w:rPr>
          <w:rFonts w:ascii="Arial" w:hAnsi="Arial" w:cs="Arial"/>
          <w:sz w:val="24"/>
          <w:szCs w:val="24"/>
        </w:rPr>
        <w:t xml:space="preserve"> and the </w:t>
      </w:r>
      <w:r w:rsidRPr="00BB7375">
        <w:rPr>
          <w:rFonts w:ascii="Arial" w:hAnsi="Arial" w:cs="Arial"/>
          <w:i/>
          <w:iCs/>
          <w:sz w:val="24"/>
          <w:szCs w:val="24"/>
        </w:rPr>
        <w:t>EEA</w:t>
      </w:r>
      <w:r w:rsidRPr="00BB7375">
        <w:rPr>
          <w:rFonts w:ascii="Arial" w:hAnsi="Arial" w:cs="Arial"/>
          <w:sz w:val="24"/>
          <w:szCs w:val="24"/>
        </w:rPr>
        <w:t>.</w:t>
      </w:r>
      <w:r w:rsidRPr="00BB7375">
        <w:rPr>
          <w:rFonts w:ascii="Arial" w:hAnsi="Arial" w:cs="Arial"/>
          <w:sz w:val="24"/>
          <w:szCs w:val="24"/>
          <w:vertAlign w:val="superscript"/>
        </w:rPr>
        <w:footnoteReference w:id="296"/>
      </w:r>
      <w:r w:rsidRPr="00BB7375">
        <w:rPr>
          <w:rFonts w:ascii="Arial" w:hAnsi="Arial" w:cs="Arial"/>
          <w:sz w:val="24"/>
          <w:szCs w:val="24"/>
        </w:rPr>
        <w:t xml:space="preserve"> It underlined that strict quotas that ignore contextual considerations or unfairly penalize excluded individuals are not acceptable outcomes of equitable initiatives.</w:t>
      </w:r>
      <w:r w:rsidRPr="00BB7375">
        <w:rPr>
          <w:rFonts w:ascii="Arial" w:hAnsi="Arial" w:cs="Arial"/>
          <w:sz w:val="24"/>
          <w:szCs w:val="24"/>
          <w:vertAlign w:val="superscript"/>
        </w:rPr>
        <w:footnoteReference w:id="297"/>
      </w:r>
      <w:r w:rsidRPr="00BB7375">
        <w:rPr>
          <w:rFonts w:ascii="Arial" w:hAnsi="Arial" w:cs="Arial"/>
          <w:sz w:val="24"/>
          <w:szCs w:val="24"/>
        </w:rPr>
        <w:t xml:space="preserve"> The Court dismissed the claim that historically underprivileged communities should always be given preference over the most disadvantaged group. Rather, it stressed that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guarantee that all designated groups benefit fairly, attaining a widely representative workforce requires striking a balance between national and regional demography.</w:t>
      </w:r>
      <w:r w:rsidRPr="00BB7375">
        <w:rPr>
          <w:rFonts w:ascii="Arial" w:hAnsi="Arial" w:cs="Arial"/>
          <w:sz w:val="24"/>
          <w:szCs w:val="24"/>
          <w:vertAlign w:val="superscript"/>
        </w:rPr>
        <w:footnoteReference w:id="298"/>
      </w:r>
      <w:r w:rsidRPr="00BB7375">
        <w:rPr>
          <w:rFonts w:ascii="Arial" w:hAnsi="Arial" w:cs="Arial"/>
          <w:sz w:val="24"/>
          <w:szCs w:val="24"/>
        </w:rPr>
        <w:t xml:space="preserve"> Affirmative action must serve substantive equality and be applied flexibly, including against members of designated groups if their representation is already enough, according to the </w:t>
      </w:r>
      <w:r w:rsidRPr="00BB7375">
        <w:rPr>
          <w:rFonts w:ascii="Arial" w:hAnsi="Arial" w:cs="Arial"/>
          <w:i/>
          <w:iCs/>
          <w:sz w:val="24"/>
          <w:szCs w:val="24"/>
        </w:rPr>
        <w:t>Barnard</w:t>
      </w:r>
      <w:r w:rsidRPr="00BB7375">
        <w:rPr>
          <w:rFonts w:ascii="Arial" w:hAnsi="Arial" w:cs="Arial"/>
          <w:sz w:val="24"/>
          <w:szCs w:val="24"/>
        </w:rPr>
        <w:t xml:space="preserve"> principle, which was also applied.</w:t>
      </w:r>
      <w:r w:rsidRPr="00BB7375">
        <w:rPr>
          <w:rFonts w:ascii="Arial" w:hAnsi="Arial" w:cs="Arial"/>
          <w:sz w:val="24"/>
          <w:szCs w:val="24"/>
          <w:vertAlign w:val="superscript"/>
        </w:rPr>
        <w:footnoteReference w:id="299"/>
      </w:r>
      <w:r w:rsidRPr="00BB7375">
        <w:rPr>
          <w:rFonts w:ascii="Arial" w:hAnsi="Arial" w:cs="Arial"/>
          <w:sz w:val="24"/>
          <w:szCs w:val="24"/>
        </w:rPr>
        <w:t xml:space="preserve"> </w:t>
      </w:r>
    </w:p>
    <w:p w14:paraId="3C547A6C" w14:textId="3F90B43B"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Furthermore, whether an employer might rightfully distinguish and/or give preference to subgroups within designated groups under the </w:t>
      </w:r>
      <w:r w:rsidRPr="00BB7375">
        <w:rPr>
          <w:rFonts w:ascii="Arial" w:hAnsi="Arial" w:cs="Arial"/>
          <w:i/>
          <w:iCs/>
          <w:sz w:val="24"/>
          <w:szCs w:val="24"/>
        </w:rPr>
        <w:t>EEA</w:t>
      </w:r>
      <w:r w:rsidRPr="00BB7375">
        <w:rPr>
          <w:rFonts w:ascii="Arial" w:hAnsi="Arial" w:cs="Arial"/>
          <w:sz w:val="24"/>
          <w:szCs w:val="24"/>
        </w:rPr>
        <w:t xml:space="preserve"> based on their current levels of representation was at the root of the </w:t>
      </w:r>
      <w:r w:rsidRPr="00BB7375">
        <w:rPr>
          <w:rFonts w:ascii="Arial" w:hAnsi="Arial" w:cs="Arial"/>
          <w:i/>
          <w:iCs/>
          <w:sz w:val="24"/>
          <w:szCs w:val="24"/>
        </w:rPr>
        <w:t xml:space="preserve">Solidarity on behalf of </w:t>
      </w:r>
      <w:proofErr w:type="spellStart"/>
      <w:r w:rsidRPr="00BB7375">
        <w:rPr>
          <w:rFonts w:ascii="Arial" w:hAnsi="Arial" w:cs="Arial"/>
          <w:i/>
          <w:iCs/>
          <w:sz w:val="24"/>
          <w:szCs w:val="24"/>
        </w:rPr>
        <w:t>Christiaans</w:t>
      </w:r>
      <w:proofErr w:type="spellEnd"/>
      <w:r w:rsidRPr="00BB7375">
        <w:rPr>
          <w:rFonts w:ascii="Arial" w:hAnsi="Arial" w:cs="Arial"/>
          <w:i/>
          <w:iCs/>
          <w:sz w:val="24"/>
          <w:szCs w:val="24"/>
        </w:rPr>
        <w:t xml:space="preserve"> v Eskom Holdings Ltd</w:t>
      </w:r>
      <w:r w:rsidRPr="00BB7375">
        <w:rPr>
          <w:rFonts w:ascii="Arial" w:hAnsi="Arial" w:cs="Arial"/>
          <w:sz w:val="24"/>
          <w:szCs w:val="24"/>
        </w:rPr>
        <w:t>.</w:t>
      </w:r>
      <w:r w:rsidRPr="00BB7375">
        <w:rPr>
          <w:rFonts w:ascii="Arial" w:hAnsi="Arial" w:cs="Arial"/>
          <w:sz w:val="24"/>
          <w:szCs w:val="24"/>
          <w:vertAlign w:val="superscript"/>
        </w:rPr>
        <w:footnoteReference w:id="300"/>
      </w:r>
      <w:r w:rsidRPr="00BB7375">
        <w:rPr>
          <w:rFonts w:ascii="Arial" w:hAnsi="Arial" w:cs="Arial"/>
          <w:sz w:val="24"/>
          <w:szCs w:val="24"/>
        </w:rPr>
        <w:t xml:space="preserve"> In accordance with both constitutional and statutory affirmative action principles, the arbitrator </w:t>
      </w:r>
      <w:r w:rsidR="00E3073F">
        <w:rPr>
          <w:rFonts w:ascii="Arial" w:hAnsi="Arial" w:cs="Arial"/>
          <w:sz w:val="24"/>
          <w:szCs w:val="24"/>
        </w:rPr>
        <w:t>upheld</w:t>
      </w:r>
      <w:r w:rsidRPr="00BB7375">
        <w:rPr>
          <w:rFonts w:ascii="Arial" w:hAnsi="Arial" w:cs="Arial"/>
          <w:sz w:val="24"/>
          <w:szCs w:val="24"/>
        </w:rPr>
        <w:t xml:space="preserve"> Eskom's choice to nominate an African male (Mashigo) </w:t>
      </w:r>
      <w:r w:rsidRPr="00BB7375">
        <w:rPr>
          <w:rFonts w:ascii="Arial" w:hAnsi="Arial" w:cs="Arial"/>
          <w:sz w:val="24"/>
          <w:szCs w:val="24"/>
        </w:rPr>
        <w:lastRenderedPageBreak/>
        <w:t>rather than a Coloured male (</w:t>
      </w:r>
      <w:proofErr w:type="spellStart"/>
      <w:r w:rsidRPr="00BB7375">
        <w:rPr>
          <w:rFonts w:ascii="Arial" w:hAnsi="Arial" w:cs="Arial"/>
          <w:sz w:val="24"/>
          <w:szCs w:val="24"/>
        </w:rPr>
        <w:t>Christiaans</w:t>
      </w:r>
      <w:proofErr w:type="spellEnd"/>
      <w:r w:rsidRPr="00BB7375">
        <w:rPr>
          <w:rFonts w:ascii="Arial" w:hAnsi="Arial" w:cs="Arial"/>
          <w:sz w:val="24"/>
          <w:szCs w:val="24"/>
        </w:rPr>
        <w:t xml:space="preserve">). Eskom maintained that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correct imbalances and advance equitable representation in accordance with the EE Plan, differentiation between subgroups of the designated groups was required.</w:t>
      </w:r>
      <w:r w:rsidRPr="00BB7375">
        <w:rPr>
          <w:rFonts w:ascii="Arial" w:hAnsi="Arial" w:cs="Arial"/>
          <w:sz w:val="24"/>
          <w:szCs w:val="24"/>
          <w:vertAlign w:val="superscript"/>
        </w:rPr>
        <w:footnoteReference w:id="301"/>
      </w:r>
      <w:r w:rsidRPr="00BB7375">
        <w:rPr>
          <w:rFonts w:ascii="Arial" w:hAnsi="Arial" w:cs="Arial"/>
          <w:sz w:val="24"/>
          <w:szCs w:val="24"/>
        </w:rPr>
        <w:t xml:space="preserve"> Section 42 of the </w:t>
      </w:r>
      <w:r w:rsidRPr="00BB7375">
        <w:rPr>
          <w:rFonts w:ascii="Arial" w:hAnsi="Arial" w:cs="Arial"/>
          <w:i/>
          <w:iCs/>
          <w:sz w:val="24"/>
          <w:szCs w:val="24"/>
        </w:rPr>
        <w:t>EEA</w:t>
      </w:r>
      <w:r w:rsidRPr="00BB7375">
        <w:rPr>
          <w:rFonts w:ascii="Arial" w:hAnsi="Arial" w:cs="Arial"/>
          <w:sz w:val="24"/>
          <w:szCs w:val="24"/>
        </w:rPr>
        <w:t xml:space="preserve">, which expressly requires taking into account the demographic makeup of subgroups, backed this strategy. Although both Mashigo, an African male, and </w:t>
      </w:r>
      <w:proofErr w:type="spellStart"/>
      <w:r w:rsidRPr="00BB7375">
        <w:rPr>
          <w:rFonts w:ascii="Arial" w:hAnsi="Arial" w:cs="Arial"/>
          <w:sz w:val="24"/>
          <w:szCs w:val="24"/>
        </w:rPr>
        <w:t>Christiaans</w:t>
      </w:r>
      <w:proofErr w:type="spellEnd"/>
      <w:r w:rsidRPr="00BB7375">
        <w:rPr>
          <w:rFonts w:ascii="Arial" w:hAnsi="Arial" w:cs="Arial"/>
          <w:sz w:val="24"/>
          <w:szCs w:val="24"/>
        </w:rPr>
        <w:t xml:space="preserve">, a </w:t>
      </w:r>
      <w:r w:rsidR="00E3073F" w:rsidRPr="00BB7375">
        <w:rPr>
          <w:rFonts w:ascii="Arial" w:hAnsi="Arial" w:cs="Arial"/>
          <w:sz w:val="24"/>
          <w:szCs w:val="24"/>
        </w:rPr>
        <w:t>Coloured</w:t>
      </w:r>
      <w:r w:rsidRPr="00BB7375">
        <w:rPr>
          <w:rFonts w:ascii="Arial" w:hAnsi="Arial" w:cs="Arial"/>
          <w:sz w:val="24"/>
          <w:szCs w:val="24"/>
        </w:rPr>
        <w:t xml:space="preserve"> male, were members of designated categories, the arbitrator concluded that Eskom had a right to give preference to the African male candidate because of the severe underrepresentation of African men in the relevant occupational level.</w:t>
      </w:r>
      <w:r w:rsidRPr="00BB7375">
        <w:rPr>
          <w:rFonts w:ascii="Arial" w:hAnsi="Arial" w:cs="Arial"/>
          <w:sz w:val="24"/>
          <w:szCs w:val="24"/>
          <w:vertAlign w:val="superscript"/>
        </w:rPr>
        <w:footnoteReference w:id="302"/>
      </w:r>
      <w:r w:rsidRPr="00BB7375">
        <w:rPr>
          <w:rFonts w:ascii="Arial" w:hAnsi="Arial" w:cs="Arial"/>
          <w:sz w:val="24"/>
          <w:szCs w:val="24"/>
        </w:rPr>
        <w:t xml:space="preserve"> Although both groups were generally underrepresented at the period, male Africans made up only 3.33% of the relevant band's workforce, while male </w:t>
      </w:r>
      <w:r w:rsidR="00E3073F" w:rsidRPr="00BB7375">
        <w:rPr>
          <w:rFonts w:ascii="Arial" w:hAnsi="Arial" w:cs="Arial"/>
          <w:sz w:val="24"/>
          <w:szCs w:val="24"/>
        </w:rPr>
        <w:t>Coloured’s</w:t>
      </w:r>
      <w:r w:rsidRPr="00BB7375">
        <w:rPr>
          <w:rFonts w:ascii="Arial" w:hAnsi="Arial" w:cs="Arial"/>
          <w:sz w:val="24"/>
          <w:szCs w:val="24"/>
        </w:rPr>
        <w:t xml:space="preserve"> made up 24.44%. Both decisions show that, under the </w:t>
      </w:r>
      <w:r w:rsidRPr="00BB7375">
        <w:rPr>
          <w:rFonts w:ascii="Arial" w:hAnsi="Arial" w:cs="Arial"/>
          <w:i/>
          <w:iCs/>
          <w:sz w:val="24"/>
          <w:szCs w:val="24"/>
        </w:rPr>
        <w:t>EEA</w:t>
      </w:r>
      <w:r w:rsidRPr="00BB7375">
        <w:rPr>
          <w:rFonts w:ascii="Arial" w:hAnsi="Arial" w:cs="Arial"/>
          <w:sz w:val="24"/>
          <w:szCs w:val="24"/>
        </w:rPr>
        <w:t>, differences within designated groups can be morally and legally justifiable when backed by instances of uneven representation.</w:t>
      </w:r>
    </w:p>
    <w:p w14:paraId="0FE95B14" w14:textId="3F66F3C3" w:rsidR="00BB7375" w:rsidRPr="00BB7375" w:rsidRDefault="00A726E2" w:rsidP="00872D2D">
      <w:pPr>
        <w:pStyle w:val="Subtitle"/>
        <w:numPr>
          <w:ilvl w:val="0"/>
          <w:numId w:val="0"/>
        </w:numPr>
        <w:ind w:left="1701" w:hanging="907"/>
      </w:pPr>
      <w:bookmarkStart w:id="175" w:name="_Toc189739342"/>
      <w:r>
        <w:t>3</w:t>
      </w:r>
      <w:r w:rsidR="00BB7375" w:rsidRPr="00BB7375">
        <w:t>.4.1.4 Determining whether only full-time permanent employees should be favoured</w:t>
      </w:r>
      <w:bookmarkEnd w:id="175"/>
    </w:p>
    <w:p w14:paraId="6E7715CA" w14:textId="22646066"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According to section 1, all employees, including temporary and part-time workers, are covered by the </w:t>
      </w:r>
      <w:r w:rsidRPr="00BB7375">
        <w:rPr>
          <w:rFonts w:ascii="Arial" w:hAnsi="Arial" w:cs="Arial"/>
          <w:i/>
          <w:iCs/>
          <w:sz w:val="24"/>
          <w:szCs w:val="24"/>
        </w:rPr>
        <w:t>EEA</w:t>
      </w:r>
      <w:r w:rsidRPr="00BB7375">
        <w:rPr>
          <w:rFonts w:ascii="Arial" w:hAnsi="Arial" w:cs="Arial"/>
          <w:sz w:val="24"/>
          <w:szCs w:val="24"/>
        </w:rPr>
        <w:t xml:space="preserve">. To guarantee that part-time workers receive the same treatment as their full-time colleagues, the </w:t>
      </w:r>
      <w:r w:rsidRPr="00BB7375">
        <w:rPr>
          <w:rFonts w:ascii="Arial" w:hAnsi="Arial" w:cs="Arial"/>
          <w:i/>
          <w:iCs/>
          <w:sz w:val="24"/>
          <w:szCs w:val="24"/>
        </w:rPr>
        <w:t>Labour Relations Amendment Act</w:t>
      </w:r>
      <w:r w:rsidRPr="00BB7375">
        <w:rPr>
          <w:rFonts w:ascii="Arial" w:hAnsi="Arial" w:cs="Arial"/>
          <w:sz w:val="24"/>
          <w:szCs w:val="24"/>
        </w:rPr>
        <w:t xml:space="preserve"> specifies </w:t>
      </w:r>
      <w:proofErr w:type="gramStart"/>
      <w:r w:rsidRPr="00BB7375">
        <w:rPr>
          <w:rFonts w:ascii="Arial" w:hAnsi="Arial" w:cs="Arial"/>
          <w:sz w:val="24"/>
          <w:szCs w:val="24"/>
        </w:rPr>
        <w:t>a number of</w:t>
      </w:r>
      <w:proofErr w:type="gramEnd"/>
      <w:r w:rsidRPr="00BB7375">
        <w:rPr>
          <w:rFonts w:ascii="Arial" w:hAnsi="Arial" w:cs="Arial"/>
          <w:sz w:val="24"/>
          <w:szCs w:val="24"/>
        </w:rPr>
        <w:t xml:space="preserve"> conditions. Employers are mandated to treat part-time workers equally to full-time workers doing identical work, unless there is a valid reason why they should be treated differently.</w:t>
      </w:r>
      <w:r w:rsidRPr="00BB7375">
        <w:rPr>
          <w:rFonts w:ascii="Arial" w:hAnsi="Arial" w:cs="Arial"/>
          <w:sz w:val="24"/>
          <w:szCs w:val="24"/>
          <w:vertAlign w:val="superscript"/>
        </w:rPr>
        <w:footnoteReference w:id="303"/>
      </w:r>
      <w:r w:rsidRPr="00BB7375">
        <w:rPr>
          <w:rFonts w:ascii="Arial" w:hAnsi="Arial" w:cs="Arial"/>
          <w:sz w:val="24"/>
          <w:szCs w:val="24"/>
        </w:rPr>
        <w:t xml:space="preserve"> This includes things like equal access to training and the opportunity for advancement in skills, which must be given to part-time workers as much as full-time workers.</w:t>
      </w:r>
      <w:r w:rsidRPr="00BB7375">
        <w:rPr>
          <w:rFonts w:ascii="Arial" w:hAnsi="Arial" w:cs="Arial"/>
          <w:sz w:val="24"/>
          <w:szCs w:val="24"/>
          <w:vertAlign w:val="superscript"/>
        </w:rPr>
        <w:footnoteReference w:id="304"/>
      </w:r>
      <w:r w:rsidRPr="00BB7375">
        <w:rPr>
          <w:rFonts w:ascii="Arial" w:hAnsi="Arial" w:cs="Arial"/>
          <w:sz w:val="24"/>
          <w:szCs w:val="24"/>
        </w:rPr>
        <w:t xml:space="preserve"> Additionally, employers must guarantee that part-time workers have the same opportunity to apply for vacant positions that full-time workers have.</w:t>
      </w:r>
      <w:r w:rsidRPr="00BB7375">
        <w:rPr>
          <w:rFonts w:ascii="Arial" w:hAnsi="Arial" w:cs="Arial"/>
          <w:sz w:val="24"/>
          <w:szCs w:val="24"/>
          <w:vertAlign w:val="superscript"/>
        </w:rPr>
        <w:footnoteReference w:id="305"/>
      </w:r>
      <w:r w:rsidRPr="00BB7375">
        <w:rPr>
          <w:rFonts w:ascii="Arial" w:hAnsi="Arial" w:cs="Arial"/>
          <w:sz w:val="24"/>
          <w:szCs w:val="24"/>
        </w:rPr>
        <w:t xml:space="preserve"> These initiatives are intended to rectify any potential injustices while recognizing the unique contributions made by part-time employees in the workplace. The </w:t>
      </w:r>
      <w:r w:rsidRPr="00BB7375">
        <w:rPr>
          <w:rFonts w:ascii="Arial" w:hAnsi="Arial" w:cs="Arial"/>
          <w:i/>
          <w:iCs/>
          <w:sz w:val="24"/>
          <w:szCs w:val="24"/>
        </w:rPr>
        <w:t>LRA</w:t>
      </w:r>
      <w:r w:rsidRPr="00BB7375">
        <w:rPr>
          <w:rFonts w:ascii="Arial" w:hAnsi="Arial" w:cs="Arial"/>
          <w:sz w:val="24"/>
          <w:szCs w:val="24"/>
        </w:rPr>
        <w:t> outlines the factors that may be used to determine reasonable variations in treatment. These consist of elements like seniority, experience, or duration of employment; merit; the calibre or volume of work completed; or other comparable standards.</w:t>
      </w:r>
      <w:r w:rsidRPr="00BB7375">
        <w:rPr>
          <w:rFonts w:ascii="Arial" w:hAnsi="Arial" w:cs="Arial"/>
          <w:sz w:val="24"/>
          <w:szCs w:val="24"/>
          <w:vertAlign w:val="superscript"/>
        </w:rPr>
        <w:footnoteReference w:id="306"/>
      </w:r>
      <w:r w:rsidRPr="00BB7375">
        <w:rPr>
          <w:rFonts w:ascii="Arial" w:hAnsi="Arial" w:cs="Arial"/>
          <w:sz w:val="24"/>
          <w:szCs w:val="24"/>
        </w:rPr>
        <w:t xml:space="preserve"> These </w:t>
      </w:r>
      <w:r w:rsidRPr="00BB7375">
        <w:rPr>
          <w:rFonts w:ascii="Arial" w:hAnsi="Arial" w:cs="Arial"/>
          <w:sz w:val="24"/>
          <w:szCs w:val="24"/>
        </w:rPr>
        <w:lastRenderedPageBreak/>
        <w:t xml:space="preserve">justifications shall not, however, conflict with the prohibition of discrimination clauses outlined in section 6(1) of the </w:t>
      </w:r>
      <w:r w:rsidRPr="00BB7375">
        <w:rPr>
          <w:rFonts w:ascii="Arial" w:hAnsi="Arial" w:cs="Arial"/>
          <w:i/>
          <w:iCs/>
          <w:sz w:val="24"/>
          <w:szCs w:val="24"/>
        </w:rPr>
        <w:t>EEA</w:t>
      </w:r>
      <w:r w:rsidRPr="00BB7375">
        <w:rPr>
          <w:rFonts w:ascii="Arial" w:hAnsi="Arial" w:cs="Arial"/>
          <w:sz w:val="24"/>
          <w:szCs w:val="24"/>
        </w:rPr>
        <w:t>.</w:t>
      </w:r>
      <w:r w:rsidRPr="00BB7375">
        <w:rPr>
          <w:rFonts w:ascii="Arial" w:hAnsi="Arial" w:cs="Arial"/>
          <w:sz w:val="24"/>
          <w:szCs w:val="24"/>
          <w:vertAlign w:val="superscript"/>
        </w:rPr>
        <w:footnoteReference w:id="307"/>
      </w:r>
      <w:r w:rsidRPr="00BB7375">
        <w:rPr>
          <w:rFonts w:ascii="Arial" w:hAnsi="Arial" w:cs="Arial"/>
          <w:sz w:val="24"/>
          <w:szCs w:val="24"/>
        </w:rPr>
        <w:t xml:space="preserve"> Therefore, this legal framework guarantees that any differential treatment is reasonable, equitable, and free from discrimination.</w:t>
      </w:r>
      <w:r w:rsidRPr="00BB7375">
        <w:rPr>
          <w:rFonts w:ascii="Times New Roman" w:eastAsia="Times New Roman" w:hAnsi="Times New Roman" w:cs="Times New Roman"/>
          <w:kern w:val="0"/>
          <w:sz w:val="24"/>
          <w:szCs w:val="24"/>
          <w:lang w:eastAsia="en-ZA"/>
          <w14:ligatures w14:val="none"/>
        </w:rPr>
        <w:t xml:space="preserve"> </w:t>
      </w:r>
      <w:r w:rsidRPr="00BB7375">
        <w:rPr>
          <w:rFonts w:ascii="Arial" w:hAnsi="Arial" w:cs="Arial"/>
          <w:sz w:val="24"/>
          <w:szCs w:val="24"/>
        </w:rPr>
        <w:t>Affirmative action policies should not result in unwarranted differences across employee categories, according to the Code of Good Practice on Equal Pay for Work of Equal Value.</w:t>
      </w:r>
      <w:r w:rsidRPr="00BB7375">
        <w:rPr>
          <w:rFonts w:ascii="Arial" w:hAnsi="Arial" w:cs="Arial"/>
          <w:sz w:val="24"/>
          <w:szCs w:val="24"/>
          <w:vertAlign w:val="superscript"/>
        </w:rPr>
        <w:footnoteReference w:id="308"/>
      </w:r>
      <w:r w:rsidRPr="00BB7375">
        <w:rPr>
          <w:rFonts w:ascii="Arial" w:hAnsi="Arial" w:cs="Arial"/>
          <w:sz w:val="24"/>
          <w:szCs w:val="24"/>
        </w:rPr>
        <w:t xml:space="preserve"> Disparities in treatment must be justified by objective standards, such as the nature of the task or the job's intrinsic requirements.</w:t>
      </w:r>
    </w:p>
    <w:p w14:paraId="698BDAF8" w14:textId="4FC44975" w:rsidR="00BB7375" w:rsidRPr="00BB7375" w:rsidRDefault="00A726E2" w:rsidP="00872D2D">
      <w:pPr>
        <w:pStyle w:val="Heading2"/>
        <w:ind w:left="360"/>
      </w:pPr>
      <w:bookmarkStart w:id="176" w:name="_Toc189739343"/>
      <w:r>
        <w:t>3</w:t>
      </w:r>
      <w:r w:rsidR="00BB7375" w:rsidRPr="00BB7375">
        <w:t>.4.2 The requirement of “suitably qualified”</w:t>
      </w:r>
      <w:bookmarkEnd w:id="176"/>
    </w:p>
    <w:p w14:paraId="355C4E3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Employers often face the difficulty of making sure the beneficiaries they choose possess the necessary abilities or, at the very least, have the capacity to learn them. Being competent is essential to avoiding tokenism, which is when people are put in positions more for representation rather than for making a significant contribution. According to section 15(1) of the </w:t>
      </w:r>
      <w:r w:rsidRPr="00BB7375">
        <w:rPr>
          <w:rFonts w:ascii="Arial" w:hAnsi="Arial" w:cs="Arial"/>
          <w:i/>
          <w:iCs/>
          <w:sz w:val="24"/>
          <w:szCs w:val="24"/>
        </w:rPr>
        <w:t>EEA</w:t>
      </w:r>
      <w:r w:rsidRPr="00BB7375">
        <w:rPr>
          <w:rFonts w:ascii="Arial" w:hAnsi="Arial" w:cs="Arial"/>
          <w:sz w:val="24"/>
          <w:szCs w:val="24"/>
        </w:rPr>
        <w:t xml:space="preserve">, affirmative action refers to policies and practices that are deemed legal and non-discriminatory because they are designed to ensure that qualified members of </w:t>
      </w:r>
      <w:proofErr w:type="gramStart"/>
      <w:r w:rsidRPr="00BB7375">
        <w:rPr>
          <w:rFonts w:ascii="Arial" w:hAnsi="Arial" w:cs="Arial"/>
          <w:sz w:val="24"/>
          <w:szCs w:val="24"/>
        </w:rPr>
        <w:t>particular groups</w:t>
      </w:r>
      <w:proofErr w:type="gramEnd"/>
      <w:r w:rsidRPr="00BB7375">
        <w:rPr>
          <w:rFonts w:ascii="Arial" w:hAnsi="Arial" w:cs="Arial"/>
          <w:sz w:val="24"/>
          <w:szCs w:val="24"/>
        </w:rPr>
        <w:t xml:space="preserve"> are given equal employment opportunities and are fairly represented in all occupational levels and categories within a particular employer's workforce. The definition of affirmative action makes it clear that there are prerequisites that must be investigated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gain a fundamental understanding of the concept.</w:t>
      </w:r>
    </w:p>
    <w:p w14:paraId="3131399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Section 20 defines the standards of eligibility for candidates from specific groups, ensuring that affirmative action is not only equitable but also merit-based and legally solid. Section 20(3) of the </w:t>
      </w:r>
      <w:r w:rsidRPr="00BB7375">
        <w:rPr>
          <w:rFonts w:ascii="Arial" w:hAnsi="Arial" w:cs="Arial"/>
          <w:i/>
          <w:iCs/>
          <w:sz w:val="24"/>
          <w:szCs w:val="24"/>
        </w:rPr>
        <w:t xml:space="preserve">EEA </w:t>
      </w:r>
      <w:r w:rsidRPr="00BB7375">
        <w:rPr>
          <w:rFonts w:ascii="Arial" w:hAnsi="Arial" w:cs="Arial"/>
          <w:sz w:val="24"/>
          <w:szCs w:val="24"/>
        </w:rPr>
        <w:t xml:space="preserve">requires that members of designated groups be "suitably qualified" to benefit from affirmative action measures. The Act establishes four criteria for determining whether an employee is suitably qualified being a) formal qualifications, b) prior learning, c) relevant experience and d) capacity to acquire ability. </w:t>
      </w:r>
    </w:p>
    <w:p w14:paraId="487B5D1A"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Sections 20(4) and 20(5) of the </w:t>
      </w:r>
      <w:r w:rsidRPr="00BB7375">
        <w:rPr>
          <w:rFonts w:ascii="Arial" w:hAnsi="Arial" w:cs="Arial"/>
          <w:i/>
          <w:iCs/>
          <w:sz w:val="24"/>
          <w:szCs w:val="24"/>
        </w:rPr>
        <w:t xml:space="preserve">EEA </w:t>
      </w:r>
      <w:r w:rsidRPr="00BB7375">
        <w:rPr>
          <w:rFonts w:ascii="Arial" w:hAnsi="Arial" w:cs="Arial"/>
          <w:sz w:val="24"/>
          <w:szCs w:val="24"/>
        </w:rPr>
        <w:t xml:space="preserve">provide additional guidance on how to apply affirmative action principles in a lawful manner. Section 20(4) requires an employer to review the above factors in section 20(3) when determining whether a person is suitably qualified for a particular job, and to further determine whether a person </w:t>
      </w:r>
      <w:proofErr w:type="gramStart"/>
      <w:r w:rsidRPr="00BB7375">
        <w:rPr>
          <w:rFonts w:ascii="Arial" w:hAnsi="Arial" w:cs="Arial"/>
          <w:sz w:val="24"/>
          <w:szCs w:val="24"/>
        </w:rPr>
        <w:t xml:space="preserve">has </w:t>
      </w:r>
      <w:r w:rsidRPr="00BB7375">
        <w:rPr>
          <w:rFonts w:ascii="Arial" w:hAnsi="Arial" w:cs="Arial"/>
          <w:sz w:val="24"/>
          <w:szCs w:val="24"/>
        </w:rPr>
        <w:lastRenderedPageBreak/>
        <w:t>the ability to</w:t>
      </w:r>
      <w:proofErr w:type="gramEnd"/>
      <w:r w:rsidRPr="00BB7375">
        <w:rPr>
          <w:rFonts w:ascii="Arial" w:hAnsi="Arial" w:cs="Arial"/>
          <w:sz w:val="24"/>
          <w:szCs w:val="24"/>
        </w:rPr>
        <w:t xml:space="preserve"> do the job in terms of one or more of the above factors. Section 20(5) also prohibits an employer from unreasonably discriminating against a potential candidate only because that individual lacks the necessary expertise. In </w:t>
      </w:r>
      <w:r w:rsidRPr="00BB7375">
        <w:rPr>
          <w:rFonts w:ascii="Arial" w:hAnsi="Arial" w:cs="Arial"/>
          <w:i/>
          <w:iCs/>
          <w:sz w:val="24"/>
          <w:szCs w:val="24"/>
        </w:rPr>
        <w:t>Minister of Finance and Others v Van Heerden,</w:t>
      </w:r>
      <w:r w:rsidRPr="00BB7375">
        <w:rPr>
          <w:rFonts w:ascii="Arial" w:hAnsi="Arial" w:cs="Arial"/>
          <w:i/>
          <w:iCs/>
          <w:sz w:val="24"/>
          <w:szCs w:val="24"/>
          <w:vertAlign w:val="superscript"/>
        </w:rPr>
        <w:footnoteReference w:id="309"/>
      </w:r>
      <w:r w:rsidRPr="00BB7375">
        <w:rPr>
          <w:rFonts w:ascii="Arial" w:hAnsi="Arial" w:cs="Arial"/>
          <w:sz w:val="24"/>
          <w:szCs w:val="24"/>
        </w:rPr>
        <w:t xml:space="preserve"> the Constitutional Court demonstrated that affirmative action should try to reconcile inequalities rather than creating new forms of exclusion and as such section 20(5) protects against exclusion by prohibiting employers from establishing overly strict qualification criteria that may disadvantage specific groups. Therefore, a designated group member who is sufficiently qualified may not be given the post if another candidate has qualifications that are directly related to urgent operational demands. However, if the selected candidate demonstrates the ability to learn these abilities, they may still be considered a fair choice under section 20(3). </w:t>
      </w:r>
    </w:p>
    <w:p w14:paraId="3FAF82F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Choosing candidates for affirmative action programs can be difficult for employers because they </w:t>
      </w:r>
      <w:proofErr w:type="gramStart"/>
      <w:r w:rsidRPr="00BB7375">
        <w:rPr>
          <w:rFonts w:ascii="Arial" w:hAnsi="Arial" w:cs="Arial"/>
          <w:sz w:val="24"/>
          <w:szCs w:val="24"/>
        </w:rPr>
        <w:t>have to</w:t>
      </w:r>
      <w:proofErr w:type="gramEnd"/>
      <w:r w:rsidRPr="00BB7375">
        <w:rPr>
          <w:rFonts w:ascii="Arial" w:hAnsi="Arial" w:cs="Arial"/>
          <w:sz w:val="24"/>
          <w:szCs w:val="24"/>
        </w:rPr>
        <w:t xml:space="preserve"> ensure that applicants have the capacity to acquire the skills needed for their positions in addition to complying with the minimum criteria. Such an obstacle is especially crucial for achieving a balance between diversity and making sure the chosen applicants are </w:t>
      </w:r>
      <w:proofErr w:type="gramStart"/>
      <w:r w:rsidRPr="00BB7375">
        <w:rPr>
          <w:rFonts w:ascii="Arial" w:hAnsi="Arial" w:cs="Arial"/>
          <w:sz w:val="24"/>
          <w:szCs w:val="24"/>
        </w:rPr>
        <w:t>actually qualified</w:t>
      </w:r>
      <w:proofErr w:type="gramEnd"/>
      <w:r w:rsidRPr="00BB7375">
        <w:rPr>
          <w:rFonts w:ascii="Arial" w:hAnsi="Arial" w:cs="Arial"/>
          <w:sz w:val="24"/>
          <w:szCs w:val="24"/>
        </w:rPr>
        <w:t xml:space="preserve"> for their positions. As a result, competence becomes crucial in preventing tokenism, which happens when people are hired simply to fulfil diversity requirements rather than because of their capacity to make significant contributions to the company. By emphasizing representation above all else and ignoring an individual's true performance in their position, tokenism compromises the goal of affirmative action. </w:t>
      </w:r>
    </w:p>
    <w:p w14:paraId="4B401360" w14:textId="7BB1959E" w:rsidR="00BB7375" w:rsidRPr="00BB7375" w:rsidRDefault="00A726E2" w:rsidP="00872D2D">
      <w:pPr>
        <w:pStyle w:val="Heading2"/>
        <w:ind w:left="360"/>
      </w:pPr>
      <w:bookmarkStart w:id="177" w:name="_Toc189739344"/>
      <w:r>
        <w:t>3</w:t>
      </w:r>
      <w:r w:rsidR="00872D2D">
        <w:t xml:space="preserve">.4.2 </w:t>
      </w:r>
      <w:r w:rsidR="00BB7375" w:rsidRPr="00BB7375">
        <w:t>Ensuring equitable representation</w:t>
      </w:r>
      <w:bookmarkEnd w:id="177"/>
    </w:p>
    <w:p w14:paraId="743414F3" w14:textId="4CD0447C" w:rsidR="00BB7375" w:rsidRPr="00BB7375" w:rsidRDefault="00A726E2" w:rsidP="00872D2D">
      <w:pPr>
        <w:pStyle w:val="Subtitle"/>
        <w:numPr>
          <w:ilvl w:val="0"/>
          <w:numId w:val="0"/>
        </w:numPr>
        <w:ind w:left="792"/>
      </w:pPr>
      <w:bookmarkStart w:id="178" w:name="_Toc189739345"/>
      <w:r>
        <w:t>3</w:t>
      </w:r>
      <w:r w:rsidR="00BB7375" w:rsidRPr="00BB7375">
        <w:t>.4.2.1 Determining equitable representation</w:t>
      </w:r>
      <w:bookmarkEnd w:id="178"/>
    </w:p>
    <w:p w14:paraId="0D14AEA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Constitutional Court outlined the three fundamental conditions that an affirmative action policy must fulfil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comply with the constitutional standards set forth in section 9(2) of the Constitution in the </w:t>
      </w:r>
      <w:r w:rsidRPr="00BB7375">
        <w:rPr>
          <w:rFonts w:ascii="Arial" w:hAnsi="Arial" w:cs="Arial"/>
          <w:i/>
          <w:iCs/>
          <w:sz w:val="24"/>
          <w:szCs w:val="24"/>
        </w:rPr>
        <w:t>Van Heerden</w:t>
      </w:r>
      <w:r w:rsidRPr="00BB7375">
        <w:rPr>
          <w:rFonts w:ascii="Arial" w:hAnsi="Arial" w:cs="Arial"/>
          <w:sz w:val="24"/>
          <w:szCs w:val="24"/>
        </w:rPr>
        <w:t xml:space="preserve"> case,</w:t>
      </w:r>
      <w:r w:rsidRPr="00BB7375">
        <w:rPr>
          <w:rFonts w:ascii="Arial" w:hAnsi="Arial" w:cs="Arial"/>
          <w:sz w:val="24"/>
          <w:szCs w:val="24"/>
          <w:vertAlign w:val="superscript"/>
        </w:rPr>
        <w:footnoteReference w:id="310"/>
      </w:r>
      <w:r w:rsidRPr="00BB7375">
        <w:rPr>
          <w:rFonts w:ascii="Arial" w:hAnsi="Arial" w:cs="Arial"/>
          <w:sz w:val="24"/>
          <w:szCs w:val="24"/>
        </w:rPr>
        <w:t xml:space="preserve"> in a ruling written by Justice Moseneke. First, the measure needs to focus on people or groups of people who have suffered because of unjust discrimination. By doing this, affirmative action programs are certain to focus on correcting past injustices that </w:t>
      </w:r>
      <w:proofErr w:type="gramStart"/>
      <w:r w:rsidRPr="00BB7375">
        <w:rPr>
          <w:rFonts w:ascii="Arial" w:hAnsi="Arial" w:cs="Arial"/>
          <w:sz w:val="24"/>
          <w:szCs w:val="24"/>
        </w:rPr>
        <w:t>particular communities</w:t>
      </w:r>
      <w:proofErr w:type="gramEnd"/>
      <w:r w:rsidRPr="00BB7375">
        <w:rPr>
          <w:rFonts w:ascii="Arial" w:hAnsi="Arial" w:cs="Arial"/>
          <w:sz w:val="24"/>
          <w:szCs w:val="24"/>
        </w:rPr>
        <w:t xml:space="preserve"> have faced. Second, the measure needs to be devised to safeguard or benefit the </w:t>
      </w:r>
      <w:r w:rsidRPr="00BB7375">
        <w:rPr>
          <w:rFonts w:ascii="Arial" w:hAnsi="Arial" w:cs="Arial"/>
          <w:sz w:val="24"/>
          <w:szCs w:val="24"/>
        </w:rPr>
        <w:lastRenderedPageBreak/>
        <w:t xml:space="preserve">designated people or groups. This emphasizes how affirmative action policies must actively employ tactics to increase underrepresented groups' representation or opportunity in addition to identifying them. Thirdly, the measure needs to promote the attainment of equality. By establishing a fair and inclusive environment for everyone, this last requirement guarantees that the measure's </w:t>
      </w:r>
      <w:proofErr w:type="gramStart"/>
      <w:r w:rsidRPr="00BB7375">
        <w:rPr>
          <w:rFonts w:ascii="Arial" w:hAnsi="Arial" w:cs="Arial"/>
          <w:sz w:val="24"/>
          <w:szCs w:val="24"/>
        </w:rPr>
        <w:t>ultimate goal</w:t>
      </w:r>
      <w:proofErr w:type="gramEnd"/>
      <w:r w:rsidRPr="00BB7375">
        <w:rPr>
          <w:rFonts w:ascii="Arial" w:hAnsi="Arial" w:cs="Arial"/>
          <w:sz w:val="24"/>
          <w:szCs w:val="24"/>
        </w:rPr>
        <w:t xml:space="preserve"> is to bring society closer to substantive equality. Section 9(2) uses all three of these factors as an outline for evaluating the legality and accuracy of restitutive interventions.</w:t>
      </w:r>
    </w:p>
    <w:p w14:paraId="6D7C362B" w14:textId="7061B0B5" w:rsidR="00BB7375" w:rsidRPr="00BB7375" w:rsidRDefault="00A726E2" w:rsidP="00872D2D">
      <w:pPr>
        <w:pStyle w:val="Subtitle"/>
        <w:numPr>
          <w:ilvl w:val="0"/>
          <w:numId w:val="0"/>
        </w:numPr>
        <w:ind w:left="792"/>
      </w:pPr>
      <w:bookmarkStart w:id="179" w:name="_Toc189739346"/>
      <w:r>
        <w:t>3</w:t>
      </w:r>
      <w:r w:rsidR="00BB7375" w:rsidRPr="00BB7375">
        <w:t>.4.2.2 Determining whether temporary barriers are permissible</w:t>
      </w:r>
      <w:bookmarkEnd w:id="179"/>
    </w:p>
    <w:p w14:paraId="51370E1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Furthermore, an employer cannot erect obstacles that prevent members of non-designated groups from being hired or promoted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fulfil affirmative action objectives. This would go against the fairness criterion, which mandates employers weigh the rights of all workers, including those from non-designated groups, against their affirmative action responsibilities. In </w:t>
      </w:r>
      <w:r w:rsidRPr="00BB7375">
        <w:rPr>
          <w:rFonts w:ascii="Arial" w:hAnsi="Arial" w:cs="Arial"/>
          <w:i/>
          <w:iCs/>
          <w:sz w:val="24"/>
          <w:szCs w:val="24"/>
        </w:rPr>
        <w:t>Van Zyl v Department of Labour</w:t>
      </w:r>
      <w:r w:rsidRPr="00BB7375">
        <w:rPr>
          <w:rFonts w:ascii="Arial" w:hAnsi="Arial" w:cs="Arial"/>
          <w:sz w:val="24"/>
          <w:szCs w:val="24"/>
        </w:rPr>
        <w:t xml:space="preserve">, the court examined whether affirmative action could be used to enhance the number of Black employees in defined job categories by firing a member of a non-designated group in this case, a white woman. Whether an employee belongs to a designated or non-designated group, the </w:t>
      </w:r>
      <w:r w:rsidRPr="00BB7375">
        <w:rPr>
          <w:rFonts w:ascii="Arial" w:hAnsi="Arial" w:cs="Arial"/>
          <w:i/>
          <w:iCs/>
          <w:sz w:val="24"/>
          <w:szCs w:val="24"/>
        </w:rPr>
        <w:t>EEA</w:t>
      </w:r>
      <w:r w:rsidRPr="00BB7375">
        <w:rPr>
          <w:rFonts w:ascii="Arial" w:hAnsi="Arial" w:cs="Arial"/>
          <w:sz w:val="24"/>
          <w:szCs w:val="24"/>
        </w:rPr>
        <w:t xml:space="preserve"> states that any decision to terminate or prejudice them must fulfil the Act's fairness criteria.</w:t>
      </w:r>
      <w:r w:rsidRPr="00BB7375">
        <w:rPr>
          <w:rFonts w:ascii="Arial" w:hAnsi="Arial" w:cs="Arial"/>
          <w:sz w:val="24"/>
          <w:szCs w:val="24"/>
          <w:vertAlign w:val="superscript"/>
        </w:rPr>
        <w:footnoteReference w:id="311"/>
      </w:r>
      <w:r w:rsidRPr="00BB7375">
        <w:rPr>
          <w:rFonts w:ascii="Arial" w:hAnsi="Arial" w:cs="Arial"/>
          <w:sz w:val="24"/>
          <w:szCs w:val="24"/>
        </w:rPr>
        <w:t xml:space="preserve"> The decision must be both procedurally and substantively fair, meaning it must adhere to the proper procedures and be founded on legitimate and justifiable grounds. In the </w:t>
      </w:r>
      <w:r w:rsidRPr="00BB7375">
        <w:rPr>
          <w:rFonts w:ascii="Arial" w:hAnsi="Arial" w:cs="Arial"/>
          <w:i/>
          <w:iCs/>
          <w:sz w:val="24"/>
          <w:szCs w:val="24"/>
        </w:rPr>
        <w:t>Van Zyl</w:t>
      </w:r>
      <w:r w:rsidRPr="00BB7375">
        <w:rPr>
          <w:rFonts w:ascii="Arial" w:hAnsi="Arial" w:cs="Arial"/>
          <w:sz w:val="24"/>
          <w:szCs w:val="24"/>
        </w:rPr>
        <w:t xml:space="preserve"> case, the court determined that firing an employee for no other reason than to achieve racial representation goals and without considering the worker's performance, qualifications, or unique circumstances was against the fairness requirement. </w:t>
      </w:r>
    </w:p>
    <w:p w14:paraId="4824C64C"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However, the Constitutional Court recognized in </w:t>
      </w:r>
      <w:r w:rsidRPr="00BB7375">
        <w:rPr>
          <w:rFonts w:ascii="Arial" w:hAnsi="Arial" w:cs="Arial"/>
          <w:i/>
          <w:iCs/>
          <w:sz w:val="24"/>
          <w:szCs w:val="24"/>
        </w:rPr>
        <w:t>Van Heerden v Minister of Finance</w:t>
      </w:r>
      <w:r w:rsidRPr="00BB7375">
        <w:rPr>
          <w:rFonts w:ascii="Arial" w:hAnsi="Arial" w:cs="Arial"/>
          <w:sz w:val="24"/>
          <w:szCs w:val="24"/>
        </w:rPr>
        <w:t xml:space="preserve"> that transformational actions intended to achieve substantive equality may unavoidably result in temporary obstacles that negatively impact members of formerly privileged communities. The court stressed that </w:t>
      </w:r>
      <w:proofErr w:type="gramStart"/>
      <w:r w:rsidRPr="00BB7375">
        <w:rPr>
          <w:rFonts w:ascii="Arial" w:hAnsi="Arial" w:cs="Arial"/>
          <w:sz w:val="24"/>
          <w:szCs w:val="24"/>
        </w:rPr>
        <w:t>as long as</w:t>
      </w:r>
      <w:proofErr w:type="gramEnd"/>
      <w:r w:rsidRPr="00BB7375">
        <w:rPr>
          <w:rFonts w:ascii="Arial" w:hAnsi="Arial" w:cs="Arial"/>
          <w:sz w:val="24"/>
          <w:szCs w:val="24"/>
        </w:rPr>
        <w:t xml:space="preserve"> such actions are logically related to their goal and satisfy the conditions of section 9(2) of the </w:t>
      </w:r>
      <w:r w:rsidRPr="00BB7375">
        <w:rPr>
          <w:rFonts w:ascii="Arial" w:hAnsi="Arial" w:cs="Arial"/>
          <w:i/>
          <w:iCs/>
          <w:sz w:val="24"/>
          <w:szCs w:val="24"/>
        </w:rPr>
        <w:t>Constitution</w:t>
      </w:r>
      <w:r w:rsidRPr="00BB7375">
        <w:rPr>
          <w:rFonts w:ascii="Arial" w:hAnsi="Arial" w:cs="Arial"/>
          <w:sz w:val="24"/>
          <w:szCs w:val="24"/>
        </w:rPr>
        <w:t xml:space="preserve">, they are constitutionally acceptable. The court specifically declared: "Some members of society will inevitably be adversely affected by the measures that bring about transformation, especially those coming from the previously advantaged </w:t>
      </w:r>
      <w:r w:rsidRPr="00BB7375">
        <w:rPr>
          <w:rFonts w:ascii="Arial" w:hAnsi="Arial" w:cs="Arial"/>
          <w:sz w:val="24"/>
          <w:szCs w:val="24"/>
        </w:rPr>
        <w:lastRenderedPageBreak/>
        <w:t>communities."</w:t>
      </w:r>
      <w:r w:rsidRPr="00BB7375">
        <w:rPr>
          <w:rFonts w:ascii="Arial" w:hAnsi="Arial" w:cs="Arial"/>
          <w:sz w:val="24"/>
          <w:szCs w:val="24"/>
          <w:vertAlign w:val="superscript"/>
        </w:rPr>
        <w:footnoteReference w:id="312"/>
      </w:r>
      <w:r w:rsidRPr="00BB7375">
        <w:rPr>
          <w:rFonts w:ascii="Arial" w:hAnsi="Arial" w:cs="Arial"/>
          <w:sz w:val="24"/>
          <w:szCs w:val="24"/>
        </w:rPr>
        <w:t xml:space="preserve"> This illustrates the understanding that attaining substantive equality necessitates a certain amount of short-term disadvantage for those who do not receive any benefit from restitutive measures. The court did clarify, though, that if the measures are intended to safeguard or advance a previously disadvantaged group and ultimately assist the attainment of substantive equality, then these disadvantages are not seen as unjust discrimination.</w:t>
      </w:r>
      <w:r w:rsidRPr="00BB7375">
        <w:rPr>
          <w:rFonts w:ascii="Arial" w:hAnsi="Arial" w:cs="Arial"/>
          <w:sz w:val="24"/>
          <w:szCs w:val="24"/>
          <w:vertAlign w:val="superscript"/>
        </w:rPr>
        <w:footnoteReference w:id="313"/>
      </w:r>
    </w:p>
    <w:p w14:paraId="13AB2E10" w14:textId="185B4341" w:rsidR="00BB7375" w:rsidRPr="00BB7375" w:rsidRDefault="00A726E2" w:rsidP="00872D2D">
      <w:pPr>
        <w:pStyle w:val="Subtitle"/>
        <w:numPr>
          <w:ilvl w:val="0"/>
          <w:numId w:val="0"/>
        </w:numPr>
        <w:ind w:left="792"/>
      </w:pPr>
      <w:bookmarkStart w:id="180" w:name="_Toc189739347"/>
      <w:r>
        <w:t>3</w:t>
      </w:r>
      <w:r w:rsidR="00BB7375" w:rsidRPr="00BB7375">
        <w:t>.4.2.3 Numerical goals versus quotas</w:t>
      </w:r>
      <w:bookmarkEnd w:id="180"/>
    </w:p>
    <w:p w14:paraId="2912C57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w:t>
      </w:r>
      <w:r w:rsidRPr="00BB7375">
        <w:rPr>
          <w:rFonts w:ascii="Arial" w:hAnsi="Arial" w:cs="Arial"/>
          <w:i/>
          <w:iCs/>
          <w:sz w:val="24"/>
          <w:szCs w:val="24"/>
        </w:rPr>
        <w:t>EEA</w:t>
      </w:r>
      <w:r w:rsidRPr="00BB7375">
        <w:rPr>
          <w:rFonts w:ascii="Arial" w:hAnsi="Arial" w:cs="Arial"/>
          <w:sz w:val="24"/>
          <w:szCs w:val="24"/>
        </w:rPr>
        <w:t xml:space="preserve"> expressly allows the use of numerical targets but forbids quotas in section 15(3). Employers might follow flexible standards known as numerical goals to help them achieve equal representation over time. They take operating requirements, geographical demographics, and the availability of applicants with the necessary qualifications into consideration. On the other hand, quotas enforce rigid and unchangeable criteria that may reject people based only on their demographic characteristics, which goes against the concept of fairness. Furthermore, while establishing targets, section 42(a) of the </w:t>
      </w:r>
      <w:r w:rsidRPr="00BB7375">
        <w:rPr>
          <w:rFonts w:ascii="Arial" w:hAnsi="Arial" w:cs="Arial"/>
          <w:i/>
          <w:iCs/>
          <w:sz w:val="24"/>
          <w:szCs w:val="24"/>
        </w:rPr>
        <w:t xml:space="preserve">EEA </w:t>
      </w:r>
      <w:r w:rsidRPr="00BB7375">
        <w:rPr>
          <w:rFonts w:ascii="Arial" w:hAnsi="Arial" w:cs="Arial"/>
          <w:sz w:val="24"/>
          <w:szCs w:val="24"/>
        </w:rPr>
        <w:t xml:space="preserve">highlights how crucial it is to </w:t>
      </w:r>
      <w:proofErr w:type="gramStart"/>
      <w:r w:rsidRPr="00BB7375">
        <w:rPr>
          <w:rFonts w:ascii="Arial" w:hAnsi="Arial" w:cs="Arial"/>
          <w:sz w:val="24"/>
          <w:szCs w:val="24"/>
        </w:rPr>
        <w:t>take into account</w:t>
      </w:r>
      <w:proofErr w:type="gramEnd"/>
      <w:r w:rsidRPr="00BB7375">
        <w:rPr>
          <w:rFonts w:ascii="Arial" w:hAnsi="Arial" w:cs="Arial"/>
          <w:sz w:val="24"/>
          <w:szCs w:val="24"/>
        </w:rPr>
        <w:t xml:space="preserve"> the demographic makeup of the national and regional economically active populations. This guarantees that affirmative action policies are based on contextual facts rather than strict, universal standards. </w:t>
      </w:r>
    </w:p>
    <w:p w14:paraId="502E8C7F"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w:t>
      </w:r>
      <w:r w:rsidRPr="00BB7375">
        <w:rPr>
          <w:rFonts w:ascii="Arial" w:hAnsi="Arial" w:cs="Arial"/>
          <w:i/>
          <w:iCs/>
          <w:sz w:val="24"/>
          <w:szCs w:val="24"/>
        </w:rPr>
        <w:t>Solidarity v Department of Correctional Services</w:t>
      </w:r>
      <w:r w:rsidRPr="00BB7375">
        <w:rPr>
          <w:rFonts w:ascii="Arial" w:hAnsi="Arial" w:cs="Arial"/>
          <w:sz w:val="24"/>
          <w:szCs w:val="24"/>
        </w:rPr>
        <w:t>, the Constitutional Court specifically addressed the difference between targets and quotas. The court determined that, despite being referred to as targets, the EE Plan's numerical goals were implemented strictly and without flexibility, acting as quotas.</w:t>
      </w:r>
      <w:r w:rsidRPr="00BB7375">
        <w:rPr>
          <w:rFonts w:ascii="Arial" w:hAnsi="Arial" w:cs="Arial"/>
          <w:sz w:val="24"/>
          <w:szCs w:val="24"/>
          <w:vertAlign w:val="superscript"/>
        </w:rPr>
        <w:footnoteReference w:id="314"/>
      </w:r>
      <w:r w:rsidRPr="00BB7375">
        <w:rPr>
          <w:rFonts w:ascii="Arial" w:hAnsi="Arial" w:cs="Arial"/>
          <w:sz w:val="24"/>
          <w:szCs w:val="24"/>
        </w:rPr>
        <w:t xml:space="preserve"> The court underlined that numerical targets must be flexible enough to take into consideration contextual elements including the availability of individuals with the required qualifications and local demographic realities.</w:t>
      </w:r>
      <w:r w:rsidRPr="00BB7375">
        <w:rPr>
          <w:rFonts w:ascii="Arial" w:hAnsi="Arial" w:cs="Arial"/>
          <w:sz w:val="24"/>
          <w:szCs w:val="24"/>
          <w:vertAlign w:val="superscript"/>
        </w:rPr>
        <w:footnoteReference w:id="315"/>
      </w:r>
      <w:r w:rsidRPr="00BB7375">
        <w:rPr>
          <w:rFonts w:ascii="Arial" w:hAnsi="Arial" w:cs="Arial"/>
          <w:sz w:val="24"/>
          <w:szCs w:val="24"/>
        </w:rPr>
        <w:t xml:space="preserve"> The Department's plan established complete obstacles to the employment and advancement of specific groups, especially Coloured employees in the Western Cape, by neglecting to take these concerns into account.</w:t>
      </w:r>
      <w:r w:rsidRPr="00BB7375">
        <w:rPr>
          <w:rFonts w:ascii="Arial" w:hAnsi="Arial" w:cs="Arial"/>
          <w:sz w:val="24"/>
          <w:szCs w:val="24"/>
          <w:vertAlign w:val="superscript"/>
        </w:rPr>
        <w:footnoteReference w:id="316"/>
      </w:r>
      <w:r w:rsidRPr="00BB7375">
        <w:rPr>
          <w:rFonts w:ascii="Arial" w:hAnsi="Arial" w:cs="Arial"/>
          <w:sz w:val="24"/>
          <w:szCs w:val="24"/>
        </w:rPr>
        <w:t xml:space="preserve"> The court concluded that the Department's rigid implementation of the EE Plan was caused by its exclusive reliance on national demography. This inflexibility </w:t>
      </w:r>
      <w:r w:rsidRPr="00BB7375">
        <w:rPr>
          <w:rFonts w:ascii="Arial" w:hAnsi="Arial" w:cs="Arial"/>
          <w:sz w:val="24"/>
          <w:szCs w:val="24"/>
        </w:rPr>
        <w:lastRenderedPageBreak/>
        <w:t>made it unable to provide exceptions or deviations, so converting numerical targets into illegal quotas.</w:t>
      </w:r>
      <w:r w:rsidRPr="00BB7375">
        <w:rPr>
          <w:rFonts w:ascii="Arial" w:hAnsi="Arial" w:cs="Arial"/>
          <w:sz w:val="24"/>
          <w:szCs w:val="24"/>
          <w:vertAlign w:val="superscript"/>
        </w:rPr>
        <w:footnoteReference w:id="317"/>
      </w:r>
      <w:r w:rsidRPr="00BB7375">
        <w:rPr>
          <w:rFonts w:ascii="Arial" w:hAnsi="Arial" w:cs="Arial"/>
          <w:sz w:val="24"/>
          <w:szCs w:val="24"/>
        </w:rPr>
        <w:t xml:space="preserve"> The court restated the requirement that affirmative action policies advance substantive equality while avoiding undue injury to other marginalized groups.</w:t>
      </w:r>
      <w:r w:rsidRPr="00BB7375">
        <w:rPr>
          <w:rFonts w:ascii="Arial" w:hAnsi="Arial" w:cs="Arial"/>
          <w:sz w:val="24"/>
          <w:szCs w:val="24"/>
          <w:vertAlign w:val="superscript"/>
        </w:rPr>
        <w:footnoteReference w:id="318"/>
      </w:r>
      <w:r w:rsidRPr="00BB7375">
        <w:rPr>
          <w:rFonts w:ascii="Arial" w:hAnsi="Arial" w:cs="Arial"/>
          <w:sz w:val="24"/>
          <w:szCs w:val="24"/>
        </w:rPr>
        <w:t xml:space="preserve"> The Western Cape's Coloured employees were unfairly burdened by the strict enforcement of the EE Plan, which undermined the larger objective of equality. </w:t>
      </w:r>
    </w:p>
    <w:p w14:paraId="24D0C04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Legal experts like Sandra Liebenberg and Beth Goldblatt contend that affirmative action in South Africa ought to be substantively transformative rather than just representational. They argue that rather than merely meeting numerical quotas, affirmative action must address the systemic disparities that still exist in the nation in order to be truly effective.</w:t>
      </w:r>
      <w:r w:rsidRPr="00BB7375">
        <w:rPr>
          <w:rFonts w:ascii="Arial" w:hAnsi="Arial" w:cs="Arial"/>
          <w:sz w:val="24"/>
          <w:szCs w:val="24"/>
          <w:vertAlign w:val="superscript"/>
        </w:rPr>
        <w:footnoteReference w:id="319"/>
      </w:r>
      <w:r w:rsidRPr="00BB7375">
        <w:rPr>
          <w:rFonts w:ascii="Arial" w:hAnsi="Arial" w:cs="Arial"/>
          <w:sz w:val="24"/>
          <w:szCs w:val="24"/>
        </w:rPr>
        <w:t xml:space="preserve"> This transformative objective is essential, according to Goldblatt and Liebenberg, because it is consistent with the South African </w:t>
      </w:r>
      <w:r w:rsidRPr="00BB7375">
        <w:rPr>
          <w:rFonts w:ascii="Arial" w:hAnsi="Arial" w:cs="Arial"/>
          <w:i/>
          <w:iCs/>
          <w:sz w:val="24"/>
          <w:szCs w:val="24"/>
        </w:rPr>
        <w:t>Constitution</w:t>
      </w:r>
      <w:r w:rsidRPr="00BB7375">
        <w:rPr>
          <w:rFonts w:ascii="Arial" w:hAnsi="Arial" w:cs="Arial"/>
          <w:sz w:val="24"/>
          <w:szCs w:val="24"/>
        </w:rPr>
        <w:t>'s vision, which aims to create a society founded on equal opportunities and true inclusion for all, not just the representation of historically underrepresented groups.</w:t>
      </w:r>
      <w:r w:rsidRPr="00BB7375">
        <w:rPr>
          <w:rFonts w:ascii="Arial" w:hAnsi="Arial" w:cs="Arial"/>
          <w:sz w:val="24"/>
          <w:szCs w:val="24"/>
          <w:vertAlign w:val="superscript"/>
        </w:rPr>
        <w:footnoteReference w:id="320"/>
      </w:r>
      <w:r w:rsidRPr="00BB7375">
        <w:rPr>
          <w:rFonts w:ascii="Times New Roman" w:eastAsia="Times New Roman" w:hAnsi="Times New Roman" w:cs="Times New Roman"/>
          <w:kern w:val="0"/>
          <w:sz w:val="24"/>
          <w:szCs w:val="24"/>
          <w:lang w:eastAsia="en-ZA"/>
          <w14:ligatures w14:val="none"/>
        </w:rPr>
        <w:t xml:space="preserve"> </w:t>
      </w:r>
      <w:r w:rsidRPr="00BB7375">
        <w:rPr>
          <w:rFonts w:ascii="Arial" w:hAnsi="Arial" w:cs="Arial"/>
          <w:sz w:val="24"/>
          <w:szCs w:val="24"/>
        </w:rPr>
        <w:t xml:space="preserve">A crucial component of this strategy is the reasonable link requirement, which separates truly transformative affirmative action policies from those that only emphasize numerical representation. </w:t>
      </w:r>
    </w:p>
    <w:p w14:paraId="776E0D7B"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According to the logical link requirement, affirmative action policies must have a clear connection to the goals of establishing substantive equality and redressing historical discrimination.</w:t>
      </w:r>
      <w:r w:rsidRPr="00BB7375">
        <w:rPr>
          <w:rFonts w:ascii="Arial" w:hAnsi="Arial" w:cs="Arial"/>
          <w:sz w:val="24"/>
          <w:szCs w:val="24"/>
          <w:vertAlign w:val="superscript"/>
        </w:rPr>
        <w:footnoteReference w:id="321"/>
      </w:r>
      <w:r w:rsidRPr="00BB7375">
        <w:rPr>
          <w:rFonts w:ascii="Arial" w:hAnsi="Arial" w:cs="Arial"/>
          <w:sz w:val="24"/>
          <w:szCs w:val="24"/>
        </w:rPr>
        <w:t xml:space="preserve"> Affirmative action measures must, therefore, be directly and rationally related to redressing the disadvantages brought about by past discrimination, including apartheid. Merely reaching a numerical goal without this link runs the risk of sustaining tokenistic or surface-level initiatives that don't genuinely lead to significant change. In </w:t>
      </w:r>
      <w:r w:rsidRPr="00BB7375">
        <w:rPr>
          <w:rFonts w:ascii="Arial" w:hAnsi="Arial" w:cs="Arial"/>
          <w:i/>
          <w:iCs/>
          <w:sz w:val="24"/>
          <w:szCs w:val="24"/>
        </w:rPr>
        <w:t>Naidoo v Minister of Safety and Security and National Commissioner of the South African Police Service</w:t>
      </w:r>
      <w:r w:rsidRPr="00BB7375">
        <w:rPr>
          <w:rFonts w:ascii="Arial" w:hAnsi="Arial" w:cs="Arial"/>
          <w:sz w:val="24"/>
          <w:szCs w:val="24"/>
        </w:rPr>
        <w:t>, the court ruled that the employer's equity plan did not aim to create a diverse workforce that was representative of the South African community.</w:t>
      </w:r>
      <w:r w:rsidRPr="00BB7375">
        <w:rPr>
          <w:rFonts w:ascii="Arial" w:hAnsi="Arial" w:cs="Arial"/>
          <w:sz w:val="24"/>
          <w:szCs w:val="24"/>
          <w:vertAlign w:val="superscript"/>
        </w:rPr>
        <w:footnoteReference w:id="322"/>
      </w:r>
      <w:r w:rsidRPr="00BB7375">
        <w:rPr>
          <w:rFonts w:ascii="Arial" w:hAnsi="Arial" w:cs="Arial"/>
          <w:sz w:val="24"/>
          <w:szCs w:val="24"/>
        </w:rPr>
        <w:t xml:space="preserve"> The gender division of 70% male and 30% female favoured men over women. This was particularly significant given that females </w:t>
      </w:r>
      <w:r w:rsidRPr="00BB7375">
        <w:rPr>
          <w:rFonts w:ascii="Arial" w:hAnsi="Arial" w:cs="Arial"/>
          <w:sz w:val="24"/>
          <w:szCs w:val="24"/>
        </w:rPr>
        <w:lastRenderedPageBreak/>
        <w:t xml:space="preserve">constitute </w:t>
      </w:r>
      <w:proofErr w:type="gramStart"/>
      <w:r w:rsidRPr="00BB7375">
        <w:rPr>
          <w:rFonts w:ascii="Arial" w:hAnsi="Arial" w:cs="Arial"/>
          <w:sz w:val="24"/>
          <w:szCs w:val="24"/>
        </w:rPr>
        <w:t>the vast majority of</w:t>
      </w:r>
      <w:proofErr w:type="gramEnd"/>
      <w:r w:rsidRPr="00BB7375">
        <w:rPr>
          <w:rFonts w:ascii="Arial" w:hAnsi="Arial" w:cs="Arial"/>
          <w:sz w:val="24"/>
          <w:szCs w:val="24"/>
        </w:rPr>
        <w:t xml:space="preserve"> the population.</w:t>
      </w:r>
      <w:r w:rsidRPr="00BB7375">
        <w:rPr>
          <w:rFonts w:ascii="Arial" w:hAnsi="Arial" w:cs="Arial"/>
          <w:sz w:val="24"/>
          <w:szCs w:val="24"/>
          <w:vertAlign w:val="superscript"/>
        </w:rPr>
        <w:footnoteReference w:id="323"/>
      </w:r>
      <w:r w:rsidRPr="00BB7375">
        <w:rPr>
          <w:rFonts w:ascii="Arial" w:hAnsi="Arial" w:cs="Arial"/>
          <w:sz w:val="24"/>
          <w:szCs w:val="24"/>
        </w:rPr>
        <w:t xml:space="preserve"> The Court determined that the SAPS EE Plan, namely its implementation, established a complete obstacle to Indian women's advancement to specific job levels.</w:t>
      </w:r>
      <w:r w:rsidRPr="00BB7375">
        <w:rPr>
          <w:rFonts w:ascii="Arial" w:hAnsi="Arial" w:cs="Arial"/>
          <w:sz w:val="24"/>
          <w:szCs w:val="24"/>
          <w:vertAlign w:val="superscript"/>
        </w:rPr>
        <w:footnoteReference w:id="324"/>
      </w:r>
      <w:r w:rsidRPr="00BB7375">
        <w:rPr>
          <w:rFonts w:ascii="Arial" w:hAnsi="Arial" w:cs="Arial"/>
          <w:sz w:val="24"/>
          <w:szCs w:val="24"/>
        </w:rPr>
        <w:t xml:space="preserve"> The </w:t>
      </w:r>
      <w:r w:rsidRPr="00BB7375">
        <w:rPr>
          <w:rFonts w:ascii="Arial" w:hAnsi="Arial" w:cs="Arial"/>
          <w:i/>
          <w:iCs/>
          <w:sz w:val="24"/>
          <w:szCs w:val="24"/>
        </w:rPr>
        <w:t>EEA</w:t>
      </w:r>
      <w:r w:rsidRPr="00BB7375">
        <w:rPr>
          <w:rFonts w:ascii="Arial" w:hAnsi="Arial" w:cs="Arial"/>
          <w:sz w:val="24"/>
          <w:szCs w:val="24"/>
        </w:rPr>
        <w:t>'s obligation to guarantee equitable representation without causing excessive hardship or impassable impediments for any designated group was violated by this barrier.</w:t>
      </w:r>
    </w:p>
    <w:p w14:paraId="54081AC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Court's standard for equitable representation in </w:t>
      </w:r>
      <w:r w:rsidRPr="00BB7375">
        <w:rPr>
          <w:rFonts w:ascii="Arial" w:hAnsi="Arial" w:cs="Arial"/>
          <w:i/>
          <w:iCs/>
          <w:sz w:val="24"/>
          <w:szCs w:val="24"/>
        </w:rPr>
        <w:t>Solidarity v Department of Correctional Services</w:t>
      </w:r>
      <w:r w:rsidRPr="00BB7375">
        <w:rPr>
          <w:rFonts w:ascii="Arial" w:hAnsi="Arial" w:cs="Arial"/>
          <w:sz w:val="24"/>
          <w:szCs w:val="24"/>
        </w:rPr>
        <w:t xml:space="preserve"> highlights the necessity of a fair and balanced representation of designated groups in an employer's workforce, particularly at each occupational level, in relation to the demographics of the regional and national economically active population.</w:t>
      </w:r>
      <w:r w:rsidRPr="00BB7375">
        <w:rPr>
          <w:rFonts w:ascii="Arial" w:hAnsi="Arial" w:cs="Arial"/>
          <w:sz w:val="24"/>
          <w:szCs w:val="24"/>
          <w:vertAlign w:val="superscript"/>
        </w:rPr>
        <w:footnoteReference w:id="325"/>
      </w:r>
      <w:r w:rsidRPr="00BB7375">
        <w:rPr>
          <w:rFonts w:ascii="Arial" w:hAnsi="Arial" w:cs="Arial"/>
          <w:sz w:val="24"/>
          <w:szCs w:val="24"/>
        </w:rPr>
        <w:t xml:space="preserve"> The premise stems from the </w:t>
      </w:r>
      <w:r w:rsidRPr="00BB7375">
        <w:rPr>
          <w:rFonts w:ascii="Arial" w:hAnsi="Arial" w:cs="Arial"/>
          <w:i/>
          <w:iCs/>
          <w:sz w:val="24"/>
          <w:szCs w:val="24"/>
        </w:rPr>
        <w:t>Employment Equity Act</w:t>
      </w:r>
      <w:r w:rsidRPr="00BB7375">
        <w:rPr>
          <w:rFonts w:ascii="Arial" w:hAnsi="Arial" w:cs="Arial"/>
          <w:sz w:val="24"/>
          <w:szCs w:val="24"/>
        </w:rPr>
        <w:t xml:space="preserve">'s mandate that firms match the demographics of their personnel to those of the general population. According to section 20(2)(c) of the </w:t>
      </w:r>
      <w:r w:rsidRPr="00BB7375">
        <w:rPr>
          <w:rFonts w:ascii="Arial" w:hAnsi="Arial" w:cs="Arial"/>
          <w:i/>
          <w:iCs/>
          <w:sz w:val="24"/>
          <w:szCs w:val="24"/>
        </w:rPr>
        <w:t>Employment Equity Act</w:t>
      </w:r>
      <w:r w:rsidRPr="00BB7375">
        <w:rPr>
          <w:rFonts w:ascii="Arial" w:hAnsi="Arial" w:cs="Arial"/>
          <w:sz w:val="24"/>
          <w:szCs w:val="24"/>
        </w:rPr>
        <w:t xml:space="preserve">, an employer's employment equity plan must contain specific steps to rectify the underrepresentation of designated groups that is discovered through the analysis procedure described in section 19. The plan should thus specifically outline the numerical targets which are required to guarantee fair representation of appropriately qualified members of specified groups in each occupational category and level of the workforce. These numerical targets must be predicated on the underrepresentation found in the Section 19 inquiry. Put differently, the degree of underrepresentation in the workforce should be closely correlated with the objectives of the employment equality plan. </w:t>
      </w:r>
    </w:p>
    <w:p w14:paraId="55F7F7C5" w14:textId="466C1163" w:rsidR="00BB7375" w:rsidRPr="00BB7375" w:rsidRDefault="00A726E2" w:rsidP="00872D2D">
      <w:pPr>
        <w:pStyle w:val="Subtitle"/>
        <w:numPr>
          <w:ilvl w:val="0"/>
          <w:numId w:val="0"/>
        </w:numPr>
        <w:ind w:left="792"/>
      </w:pPr>
      <w:bookmarkStart w:id="181" w:name="_Toc189739348"/>
      <w:r>
        <w:t>3</w:t>
      </w:r>
      <w:r w:rsidR="00BB7375" w:rsidRPr="00BB7375">
        <w:t>.4.2.4 Representation versus efficiency</w:t>
      </w:r>
      <w:bookmarkEnd w:id="181"/>
    </w:p>
    <w:p w14:paraId="24E9123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Section 42 of the </w:t>
      </w:r>
      <w:r w:rsidRPr="00BB7375">
        <w:rPr>
          <w:rFonts w:ascii="Arial" w:hAnsi="Arial" w:cs="Arial"/>
          <w:i/>
          <w:iCs/>
          <w:sz w:val="24"/>
          <w:szCs w:val="24"/>
        </w:rPr>
        <w:t>EEA</w:t>
      </w:r>
      <w:r w:rsidRPr="00BB7375">
        <w:rPr>
          <w:rFonts w:ascii="Arial" w:hAnsi="Arial" w:cs="Arial"/>
          <w:sz w:val="24"/>
          <w:szCs w:val="24"/>
        </w:rPr>
        <w:t xml:space="preserve"> states that the degree to which members of specified groups are fairly represented at each occupational level by appropriately qualified personnel must be </w:t>
      </w:r>
      <w:proofErr w:type="gramStart"/>
      <w:r w:rsidRPr="00BB7375">
        <w:rPr>
          <w:rFonts w:ascii="Arial" w:hAnsi="Arial" w:cs="Arial"/>
          <w:sz w:val="24"/>
          <w:szCs w:val="24"/>
        </w:rPr>
        <w:t>taken into account</w:t>
      </w:r>
      <w:proofErr w:type="gramEnd"/>
      <w:r w:rsidRPr="00BB7375">
        <w:rPr>
          <w:rFonts w:ascii="Arial" w:hAnsi="Arial" w:cs="Arial"/>
          <w:sz w:val="24"/>
          <w:szCs w:val="24"/>
        </w:rPr>
        <w:t xml:space="preserve"> when determining whether an employer is in compliance with the Act. It is important to compare this representation to the demographics of the economically active populations in the country and the region. The criteria are thus whether the selected groups are proportionately represented in the workforce at every level based on regional and national demographics.</w:t>
      </w:r>
    </w:p>
    <w:p w14:paraId="1C6D878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 xml:space="preserve">In addition, a careful balance between attaining equity, maintaining organizational effectiveness, and satisfying the performance standards of the public and private sectors must be established while developing affirmative action programs. The court stressed in </w:t>
      </w:r>
      <w:proofErr w:type="spellStart"/>
      <w:r w:rsidRPr="00BB7375">
        <w:rPr>
          <w:rFonts w:ascii="Arial" w:hAnsi="Arial" w:cs="Arial"/>
          <w:i/>
          <w:iCs/>
          <w:sz w:val="24"/>
          <w:szCs w:val="24"/>
        </w:rPr>
        <w:t>Stoman</w:t>
      </w:r>
      <w:proofErr w:type="spellEnd"/>
      <w:r w:rsidRPr="00BB7375">
        <w:rPr>
          <w:rFonts w:ascii="Arial" w:hAnsi="Arial" w:cs="Arial"/>
          <w:i/>
          <w:iCs/>
          <w:sz w:val="24"/>
          <w:szCs w:val="24"/>
        </w:rPr>
        <w:t xml:space="preserve"> v Minister of Safety &amp; Security</w:t>
      </w:r>
      <w:r w:rsidRPr="00BB7375">
        <w:rPr>
          <w:rFonts w:ascii="Arial" w:hAnsi="Arial" w:cs="Arial"/>
          <w:sz w:val="24"/>
          <w:szCs w:val="24"/>
        </w:rPr>
        <w:t xml:space="preserve"> that although pursuing equality through affirmative action is crucial, it shouldn't come at the expense of employing those who are unfit or unable to carry out their jobs. The court emphasized that representation and efficiency should be seen as complementary goals rather than as mutually exclusive. Furthermore, in </w:t>
      </w:r>
      <w:r w:rsidRPr="00BB7375">
        <w:rPr>
          <w:rFonts w:ascii="Arial" w:hAnsi="Arial" w:cs="Arial"/>
          <w:i/>
          <w:iCs/>
          <w:sz w:val="24"/>
          <w:szCs w:val="24"/>
        </w:rPr>
        <w:t>Solidarity and Others v Department of Correctional Services and Others</w:t>
      </w:r>
      <w:r w:rsidRPr="00BB7375">
        <w:rPr>
          <w:rFonts w:ascii="Arial" w:hAnsi="Arial" w:cs="Arial"/>
          <w:sz w:val="24"/>
          <w:szCs w:val="24"/>
        </w:rPr>
        <w:t>,</w:t>
      </w:r>
      <w:r w:rsidRPr="00BB7375">
        <w:rPr>
          <w:rFonts w:ascii="Arial" w:hAnsi="Arial" w:cs="Arial"/>
          <w:sz w:val="24"/>
          <w:szCs w:val="24"/>
          <w:vertAlign w:val="superscript"/>
        </w:rPr>
        <w:footnoteReference w:id="326"/>
      </w:r>
      <w:r w:rsidRPr="00BB7375">
        <w:rPr>
          <w:rFonts w:ascii="Arial" w:hAnsi="Arial" w:cs="Arial"/>
          <w:sz w:val="24"/>
          <w:szCs w:val="24"/>
        </w:rPr>
        <w:t xml:space="preserve"> the court examined the relationship between affirmative action and operational efficacy and highlighted that measures must be rationally connected to accomplishing representational aims while </w:t>
      </w:r>
      <w:proofErr w:type="gramStart"/>
      <w:r w:rsidRPr="00BB7375">
        <w:rPr>
          <w:rFonts w:ascii="Arial" w:hAnsi="Arial" w:cs="Arial"/>
          <w:sz w:val="24"/>
          <w:szCs w:val="24"/>
        </w:rPr>
        <w:t>taking into account</w:t>
      </w:r>
      <w:proofErr w:type="gramEnd"/>
      <w:r w:rsidRPr="00BB7375">
        <w:rPr>
          <w:rFonts w:ascii="Arial" w:hAnsi="Arial" w:cs="Arial"/>
          <w:sz w:val="24"/>
          <w:szCs w:val="24"/>
        </w:rPr>
        <w:t xml:space="preserve"> the candidate's job fit, as indicated in section 20. This case thus demonstrates that for affirmative action to be lawful, no arbitrary or unreasonable preference should be given to designated groups if it jeopardizes organizational functionality.</w:t>
      </w:r>
    </w:p>
    <w:p w14:paraId="30F5FA73" w14:textId="51CBB434" w:rsidR="00BB7375" w:rsidRPr="00BB7375" w:rsidRDefault="00A726E2" w:rsidP="00872D2D">
      <w:pPr>
        <w:pStyle w:val="Subtitle"/>
        <w:numPr>
          <w:ilvl w:val="0"/>
          <w:numId w:val="0"/>
        </w:numPr>
        <w:ind w:left="792"/>
      </w:pPr>
      <w:bookmarkStart w:id="182" w:name="_Toc189739349"/>
      <w:r>
        <w:t>3</w:t>
      </w:r>
      <w:r w:rsidR="00BB7375" w:rsidRPr="00BB7375">
        <w:t>.4.2.5 The requirement of temporality</w:t>
      </w:r>
      <w:bookmarkEnd w:id="182"/>
    </w:p>
    <w:p w14:paraId="6795D98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impermanent nature of affirmative action policies is another controversial issue that employers are confronted with. Section 36 of the </w:t>
      </w:r>
      <w:r w:rsidRPr="00BB7375">
        <w:rPr>
          <w:rFonts w:ascii="Arial" w:hAnsi="Arial" w:cs="Arial"/>
          <w:i/>
          <w:iCs/>
          <w:sz w:val="24"/>
          <w:szCs w:val="24"/>
        </w:rPr>
        <w:t>Constitution</w:t>
      </w:r>
      <w:r w:rsidRPr="00BB7375">
        <w:rPr>
          <w:rFonts w:ascii="Arial" w:hAnsi="Arial" w:cs="Arial"/>
          <w:sz w:val="24"/>
          <w:szCs w:val="24"/>
        </w:rPr>
        <w:t xml:space="preserve"> requires that a legislation that restricts equality rights be logically related to its goal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be approved. The preferential treatment of designated groups must be logically linked to the goal of protecting and advancing individuals or groups of individuals who are disadvantaged by unfair discrimination, according to the reasonable connection requirement, which governs affirmative action.</w:t>
      </w:r>
      <w:r w:rsidRPr="00BB7375">
        <w:rPr>
          <w:rFonts w:ascii="Arial" w:hAnsi="Arial" w:cs="Arial"/>
          <w:sz w:val="24"/>
          <w:szCs w:val="24"/>
          <w:vertAlign w:val="superscript"/>
        </w:rPr>
        <w:footnoteReference w:id="327"/>
      </w:r>
      <w:r w:rsidRPr="00BB7375">
        <w:rPr>
          <w:rFonts w:ascii="Arial" w:hAnsi="Arial" w:cs="Arial"/>
          <w:sz w:val="24"/>
          <w:szCs w:val="24"/>
        </w:rPr>
        <w:t xml:space="preserve"> In </w:t>
      </w:r>
      <w:r w:rsidRPr="00BB7375">
        <w:rPr>
          <w:rFonts w:ascii="Arial" w:hAnsi="Arial" w:cs="Arial"/>
          <w:i/>
          <w:iCs/>
          <w:sz w:val="24"/>
          <w:szCs w:val="24"/>
        </w:rPr>
        <w:t>George v Liberty Life Association of Africa Ltd,</w:t>
      </w:r>
      <w:r w:rsidRPr="00BB7375">
        <w:rPr>
          <w:rFonts w:ascii="Arial" w:hAnsi="Arial" w:cs="Arial"/>
          <w:i/>
          <w:iCs/>
          <w:sz w:val="24"/>
          <w:szCs w:val="24"/>
          <w:vertAlign w:val="superscript"/>
        </w:rPr>
        <w:footnoteReference w:id="328"/>
      </w:r>
      <w:r w:rsidRPr="00BB7375">
        <w:rPr>
          <w:rFonts w:ascii="Arial" w:hAnsi="Arial" w:cs="Arial"/>
          <w:sz w:val="24"/>
          <w:szCs w:val="24"/>
        </w:rPr>
        <w:t xml:space="preserve"> it was determined that non-discrimination is a constitutional right, but affirmative action is a means to an aim rather than an end in itself. Affirmative action, rather than being a value, is an intermediate measure and because it is a measurement rather than a universal value, it will be transient in nature. </w:t>
      </w:r>
    </w:p>
    <w:p w14:paraId="7AC70261"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the seminal case of </w:t>
      </w:r>
      <w:r w:rsidRPr="00BB7375">
        <w:rPr>
          <w:rFonts w:ascii="Arial" w:hAnsi="Arial" w:cs="Arial"/>
          <w:i/>
          <w:iCs/>
          <w:sz w:val="24"/>
          <w:szCs w:val="24"/>
        </w:rPr>
        <w:t xml:space="preserve">UNISA v </w:t>
      </w:r>
      <w:proofErr w:type="spellStart"/>
      <w:r w:rsidRPr="00BB7375">
        <w:rPr>
          <w:rFonts w:ascii="Arial" w:hAnsi="Arial" w:cs="Arial"/>
          <w:i/>
          <w:iCs/>
          <w:sz w:val="24"/>
          <w:szCs w:val="24"/>
        </w:rPr>
        <w:t>Reynhardt</w:t>
      </w:r>
      <w:proofErr w:type="spellEnd"/>
      <w:r w:rsidRPr="00BB7375">
        <w:rPr>
          <w:rFonts w:ascii="Arial" w:hAnsi="Arial" w:cs="Arial"/>
          <w:sz w:val="24"/>
          <w:szCs w:val="24"/>
        </w:rPr>
        <w:t>,</w:t>
      </w:r>
      <w:r w:rsidRPr="00BB7375">
        <w:rPr>
          <w:rFonts w:ascii="Arial" w:hAnsi="Arial" w:cs="Arial"/>
          <w:sz w:val="24"/>
          <w:szCs w:val="24"/>
          <w:vertAlign w:val="superscript"/>
        </w:rPr>
        <w:footnoteReference w:id="329"/>
      </w:r>
      <w:r w:rsidRPr="00BB7375">
        <w:rPr>
          <w:rFonts w:ascii="Arial" w:hAnsi="Arial" w:cs="Arial"/>
          <w:sz w:val="24"/>
          <w:szCs w:val="24"/>
        </w:rPr>
        <w:t xml:space="preserve"> the Labour Appeal Court recognized that an affirmative action policy has a lifetime that employers must be aware of. Professor </w:t>
      </w:r>
      <w:proofErr w:type="spellStart"/>
      <w:r w:rsidRPr="00BB7375">
        <w:rPr>
          <w:rFonts w:ascii="Arial" w:hAnsi="Arial" w:cs="Arial"/>
          <w:sz w:val="24"/>
          <w:szCs w:val="24"/>
        </w:rPr>
        <w:t>Reynhardt</w:t>
      </w:r>
      <w:proofErr w:type="spellEnd"/>
      <w:r w:rsidRPr="00BB7375">
        <w:rPr>
          <w:rFonts w:ascii="Arial" w:hAnsi="Arial" w:cs="Arial"/>
          <w:sz w:val="24"/>
          <w:szCs w:val="24"/>
        </w:rPr>
        <w:t xml:space="preserve">, a white male, had been designated Dean of the Faculty of </w:t>
      </w:r>
      <w:r w:rsidRPr="00BB7375">
        <w:rPr>
          <w:rFonts w:ascii="Arial" w:hAnsi="Arial" w:cs="Arial"/>
          <w:sz w:val="24"/>
          <w:szCs w:val="24"/>
        </w:rPr>
        <w:lastRenderedPageBreak/>
        <w:t xml:space="preserve">Science at the University of South Africa (UNISA) for a single term. He then applied to serve a second term. However, Professor Summers, a coloured man, was appointed in his place. Professor </w:t>
      </w:r>
      <w:proofErr w:type="spellStart"/>
      <w:r w:rsidRPr="00BB7375">
        <w:rPr>
          <w:rFonts w:ascii="Arial" w:hAnsi="Arial" w:cs="Arial"/>
          <w:sz w:val="24"/>
          <w:szCs w:val="24"/>
        </w:rPr>
        <w:t>Reynhardt</w:t>
      </w:r>
      <w:proofErr w:type="spellEnd"/>
      <w:r w:rsidRPr="00BB7375">
        <w:rPr>
          <w:rFonts w:ascii="Arial" w:hAnsi="Arial" w:cs="Arial"/>
          <w:sz w:val="24"/>
          <w:szCs w:val="24"/>
        </w:rPr>
        <w:t xml:space="preserve"> alleged at the Labour Court that his non-appointment constituted unjust discrimination. The Labour Court agreed with Professor </w:t>
      </w:r>
      <w:proofErr w:type="spellStart"/>
      <w:r w:rsidRPr="00BB7375">
        <w:rPr>
          <w:rFonts w:ascii="Arial" w:hAnsi="Arial" w:cs="Arial"/>
          <w:sz w:val="24"/>
          <w:szCs w:val="24"/>
        </w:rPr>
        <w:t>Reynhardt</w:t>
      </w:r>
      <w:proofErr w:type="spellEnd"/>
      <w:r w:rsidRPr="00BB7375">
        <w:rPr>
          <w:rFonts w:ascii="Arial" w:hAnsi="Arial" w:cs="Arial"/>
          <w:sz w:val="24"/>
          <w:szCs w:val="24"/>
        </w:rPr>
        <w:t xml:space="preserve"> that, while UNISA's employment equity plan adhered to the </w:t>
      </w:r>
      <w:r w:rsidRPr="00BB7375">
        <w:rPr>
          <w:rFonts w:ascii="Arial" w:hAnsi="Arial" w:cs="Arial"/>
          <w:i/>
          <w:iCs/>
          <w:sz w:val="24"/>
          <w:szCs w:val="24"/>
        </w:rPr>
        <w:t>Constitution</w:t>
      </w:r>
      <w:r w:rsidRPr="00BB7375">
        <w:rPr>
          <w:rFonts w:ascii="Arial" w:hAnsi="Arial" w:cs="Arial"/>
          <w:sz w:val="24"/>
          <w:szCs w:val="24"/>
        </w:rPr>
        <w:t xml:space="preserve">'s principles and ideals, its implementation was unfair. The UNISA employment equity plan stated that after equitable representation was reached, which UNISA required at a ratio of 70% to 30% in favour of blacks, the principle of the most qualified applicant would apply in the filling of openings, with no further affirmative action being employed. The appointment of Professor Summers ensured that the aim would be met, as the ratio had shifted from 80% to 20%. The Labour Court found that Professor Summers' appointment violated UNISA's employment equity strategy and constituted unfair race discrimination against Professor </w:t>
      </w:r>
      <w:proofErr w:type="spellStart"/>
      <w:r w:rsidRPr="00BB7375">
        <w:rPr>
          <w:rFonts w:ascii="Arial" w:hAnsi="Arial" w:cs="Arial"/>
          <w:sz w:val="24"/>
          <w:szCs w:val="24"/>
        </w:rPr>
        <w:t>Reynhardt</w:t>
      </w:r>
      <w:proofErr w:type="spellEnd"/>
      <w:r w:rsidRPr="00BB7375">
        <w:rPr>
          <w:rFonts w:ascii="Arial" w:hAnsi="Arial" w:cs="Arial"/>
          <w:sz w:val="24"/>
          <w:szCs w:val="24"/>
        </w:rPr>
        <w:t>. UNISA filed an appeal to the Labour Appeal Court.</w:t>
      </w:r>
    </w:p>
    <w:p w14:paraId="3FB34A7C"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debate was about whether the employment equity strategy should continue to be implemented once those benchmarks were met. The employment equity plan specified precisely when employment equity would be phased out and when persons would be appointed on merit, regardless of race. In this circumstance, Professor </w:t>
      </w:r>
      <w:proofErr w:type="spellStart"/>
      <w:r w:rsidRPr="00BB7375">
        <w:rPr>
          <w:rFonts w:ascii="Arial" w:hAnsi="Arial" w:cs="Arial"/>
          <w:sz w:val="24"/>
          <w:szCs w:val="24"/>
        </w:rPr>
        <w:t>Reynhardt</w:t>
      </w:r>
      <w:proofErr w:type="spellEnd"/>
      <w:r w:rsidRPr="00BB7375">
        <w:rPr>
          <w:rFonts w:ascii="Arial" w:hAnsi="Arial" w:cs="Arial"/>
          <w:sz w:val="24"/>
          <w:szCs w:val="24"/>
        </w:rPr>
        <w:t xml:space="preserve"> was the most suitable and competent individual. When prior inequalities are addressed, there will be no need for affirmative action.</w:t>
      </w:r>
      <w:r w:rsidRPr="00BB7375">
        <w:rPr>
          <w:rFonts w:ascii="Arial" w:hAnsi="Arial" w:cs="Arial"/>
          <w:sz w:val="24"/>
          <w:szCs w:val="24"/>
          <w:vertAlign w:val="superscript"/>
        </w:rPr>
        <w:footnoteReference w:id="330"/>
      </w:r>
      <w:r w:rsidRPr="00BB7375">
        <w:rPr>
          <w:rFonts w:ascii="Arial" w:hAnsi="Arial" w:cs="Arial"/>
          <w:sz w:val="24"/>
          <w:szCs w:val="24"/>
        </w:rPr>
        <w:t xml:space="preserve"> The question then becomes how to determine the point in time when it is evident that historical imbalances have been addressed and affirmative action can be discontinued</w:t>
      </w:r>
    </w:p>
    <w:p w14:paraId="5C3D4BA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the case of </w:t>
      </w:r>
      <w:r w:rsidRPr="00BB7375">
        <w:rPr>
          <w:rFonts w:ascii="Arial" w:hAnsi="Arial" w:cs="Arial"/>
          <w:i/>
          <w:iCs/>
          <w:sz w:val="24"/>
          <w:szCs w:val="24"/>
        </w:rPr>
        <w:t xml:space="preserve">Willemse v </w:t>
      </w:r>
      <w:proofErr w:type="spellStart"/>
      <w:r w:rsidRPr="00BB7375">
        <w:rPr>
          <w:rFonts w:ascii="Arial" w:hAnsi="Arial" w:cs="Arial"/>
          <w:i/>
          <w:iCs/>
          <w:sz w:val="24"/>
          <w:szCs w:val="24"/>
        </w:rPr>
        <w:t>Patelia</w:t>
      </w:r>
      <w:proofErr w:type="spellEnd"/>
      <w:r w:rsidRPr="00BB7375">
        <w:rPr>
          <w:rFonts w:ascii="Arial" w:hAnsi="Arial" w:cs="Arial"/>
          <w:i/>
          <w:iCs/>
          <w:sz w:val="24"/>
          <w:szCs w:val="24"/>
        </w:rPr>
        <w:t xml:space="preserve"> NO</w:t>
      </w:r>
      <w:r w:rsidRPr="00BB7375">
        <w:rPr>
          <w:rFonts w:ascii="Arial" w:hAnsi="Arial" w:cs="Arial"/>
          <w:sz w:val="24"/>
          <w:szCs w:val="24"/>
        </w:rPr>
        <w:t>,</w:t>
      </w:r>
      <w:r w:rsidRPr="00BB7375">
        <w:rPr>
          <w:rFonts w:ascii="Arial" w:hAnsi="Arial" w:cs="Arial"/>
          <w:sz w:val="24"/>
          <w:szCs w:val="24"/>
          <w:vertAlign w:val="superscript"/>
        </w:rPr>
        <w:footnoteReference w:id="331"/>
      </w:r>
      <w:r w:rsidRPr="00BB7375">
        <w:rPr>
          <w:rFonts w:ascii="Arial" w:hAnsi="Arial" w:cs="Arial"/>
          <w:sz w:val="24"/>
          <w:szCs w:val="24"/>
        </w:rPr>
        <w:t xml:space="preserve"> the court declared that if an employer has met its employment equity targets, the only criteria for appointment or promotion should be merit, with each applicant handled equally.</w:t>
      </w:r>
      <w:r w:rsidRPr="00BB7375">
        <w:rPr>
          <w:rFonts w:ascii="Arial" w:hAnsi="Arial" w:cs="Arial"/>
          <w:sz w:val="24"/>
          <w:szCs w:val="24"/>
          <w:vertAlign w:val="superscript"/>
        </w:rPr>
        <w:footnoteReference w:id="332"/>
      </w:r>
      <w:r w:rsidRPr="00BB7375">
        <w:rPr>
          <w:rFonts w:ascii="Arial" w:hAnsi="Arial" w:cs="Arial"/>
          <w:sz w:val="24"/>
          <w:szCs w:val="24"/>
        </w:rPr>
        <w:t xml:space="preserve"> This ruling emphasizes the idea that affirmative action policies are essentially short-term and need to end after their goals have been achieved. Employers must then give qualifications, competence, and abilities precedence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ensure a fair and balanced hiring and advancement process. As stated in section 15(1) of the </w:t>
      </w:r>
      <w:r w:rsidRPr="00BB7375">
        <w:rPr>
          <w:rFonts w:ascii="Arial" w:hAnsi="Arial" w:cs="Arial"/>
          <w:i/>
          <w:iCs/>
          <w:sz w:val="24"/>
          <w:szCs w:val="24"/>
        </w:rPr>
        <w:t>EEA</w:t>
      </w:r>
      <w:r w:rsidRPr="00BB7375">
        <w:rPr>
          <w:rFonts w:ascii="Arial" w:hAnsi="Arial" w:cs="Arial"/>
          <w:sz w:val="24"/>
          <w:szCs w:val="24"/>
        </w:rPr>
        <w:t xml:space="preserve">, affirmative action policies are intended to guarantee the advancement of specific groups. Following the correction of </w:t>
      </w:r>
      <w:r w:rsidRPr="00BB7375">
        <w:rPr>
          <w:rFonts w:ascii="Arial" w:hAnsi="Arial" w:cs="Arial"/>
          <w:sz w:val="24"/>
          <w:szCs w:val="24"/>
        </w:rPr>
        <w:lastRenderedPageBreak/>
        <w:t>underrepresentation, these actions run the risk of turning from a remedial measure into an exclusionary practice that could unjustly prejudice members of non-designated groups.</w:t>
      </w:r>
      <w:r w:rsidRPr="00BB7375">
        <w:rPr>
          <w:rFonts w:ascii="Arial" w:eastAsia="Calibri" w:hAnsi="Arial" w:cs="Arial"/>
          <w:kern w:val="0"/>
          <w:sz w:val="24"/>
          <w:szCs w:val="24"/>
          <w14:ligatures w14:val="none"/>
        </w:rPr>
        <w:t xml:space="preserve"> </w:t>
      </w:r>
      <w:r w:rsidRPr="00BB7375">
        <w:rPr>
          <w:rFonts w:ascii="Arial" w:hAnsi="Arial" w:cs="Arial"/>
          <w:sz w:val="24"/>
          <w:szCs w:val="24"/>
        </w:rPr>
        <w:t>The idea that affirmative action should change and adapt as organizations get closer to their equitable objectives is supported by the preceding instance. The need for affirmative action needs to be reevaluated after the goal of balanced representation is accomplished. Therefore, by taking this approach, affirmative action is guaranteed to be focused on attaining equality rather than continuing as a policy regardless of real requirements. Therefore, any metric exists to achieve a specific aim and as such, measures imply action. After achieving the aim, the measure's explanation is no longer relevant on the basis that the measures implored for achieving a particular objective are distinct from the objective itself.</w:t>
      </w:r>
      <w:r w:rsidRPr="00BB7375">
        <w:rPr>
          <w:rFonts w:ascii="Arial" w:hAnsi="Arial" w:cs="Arial"/>
          <w:sz w:val="24"/>
          <w:szCs w:val="24"/>
          <w:vertAlign w:val="superscript"/>
        </w:rPr>
        <w:footnoteReference w:id="333"/>
      </w:r>
      <w:r w:rsidRPr="00BB7375">
        <w:rPr>
          <w:rFonts w:ascii="Arial" w:hAnsi="Arial" w:cs="Arial"/>
          <w:sz w:val="24"/>
          <w:szCs w:val="24"/>
        </w:rPr>
        <w:t xml:space="preserve"> So, once the South African society has been transformed and standardized, affirmative action in an equal society would be discriminatory </w:t>
      </w:r>
      <w:proofErr w:type="gramStart"/>
      <w:r w:rsidRPr="00BB7375">
        <w:rPr>
          <w:rFonts w:ascii="Arial" w:hAnsi="Arial" w:cs="Arial"/>
          <w:sz w:val="24"/>
          <w:szCs w:val="24"/>
        </w:rPr>
        <w:t>on the basis of</w:t>
      </w:r>
      <w:proofErr w:type="gramEnd"/>
      <w:r w:rsidRPr="00BB7375">
        <w:rPr>
          <w:rFonts w:ascii="Arial" w:hAnsi="Arial" w:cs="Arial"/>
          <w:sz w:val="24"/>
          <w:szCs w:val="24"/>
        </w:rPr>
        <w:t xml:space="preserve"> race and gender. The goal of attaining equality serves as justification for affirmative action. However, once equality is achieved, there is no longer any justification for using affirmative action.</w:t>
      </w:r>
      <w:r w:rsidRPr="00BB7375">
        <w:rPr>
          <w:rFonts w:ascii="Arial" w:hAnsi="Arial" w:cs="Arial"/>
          <w:sz w:val="24"/>
          <w:szCs w:val="24"/>
          <w:vertAlign w:val="superscript"/>
        </w:rPr>
        <w:footnoteReference w:id="334"/>
      </w:r>
    </w:p>
    <w:p w14:paraId="368BAF31" w14:textId="6E445807" w:rsidR="00BB7375" w:rsidRPr="00BB7375" w:rsidRDefault="00A726E2" w:rsidP="00872D2D">
      <w:pPr>
        <w:pStyle w:val="Heading2"/>
        <w:ind w:left="360"/>
      </w:pPr>
      <w:bookmarkStart w:id="185" w:name="_Toc189739350"/>
      <w:r>
        <w:t>3</w:t>
      </w:r>
      <w:r w:rsidR="00BB7375" w:rsidRPr="00BB7375">
        <w:t>.4.3 Absence of a valid Employment Equity Plan</w:t>
      </w:r>
      <w:bookmarkEnd w:id="185"/>
    </w:p>
    <w:p w14:paraId="27CCB1C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w:t>
      </w:r>
      <w:r w:rsidRPr="00BB7375">
        <w:rPr>
          <w:rFonts w:ascii="Arial" w:hAnsi="Arial" w:cs="Arial"/>
          <w:i/>
          <w:iCs/>
          <w:sz w:val="24"/>
          <w:szCs w:val="24"/>
        </w:rPr>
        <w:t>Employment Equity Act</w:t>
      </w:r>
      <w:r w:rsidRPr="00BB7375">
        <w:rPr>
          <w:rFonts w:ascii="Arial" w:hAnsi="Arial" w:cs="Arial"/>
          <w:sz w:val="24"/>
          <w:szCs w:val="24"/>
        </w:rPr>
        <w:t xml:space="preserve"> requires designated employers to create and implement an Employment Equity Plan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make significant progress toward fair representation in their workforce, as stipulated in section 20(1). The Employment Equity Plan is thus a vital instrument for furthering the objectives of the </w:t>
      </w:r>
      <w:r w:rsidRPr="00BB7375">
        <w:rPr>
          <w:rFonts w:ascii="Arial" w:hAnsi="Arial" w:cs="Arial"/>
          <w:i/>
          <w:iCs/>
          <w:sz w:val="24"/>
          <w:szCs w:val="24"/>
        </w:rPr>
        <w:t xml:space="preserve">EEA </w:t>
      </w:r>
      <w:r w:rsidRPr="00BB7375">
        <w:rPr>
          <w:rFonts w:ascii="Arial" w:hAnsi="Arial" w:cs="Arial"/>
          <w:sz w:val="24"/>
          <w:szCs w:val="24"/>
        </w:rPr>
        <w:t xml:space="preserve">by addressing workplace inequities and encouraging diversity; it is not just an administrative mandate. As mandated by section 15 of the </w:t>
      </w:r>
      <w:r w:rsidRPr="00BB7375">
        <w:rPr>
          <w:rFonts w:ascii="Arial" w:hAnsi="Arial" w:cs="Arial"/>
          <w:i/>
          <w:iCs/>
          <w:sz w:val="24"/>
          <w:szCs w:val="24"/>
        </w:rPr>
        <w:t>EEA</w:t>
      </w:r>
      <w:r w:rsidRPr="00BB7375">
        <w:rPr>
          <w:rFonts w:ascii="Arial" w:hAnsi="Arial" w:cs="Arial"/>
          <w:sz w:val="24"/>
          <w:szCs w:val="24"/>
        </w:rPr>
        <w:t xml:space="preserve">, a legitimate EE Plan provides a strategic framework for carrying out affirmative action policies. This involves identifying underrepresented areas, establishing numerical targets, and creating plans and schedules to reach these goals. These legislative duties are compromised in the absence of a legitimate and compliant EE Plan, which also exposes companies to serious legal repercussions. According to section 53 of the </w:t>
      </w:r>
      <w:r w:rsidRPr="00BB7375">
        <w:rPr>
          <w:rFonts w:ascii="Arial" w:hAnsi="Arial" w:cs="Arial"/>
          <w:i/>
          <w:iCs/>
          <w:sz w:val="24"/>
          <w:szCs w:val="24"/>
        </w:rPr>
        <w:t>EEA</w:t>
      </w:r>
      <w:r w:rsidRPr="00BB7375">
        <w:rPr>
          <w:rFonts w:ascii="Arial" w:hAnsi="Arial" w:cs="Arial"/>
          <w:sz w:val="24"/>
          <w:szCs w:val="24"/>
        </w:rPr>
        <w:t xml:space="preserve">, </w:t>
      </w:r>
      <w:proofErr w:type="gramStart"/>
      <w:r w:rsidRPr="00BB7375">
        <w:rPr>
          <w:rFonts w:ascii="Arial" w:hAnsi="Arial" w:cs="Arial"/>
          <w:sz w:val="24"/>
          <w:szCs w:val="24"/>
        </w:rPr>
        <w:t>entering into</w:t>
      </w:r>
      <w:proofErr w:type="gramEnd"/>
      <w:r w:rsidRPr="00BB7375">
        <w:rPr>
          <w:rFonts w:ascii="Arial" w:hAnsi="Arial" w:cs="Arial"/>
          <w:sz w:val="24"/>
          <w:szCs w:val="24"/>
        </w:rPr>
        <w:t xml:space="preserve"> contracts with state organizations requires adherence to employment equity standards. In particular, non-designated employers must abide by Chapter II of the </w:t>
      </w:r>
      <w:r w:rsidRPr="00BB7375">
        <w:rPr>
          <w:rFonts w:ascii="Arial" w:hAnsi="Arial" w:cs="Arial"/>
          <w:i/>
          <w:iCs/>
          <w:sz w:val="24"/>
          <w:szCs w:val="24"/>
        </w:rPr>
        <w:t>EEA</w:t>
      </w:r>
      <w:r w:rsidRPr="00BB7375">
        <w:rPr>
          <w:rFonts w:ascii="Arial" w:hAnsi="Arial" w:cs="Arial"/>
          <w:sz w:val="24"/>
          <w:szCs w:val="24"/>
        </w:rPr>
        <w:t xml:space="preserve">, which ensures they do not engage in discriminatory practices, and designated employers must follow Chapters II and III, which address the implementation of </w:t>
      </w:r>
      <w:r w:rsidRPr="00BB7375">
        <w:rPr>
          <w:rFonts w:ascii="Arial" w:hAnsi="Arial" w:cs="Arial"/>
          <w:sz w:val="24"/>
          <w:szCs w:val="24"/>
        </w:rPr>
        <w:lastRenderedPageBreak/>
        <w:t>affirmative action policies and the prohibition of unfair discrimination, respectively.</w:t>
      </w:r>
      <w:r w:rsidRPr="00BB7375">
        <w:rPr>
          <w:rFonts w:ascii="Arial" w:hAnsi="Arial" w:cs="Arial"/>
          <w:sz w:val="24"/>
          <w:szCs w:val="24"/>
          <w:vertAlign w:val="superscript"/>
        </w:rPr>
        <w:footnoteReference w:id="335"/>
      </w:r>
      <w:r w:rsidRPr="00BB7375">
        <w:rPr>
          <w:rFonts w:ascii="Arial" w:hAnsi="Arial" w:cs="Arial"/>
          <w:sz w:val="24"/>
          <w:szCs w:val="24"/>
        </w:rPr>
        <w:t xml:space="preserve"> Employers who don't fulfil these requirements have the potential to miss out on profitable government contracts, underscoring the wider economic consequences of non-compliance. </w:t>
      </w:r>
    </w:p>
    <w:p w14:paraId="72CC39D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By presenting a variety of penalties to address non-compliance, such as issuing compliance orders which direct employers to take specific actions to remedy non-compliance, and imposing fines that vary based on the severity and frequency of non-compliance with the maximum penalties reaching up to 10% of the employer's annual turnover, section 50 gives the Labour Court the authority to enforce compliance with the </w:t>
      </w:r>
      <w:r w:rsidRPr="00BB7375">
        <w:rPr>
          <w:rFonts w:ascii="Arial" w:hAnsi="Arial" w:cs="Arial"/>
          <w:i/>
          <w:iCs/>
          <w:sz w:val="24"/>
          <w:szCs w:val="24"/>
        </w:rPr>
        <w:t>EEA</w:t>
      </w:r>
      <w:r w:rsidRPr="00BB7375">
        <w:rPr>
          <w:rFonts w:ascii="Arial" w:hAnsi="Arial" w:cs="Arial"/>
          <w:sz w:val="24"/>
          <w:szCs w:val="24"/>
        </w:rPr>
        <w:t xml:space="preserve">. In addition, section 50 gives the Labour Court the authority to suggest that contracts with state agencies be terminated </w:t>
      </w:r>
      <w:proofErr w:type="gramStart"/>
      <w:r w:rsidRPr="00BB7375">
        <w:rPr>
          <w:rFonts w:ascii="Arial" w:hAnsi="Arial" w:cs="Arial"/>
          <w:sz w:val="24"/>
          <w:szCs w:val="24"/>
        </w:rPr>
        <w:t>in the event that</w:t>
      </w:r>
      <w:proofErr w:type="gramEnd"/>
      <w:r w:rsidRPr="00BB7375">
        <w:rPr>
          <w:rFonts w:ascii="Arial" w:hAnsi="Arial" w:cs="Arial"/>
          <w:sz w:val="24"/>
          <w:szCs w:val="24"/>
        </w:rPr>
        <w:t xml:space="preserve"> the employer is determined to be in violation of employment equity standards. Furthermore, the court may mandate reinstatement, restitution, or other suitable remedies in situations where non-compliance has caused harm to employees.</w:t>
      </w:r>
    </w:p>
    <w:p w14:paraId="1FD3C93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w:t>
      </w:r>
      <w:r w:rsidRPr="00BB7375">
        <w:rPr>
          <w:rFonts w:ascii="Arial" w:hAnsi="Arial" w:cs="Arial"/>
          <w:i/>
          <w:iCs/>
          <w:sz w:val="24"/>
          <w:szCs w:val="24"/>
        </w:rPr>
        <w:t>Solidarity obo Pretorius v City of Tshwane Metropolitan Municipality and Others</w:t>
      </w:r>
      <w:r w:rsidRPr="00BB7375">
        <w:rPr>
          <w:rFonts w:ascii="Arial" w:hAnsi="Arial" w:cs="Arial"/>
          <w:sz w:val="24"/>
          <w:szCs w:val="24"/>
        </w:rPr>
        <w:t>,</w:t>
      </w:r>
      <w:r w:rsidRPr="00BB7375">
        <w:rPr>
          <w:rFonts w:ascii="Arial" w:hAnsi="Arial" w:cs="Arial"/>
          <w:sz w:val="24"/>
          <w:szCs w:val="24"/>
          <w:vertAlign w:val="superscript"/>
        </w:rPr>
        <w:footnoteReference w:id="336"/>
      </w:r>
      <w:r w:rsidRPr="00BB7375">
        <w:rPr>
          <w:rFonts w:ascii="Arial" w:hAnsi="Arial" w:cs="Arial"/>
          <w:sz w:val="24"/>
          <w:szCs w:val="24"/>
        </w:rPr>
        <w:t xml:space="preserve"> the Labour Court was required to assess whether Mr. Pretorius' exclusion constituted unfair discrimination and whether the City's Staffing Policy met the requirements of the </w:t>
      </w:r>
      <w:r w:rsidRPr="00BB7375">
        <w:rPr>
          <w:rFonts w:ascii="Arial" w:hAnsi="Arial" w:cs="Arial"/>
          <w:i/>
          <w:iCs/>
          <w:sz w:val="24"/>
          <w:szCs w:val="24"/>
        </w:rPr>
        <w:t>Employment Equity Act</w:t>
      </w:r>
      <w:r w:rsidRPr="00BB7375">
        <w:rPr>
          <w:rFonts w:ascii="Arial" w:hAnsi="Arial" w:cs="Arial"/>
          <w:sz w:val="24"/>
          <w:szCs w:val="24"/>
        </w:rPr>
        <w:t xml:space="preserve"> as a legitimate affirmative action. The city had no legal basis to support its use of affirmative action policies, the court ruled, because it lacked a proper Employment Equity Plan.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achieve fair representation, section 20 of the </w:t>
      </w:r>
      <w:r w:rsidRPr="00BB7375">
        <w:rPr>
          <w:rFonts w:ascii="Arial" w:hAnsi="Arial" w:cs="Arial"/>
          <w:i/>
          <w:iCs/>
          <w:sz w:val="24"/>
          <w:szCs w:val="24"/>
        </w:rPr>
        <w:t>EEA</w:t>
      </w:r>
      <w:r w:rsidRPr="00BB7375">
        <w:rPr>
          <w:rFonts w:ascii="Arial" w:hAnsi="Arial" w:cs="Arial"/>
          <w:sz w:val="24"/>
          <w:szCs w:val="24"/>
        </w:rPr>
        <w:t xml:space="preserve"> mandates that designated companies create and carry out an Employment Equity Plan that outlines specific objectives, tactics, and deadlines. The court stressed that, in accordance with sections 15 and 42 of the </w:t>
      </w:r>
      <w:r w:rsidRPr="00BB7375">
        <w:rPr>
          <w:rFonts w:ascii="Arial" w:hAnsi="Arial" w:cs="Arial"/>
          <w:i/>
          <w:iCs/>
          <w:sz w:val="24"/>
          <w:szCs w:val="24"/>
        </w:rPr>
        <w:t>EEA,</w:t>
      </w:r>
      <w:r w:rsidRPr="00BB7375">
        <w:rPr>
          <w:rFonts w:ascii="Arial" w:hAnsi="Arial" w:cs="Arial"/>
          <w:sz w:val="24"/>
          <w:szCs w:val="24"/>
        </w:rPr>
        <w:t xml:space="preserve"> affirmative action policies must be a component of a systematic and quantifiable plan. Mr. Pretorius was excluded under the Staffing Policy because it lacked the numerical targets and clarity required to be considered a legitimate affirmative action program and as such, the policy would not be able to legally exclude a candidate from a non-designated group without these components. The court determined that Mr. Pretorius's exclusion was based only on his gender and race. According to the court, this strategy constituted unjust </w:t>
      </w:r>
      <w:r w:rsidRPr="00BB7375">
        <w:rPr>
          <w:rFonts w:ascii="Arial" w:hAnsi="Arial" w:cs="Arial"/>
          <w:sz w:val="24"/>
          <w:szCs w:val="24"/>
        </w:rPr>
        <w:lastRenderedPageBreak/>
        <w:t xml:space="preserve">discrimination as the decision was taken without </w:t>
      </w:r>
      <w:proofErr w:type="gramStart"/>
      <w:r w:rsidRPr="00BB7375">
        <w:rPr>
          <w:rFonts w:ascii="Arial" w:hAnsi="Arial" w:cs="Arial"/>
          <w:sz w:val="24"/>
          <w:szCs w:val="24"/>
        </w:rPr>
        <w:t>taking into account</w:t>
      </w:r>
      <w:proofErr w:type="gramEnd"/>
      <w:r w:rsidRPr="00BB7375">
        <w:rPr>
          <w:rFonts w:ascii="Arial" w:hAnsi="Arial" w:cs="Arial"/>
          <w:sz w:val="24"/>
          <w:szCs w:val="24"/>
        </w:rPr>
        <w:t xml:space="preserve"> operational concerns, broader equity goals, or the particular requirements of the position, </w:t>
      </w:r>
    </w:p>
    <w:p w14:paraId="1ADA3FC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w:t>
      </w:r>
      <w:r w:rsidRPr="00BB7375">
        <w:rPr>
          <w:rFonts w:ascii="Arial" w:hAnsi="Arial" w:cs="Arial"/>
          <w:i/>
          <w:iCs/>
          <w:sz w:val="24"/>
          <w:szCs w:val="24"/>
        </w:rPr>
        <w:t>MWU obo van Coller v Eskom</w:t>
      </w:r>
      <w:r w:rsidRPr="00BB7375">
        <w:rPr>
          <w:rFonts w:ascii="Arial" w:hAnsi="Arial" w:cs="Arial"/>
          <w:i/>
          <w:iCs/>
          <w:sz w:val="24"/>
          <w:szCs w:val="24"/>
          <w:vertAlign w:val="superscript"/>
        </w:rPr>
        <w:footnoteReference w:id="337"/>
      </w:r>
      <w:r w:rsidRPr="00BB7375">
        <w:rPr>
          <w:rFonts w:ascii="Arial" w:hAnsi="Arial" w:cs="Arial"/>
          <w:sz w:val="24"/>
          <w:szCs w:val="24"/>
        </w:rPr>
        <w:t xml:space="preserve">, it was determined that an employer cannot use affirmative action as a defence against a claim of racial discrimination in the absence of explicit measures or a plan of action to achieve </w:t>
      </w:r>
      <w:proofErr w:type="gramStart"/>
      <w:r w:rsidRPr="00BB7375">
        <w:rPr>
          <w:rFonts w:ascii="Arial" w:hAnsi="Arial" w:cs="Arial"/>
          <w:sz w:val="24"/>
          <w:szCs w:val="24"/>
        </w:rPr>
        <w:t>particular numerical</w:t>
      </w:r>
      <w:proofErr w:type="gramEnd"/>
      <w:r w:rsidRPr="00BB7375">
        <w:rPr>
          <w:rFonts w:ascii="Arial" w:hAnsi="Arial" w:cs="Arial"/>
          <w:sz w:val="24"/>
          <w:szCs w:val="24"/>
        </w:rPr>
        <w:t xml:space="preserve"> goals. </w:t>
      </w:r>
    </w:p>
    <w:p w14:paraId="41CDB37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However, the main question in </w:t>
      </w:r>
      <w:proofErr w:type="spellStart"/>
      <w:r w:rsidRPr="00BB7375">
        <w:rPr>
          <w:rFonts w:ascii="Arial" w:hAnsi="Arial" w:cs="Arial"/>
          <w:i/>
          <w:iCs/>
          <w:sz w:val="24"/>
          <w:szCs w:val="24"/>
        </w:rPr>
        <w:t>Nehawu</w:t>
      </w:r>
      <w:proofErr w:type="spellEnd"/>
      <w:r w:rsidRPr="00BB7375">
        <w:rPr>
          <w:rFonts w:ascii="Arial" w:hAnsi="Arial" w:cs="Arial"/>
          <w:i/>
          <w:iCs/>
          <w:sz w:val="24"/>
          <w:szCs w:val="24"/>
        </w:rPr>
        <w:t xml:space="preserve"> obo </w:t>
      </w:r>
      <w:proofErr w:type="spellStart"/>
      <w:r w:rsidRPr="00BB7375">
        <w:rPr>
          <w:rFonts w:ascii="Arial" w:hAnsi="Arial" w:cs="Arial"/>
          <w:i/>
          <w:iCs/>
          <w:sz w:val="24"/>
          <w:szCs w:val="24"/>
        </w:rPr>
        <w:t>Manyana</w:t>
      </w:r>
      <w:proofErr w:type="spellEnd"/>
      <w:r w:rsidRPr="00BB7375">
        <w:rPr>
          <w:rFonts w:ascii="Arial" w:hAnsi="Arial" w:cs="Arial"/>
          <w:i/>
          <w:iCs/>
          <w:sz w:val="24"/>
          <w:szCs w:val="24"/>
        </w:rPr>
        <w:t xml:space="preserve"> and Others v </w:t>
      </w:r>
      <w:proofErr w:type="spellStart"/>
      <w:r w:rsidRPr="00BB7375">
        <w:rPr>
          <w:rFonts w:ascii="Arial" w:hAnsi="Arial" w:cs="Arial"/>
          <w:i/>
          <w:iCs/>
          <w:sz w:val="24"/>
          <w:szCs w:val="24"/>
        </w:rPr>
        <w:t>Masege</w:t>
      </w:r>
      <w:proofErr w:type="spellEnd"/>
      <w:r w:rsidRPr="00BB7375">
        <w:rPr>
          <w:rFonts w:ascii="Arial" w:hAnsi="Arial" w:cs="Arial"/>
          <w:i/>
          <w:iCs/>
          <w:sz w:val="24"/>
          <w:szCs w:val="24"/>
        </w:rPr>
        <w:t xml:space="preserve"> NO and Others</w:t>
      </w:r>
      <w:r w:rsidRPr="00BB7375">
        <w:rPr>
          <w:rFonts w:ascii="Arial" w:hAnsi="Arial" w:cs="Arial"/>
          <w:sz w:val="24"/>
          <w:szCs w:val="24"/>
        </w:rPr>
        <w:t xml:space="preserve"> was whether the Department's refusal to appoint the petitioners amounted to an unfair labour practice.</w:t>
      </w:r>
      <w:r w:rsidRPr="00BB7375">
        <w:rPr>
          <w:rFonts w:ascii="Arial" w:hAnsi="Arial" w:cs="Arial"/>
          <w:sz w:val="24"/>
          <w:szCs w:val="24"/>
          <w:vertAlign w:val="superscript"/>
        </w:rPr>
        <w:footnoteReference w:id="338"/>
      </w:r>
      <w:r w:rsidRPr="00BB7375">
        <w:rPr>
          <w:rFonts w:ascii="Arial" w:hAnsi="Arial" w:cs="Arial"/>
          <w:sz w:val="24"/>
          <w:szCs w:val="24"/>
        </w:rPr>
        <w:t xml:space="preserve"> Justifying the Department's reliance on general employment equity factors in the absence of a formal and legal EE Plan was a key component of this decision. The Department did not have a formal EE Plan in place when it made judgments about the contested promotions, as the Labour Court accepted, however, the court decided that the Department was nonetheless allowed to take general employment equality principles into consideration notwithstanding the lack of an EE Plan. The court declared clear that the Department was still required to follow fair procedures during the selection process even in the absence of a legal EE Plan. Consistency with current policies and the lack of capricious or discriminatory behaviours were used to evaluate how </w:t>
      </w:r>
      <w:proofErr w:type="spellStart"/>
      <w:r w:rsidRPr="00BB7375">
        <w:rPr>
          <w:rFonts w:ascii="Arial" w:hAnsi="Arial" w:cs="Arial"/>
          <w:sz w:val="24"/>
          <w:szCs w:val="24"/>
        </w:rPr>
        <w:t>fair</w:t>
      </w:r>
      <w:proofErr w:type="spellEnd"/>
      <w:r w:rsidRPr="00BB7375">
        <w:rPr>
          <w:rFonts w:ascii="Arial" w:hAnsi="Arial" w:cs="Arial"/>
          <w:sz w:val="24"/>
          <w:szCs w:val="24"/>
        </w:rPr>
        <w:t xml:space="preserve"> the hiring process was. The court moreover noted that the Department's choice to give preference to Black female candidates was justified by both internal policy objectives and more general EEA legal requirements.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address underrepresentation in leadership positions, equity considerations were not arbitrary. Finally, citing cases like </w:t>
      </w:r>
      <w:r w:rsidRPr="00BB7375">
        <w:rPr>
          <w:rFonts w:ascii="Arial" w:hAnsi="Arial" w:cs="Arial"/>
          <w:i/>
          <w:iCs/>
          <w:sz w:val="24"/>
          <w:szCs w:val="24"/>
        </w:rPr>
        <w:t>Willemse v </w:t>
      </w:r>
      <w:proofErr w:type="spellStart"/>
      <w:r w:rsidRPr="00BB7375">
        <w:rPr>
          <w:rFonts w:ascii="Arial" w:hAnsi="Arial" w:cs="Arial"/>
          <w:i/>
          <w:iCs/>
          <w:sz w:val="24"/>
          <w:szCs w:val="24"/>
        </w:rPr>
        <w:t>Patelia</w:t>
      </w:r>
      <w:proofErr w:type="spellEnd"/>
      <w:r w:rsidRPr="00BB7375">
        <w:rPr>
          <w:rFonts w:ascii="Arial" w:hAnsi="Arial" w:cs="Arial"/>
          <w:i/>
          <w:iCs/>
          <w:sz w:val="24"/>
          <w:szCs w:val="24"/>
        </w:rPr>
        <w:t xml:space="preserve"> NO and Others</w:t>
      </w:r>
      <w:r w:rsidRPr="00BB7375">
        <w:rPr>
          <w:rFonts w:ascii="Arial" w:hAnsi="Arial" w:cs="Arial"/>
          <w:sz w:val="24"/>
          <w:szCs w:val="24"/>
        </w:rPr>
        <w:t>, the court pointed out that employers could legitimately use general equity considerations even if they didn't have a specific plan. This was justified by the need for such considerations to be in line with internal business guidelines and legislative requirements that promote workplace transformation and representation.</w:t>
      </w:r>
    </w:p>
    <w:p w14:paraId="22AAA58B" w14:textId="7288B80F"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summary, the judicial test used in instances when there is no legitimate EE Plan depends on striking a balance between legislative compliance, procedural fairness, and conformity with transformative objectives. </w:t>
      </w:r>
      <w:r w:rsidRPr="00BB7375">
        <w:rPr>
          <w:rFonts w:ascii="Arial" w:hAnsi="Arial" w:cs="Arial"/>
          <w:i/>
          <w:iCs/>
          <w:sz w:val="24"/>
          <w:szCs w:val="24"/>
        </w:rPr>
        <w:t>Pretorius</w:t>
      </w:r>
      <w:r w:rsidRPr="00BB7375">
        <w:rPr>
          <w:rFonts w:ascii="Arial" w:hAnsi="Arial" w:cs="Arial"/>
          <w:sz w:val="24"/>
          <w:szCs w:val="24"/>
        </w:rPr>
        <w:t xml:space="preserve"> emphasizes the vital significance of a legitimate EE Plan as a safeguard against arbitrariness and unlawful </w:t>
      </w:r>
      <w:r w:rsidRPr="00BB7375">
        <w:rPr>
          <w:rFonts w:ascii="Arial" w:hAnsi="Arial" w:cs="Arial"/>
          <w:sz w:val="24"/>
          <w:szCs w:val="24"/>
        </w:rPr>
        <w:lastRenderedPageBreak/>
        <w:t xml:space="preserve">discrimination, whereas </w:t>
      </w:r>
      <w:proofErr w:type="spellStart"/>
      <w:r w:rsidRPr="00BB7375">
        <w:rPr>
          <w:rFonts w:ascii="Arial" w:hAnsi="Arial" w:cs="Arial"/>
          <w:i/>
          <w:iCs/>
          <w:sz w:val="24"/>
          <w:szCs w:val="24"/>
        </w:rPr>
        <w:t>Nehawu</w:t>
      </w:r>
      <w:proofErr w:type="spellEnd"/>
      <w:r w:rsidRPr="00BB7375">
        <w:rPr>
          <w:rFonts w:ascii="Arial" w:hAnsi="Arial" w:cs="Arial"/>
          <w:sz w:val="24"/>
          <w:szCs w:val="24"/>
        </w:rPr>
        <w:t xml:space="preserve"> demonstrated the courts' ability to be flexible when equity considerations are substantively justified. Together, these cases highlight the need for affirmative action policies to uphold reasonable, legal, and procedurally sound frameworks in addition to fostering equity.</w:t>
      </w:r>
    </w:p>
    <w:p w14:paraId="079D899C" w14:textId="66512395" w:rsidR="00BB7375" w:rsidRPr="00BB7375" w:rsidRDefault="00A726E2" w:rsidP="00872D2D">
      <w:pPr>
        <w:pStyle w:val="Heading1"/>
      </w:pPr>
      <w:bookmarkStart w:id="188" w:name="_Toc189739351"/>
      <w:r>
        <w:t>3</w:t>
      </w:r>
      <w:r w:rsidR="00BB7375" w:rsidRPr="00BB7375">
        <w:t>.</w:t>
      </w:r>
      <w:r>
        <w:t>5</w:t>
      </w:r>
      <w:r w:rsidR="00BB7375" w:rsidRPr="00BB7375">
        <w:t xml:space="preserve"> Requirements that AA must comply with in order not to constitute unfair discrimination</w:t>
      </w:r>
      <w:bookmarkEnd w:id="188"/>
    </w:p>
    <w:p w14:paraId="41B4DD6B"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One of the main pillars of South Africa's attempts to address past injustices and promote substantive equality as envisioned by the Constitution is affirmative action. Although the goal of affirmative action as a corrective measure is to remedy the systemic injustices rooted in historical discrimination, its applicability and effects must be consistent with constitutional standards to prevent exploitation or arbitrary results. Whether the execution of affirmative action plans substantially advances the constitutional objective of substantive equality is the primary question that emerges when reviewing these initiatives. The need for a precise and uniform criterion by which affirmative action initiatives can be evaluated is brought into focus by this inquiry.</w:t>
      </w:r>
    </w:p>
    <w:p w14:paraId="529F311B"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While acknowledging the significance of this challenge, the Constitutional Court has not yet entirely resolved the question of which norm should apply in every situation, as seen in instances such as </w:t>
      </w:r>
      <w:r w:rsidRPr="00BB7375">
        <w:rPr>
          <w:rFonts w:ascii="Arial" w:hAnsi="Arial" w:cs="Arial"/>
          <w:i/>
          <w:iCs/>
          <w:sz w:val="24"/>
          <w:szCs w:val="24"/>
        </w:rPr>
        <w:t>South African Police Service v Barnard</w:t>
      </w:r>
      <w:r w:rsidRPr="00BB7375">
        <w:rPr>
          <w:rFonts w:ascii="Arial" w:hAnsi="Arial" w:cs="Arial"/>
          <w:sz w:val="24"/>
          <w:szCs w:val="24"/>
        </w:rPr>
        <w:t xml:space="preserve"> and </w:t>
      </w:r>
      <w:r w:rsidRPr="00BB7375">
        <w:rPr>
          <w:rFonts w:ascii="Arial" w:hAnsi="Arial" w:cs="Arial"/>
          <w:i/>
          <w:iCs/>
          <w:sz w:val="24"/>
          <w:szCs w:val="24"/>
        </w:rPr>
        <w:t>Minister of Finance v Van Heerden.</w:t>
      </w:r>
      <w:r w:rsidRPr="00BB7375">
        <w:rPr>
          <w:rFonts w:ascii="Arial" w:hAnsi="Arial" w:cs="Arial"/>
          <w:sz w:val="24"/>
          <w:szCs w:val="24"/>
        </w:rPr>
        <w:t xml:space="preserve"> Conservatives contend that although rationality has frequently been the main criterion used, it might not be sufficient to guarantee that affirmative action policies are implemented in a way that is fair and are compatible with their intended objectives. As a result, this has resulted in a notable and complex discussion regarding the most appropriate constitutional criterion for assessing affirmative action initiatives centred around whether the emphasis should be on whether the strategy attains justice in its implementation, whether it establishes a rationale in conjunction with the objective of equality, or whether it strikes an appropriate equilibrium between benefitting underprivileged groups and combating undue harm to others? Therefore, the three main prerequisites for legitimate AA measures are examined in this discussion, together with the standard of review that applies to AA measures and the relative merits of rationality, proportionality, and fairness as parameters for inspection.</w:t>
      </w:r>
    </w:p>
    <w:p w14:paraId="402BAD7A" w14:textId="0C82C99E" w:rsidR="00BB7375" w:rsidRPr="00BB7375" w:rsidRDefault="00A726E2" w:rsidP="00452249">
      <w:pPr>
        <w:pStyle w:val="Heading2"/>
        <w:ind w:left="981" w:hanging="624"/>
      </w:pPr>
      <w:bookmarkStart w:id="189" w:name="_Toc189739352"/>
      <w:r>
        <w:lastRenderedPageBreak/>
        <w:t>3</w:t>
      </w:r>
      <w:r w:rsidR="00BB7375" w:rsidRPr="00BB7375">
        <w:t>.</w:t>
      </w:r>
      <w:r>
        <w:t>5</w:t>
      </w:r>
      <w:r w:rsidR="00BB7375" w:rsidRPr="00BB7375">
        <w:t>.1 Legislative requirements for a valid affirmative action in terms of the EEA</w:t>
      </w:r>
      <w:bookmarkEnd w:id="189"/>
    </w:p>
    <w:p w14:paraId="66AB04E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South Africa, affirmative action is based on laws and constitutional provisions intended to rectify historical discrimination and provide substantive equality. The </w:t>
      </w:r>
      <w:r w:rsidRPr="00BB7375">
        <w:rPr>
          <w:rFonts w:ascii="Arial" w:hAnsi="Arial" w:cs="Arial"/>
          <w:i/>
          <w:iCs/>
          <w:sz w:val="24"/>
          <w:szCs w:val="24"/>
        </w:rPr>
        <w:t>Constitution</w:t>
      </w:r>
      <w:r w:rsidRPr="00BB7375">
        <w:rPr>
          <w:rFonts w:ascii="Arial" w:hAnsi="Arial" w:cs="Arial"/>
          <w:sz w:val="24"/>
          <w:szCs w:val="24"/>
        </w:rPr>
        <w:t xml:space="preserve">'s section 9(2) expressly authorizes actions intended to advance individuals or groups who have been unfairly discriminated against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advance equality. These policies ought to be fair, rational, and able to accomplish their stated goals. These constitutional values are operationalized in the workplace environment by the </w:t>
      </w:r>
      <w:r w:rsidRPr="00BB7375">
        <w:rPr>
          <w:rFonts w:ascii="Arial" w:hAnsi="Arial" w:cs="Arial"/>
          <w:i/>
          <w:iCs/>
          <w:sz w:val="24"/>
          <w:szCs w:val="24"/>
        </w:rPr>
        <w:t>Employment Equity Act</w:t>
      </w:r>
      <w:r w:rsidRPr="00BB7375">
        <w:rPr>
          <w:rFonts w:ascii="Arial" w:hAnsi="Arial" w:cs="Arial"/>
          <w:sz w:val="24"/>
          <w:szCs w:val="24"/>
        </w:rPr>
        <w:t>, which together, provide the framework for legitimate AA measures.</w:t>
      </w:r>
    </w:p>
    <w:p w14:paraId="49E7D4C1"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Affirmative action policies must adhere to section 15 of the </w:t>
      </w:r>
      <w:r w:rsidRPr="00BB7375">
        <w:rPr>
          <w:rFonts w:ascii="Arial" w:hAnsi="Arial" w:cs="Arial"/>
          <w:i/>
          <w:iCs/>
          <w:sz w:val="24"/>
          <w:szCs w:val="24"/>
        </w:rPr>
        <w:t>Employment Equity Act</w:t>
      </w:r>
      <w:r w:rsidRPr="00BB7375">
        <w:rPr>
          <w:rFonts w:ascii="Arial" w:hAnsi="Arial" w:cs="Arial"/>
          <w:sz w:val="24"/>
          <w:szCs w:val="24"/>
        </w:rPr>
        <w:t xml:space="preserve">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be deemed lawful. This provision mandates that affirmative action policies guarantee that qualified members of designated groups have equitable representation at all occupational levels and have equal employment opportunities. Employment obstacles, such as unjust discrimination that negatively impacts specific groups, must be identified and eliminated and diversity in the workplace founded on respect and equality for all workers must be reinforced. Additionally, employers </w:t>
      </w:r>
      <w:proofErr w:type="gramStart"/>
      <w:r w:rsidRPr="00BB7375">
        <w:rPr>
          <w:rFonts w:ascii="Arial" w:hAnsi="Arial" w:cs="Arial"/>
          <w:sz w:val="24"/>
          <w:szCs w:val="24"/>
        </w:rPr>
        <w:t>have to</w:t>
      </w:r>
      <w:proofErr w:type="gramEnd"/>
      <w:r w:rsidRPr="00BB7375">
        <w:rPr>
          <w:rFonts w:ascii="Arial" w:hAnsi="Arial" w:cs="Arial"/>
          <w:sz w:val="24"/>
          <w:szCs w:val="24"/>
        </w:rPr>
        <w:t xml:space="preserve"> establish reasonable accommodations to guarantee equal representation and opportunities for specific demographics and put policies in place to achieve equitable representation, retain, and develop members of these groups through suitable training and development initiatives. Crucially, although numerical targets and preferential treatment may be employed, quotas are specifically forbidden, and no employment policy or practice may render it impossible for people who do not belong to specific groups to be hired, stay employed, or evolve in their careers.</w:t>
      </w:r>
    </w:p>
    <w:p w14:paraId="5DD9CADA"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Additionally, affirmative action measures must comply with section 6(1) of the </w:t>
      </w:r>
      <w:r w:rsidRPr="00BB7375">
        <w:rPr>
          <w:rFonts w:ascii="Arial" w:hAnsi="Arial" w:cs="Arial"/>
          <w:i/>
          <w:iCs/>
          <w:sz w:val="24"/>
          <w:szCs w:val="24"/>
        </w:rPr>
        <w:t>EEA</w:t>
      </w:r>
      <w:r w:rsidRPr="00BB7375">
        <w:rPr>
          <w:rFonts w:ascii="Arial" w:hAnsi="Arial" w:cs="Arial"/>
          <w:sz w:val="24"/>
          <w:szCs w:val="24"/>
        </w:rPr>
        <w:t xml:space="preserve">, which states that no one may unjustly discriminate against an employee on </w:t>
      </w:r>
      <w:proofErr w:type="gramStart"/>
      <w:r w:rsidRPr="00BB7375">
        <w:rPr>
          <w:rFonts w:ascii="Arial" w:hAnsi="Arial" w:cs="Arial"/>
          <w:sz w:val="24"/>
          <w:szCs w:val="24"/>
        </w:rPr>
        <w:t>a number of</w:t>
      </w:r>
      <w:proofErr w:type="gramEnd"/>
      <w:r w:rsidRPr="00BB7375">
        <w:rPr>
          <w:rFonts w:ascii="Arial" w:hAnsi="Arial" w:cs="Arial"/>
          <w:sz w:val="24"/>
          <w:szCs w:val="24"/>
        </w:rPr>
        <w:t xml:space="preserve"> specified reasons, such as race, gender, or disability. Nonetheless, section 6(2) offers a crucial disclaimer, noting that affirmative action actions that are in line with this Act's goals are not unlawfully discriminatory in nature.</w:t>
      </w:r>
      <w:r w:rsidRPr="00BB7375">
        <w:rPr>
          <w:rFonts w:ascii="Times New Roman" w:eastAsia="Times New Roman" w:hAnsi="Times New Roman" w:cs="Times New Roman"/>
          <w:kern w:val="0"/>
          <w:sz w:val="24"/>
          <w:szCs w:val="24"/>
          <w:lang w:eastAsia="en-ZA"/>
          <w14:ligatures w14:val="none"/>
        </w:rPr>
        <w:t xml:space="preserve"> </w:t>
      </w:r>
      <w:r w:rsidRPr="00BB7375">
        <w:rPr>
          <w:rFonts w:ascii="Arial" w:hAnsi="Arial" w:cs="Arial"/>
          <w:sz w:val="24"/>
          <w:szCs w:val="24"/>
        </w:rPr>
        <w:t xml:space="preserve">Consequently, section 6 serves as a dual safeguard in the context of affirmative action. On the one hand, it averts abuse of AA by guaranteeing that such actions are incapable of supporting unjust or capricious discrimination. Conversely, it prevents valid AA policies from being assumed to be unjust, highlighting the fact that these actions are a component of a </w:t>
      </w:r>
      <w:r w:rsidRPr="00BB7375">
        <w:rPr>
          <w:rFonts w:ascii="Arial" w:hAnsi="Arial" w:cs="Arial"/>
          <w:sz w:val="24"/>
          <w:szCs w:val="24"/>
        </w:rPr>
        <w:lastRenderedPageBreak/>
        <w:t xml:space="preserve">constitutional initiative to rectify past workplace injustices. This distinction was made clear in </w:t>
      </w:r>
      <w:r w:rsidRPr="00BB7375">
        <w:rPr>
          <w:rFonts w:ascii="Arial" w:hAnsi="Arial" w:cs="Arial"/>
          <w:i/>
          <w:iCs/>
          <w:sz w:val="24"/>
          <w:szCs w:val="24"/>
        </w:rPr>
        <w:t>South African Police Service v Solidarity obo Barnard</w:t>
      </w:r>
      <w:r w:rsidRPr="00BB7375">
        <w:rPr>
          <w:rFonts w:ascii="Arial" w:hAnsi="Arial" w:cs="Arial"/>
          <w:sz w:val="24"/>
          <w:szCs w:val="24"/>
        </w:rPr>
        <w:t>,</w:t>
      </w:r>
      <w:r w:rsidRPr="00BB7375">
        <w:rPr>
          <w:rFonts w:ascii="Arial" w:hAnsi="Arial" w:cs="Arial"/>
          <w:sz w:val="24"/>
          <w:szCs w:val="24"/>
          <w:vertAlign w:val="superscript"/>
        </w:rPr>
        <w:footnoteReference w:id="339"/>
      </w:r>
      <w:r w:rsidRPr="00BB7375">
        <w:rPr>
          <w:rFonts w:ascii="Arial" w:hAnsi="Arial" w:cs="Arial"/>
          <w:sz w:val="24"/>
          <w:szCs w:val="24"/>
        </w:rPr>
        <w:t xml:space="preserve"> where the Constitutional Court underscored that </w:t>
      </w:r>
      <w:proofErr w:type="gramStart"/>
      <w:r w:rsidRPr="00BB7375">
        <w:rPr>
          <w:rFonts w:ascii="Arial" w:hAnsi="Arial" w:cs="Arial"/>
          <w:sz w:val="24"/>
          <w:szCs w:val="24"/>
        </w:rPr>
        <w:t>in order for</w:t>
      </w:r>
      <w:proofErr w:type="gramEnd"/>
      <w:r w:rsidRPr="00BB7375">
        <w:rPr>
          <w:rFonts w:ascii="Arial" w:hAnsi="Arial" w:cs="Arial"/>
          <w:sz w:val="24"/>
          <w:szCs w:val="24"/>
        </w:rPr>
        <w:t xml:space="preserve"> AA measures to be both legal and effective, they must fulfil certain requirements.</w:t>
      </w:r>
    </w:p>
    <w:p w14:paraId="0747E5C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Finally, an affirmative action policy must adhere to section 20 of the </w:t>
      </w:r>
      <w:r w:rsidRPr="00BB7375">
        <w:rPr>
          <w:rFonts w:ascii="Arial" w:hAnsi="Arial" w:cs="Arial"/>
          <w:i/>
          <w:iCs/>
          <w:sz w:val="24"/>
          <w:szCs w:val="24"/>
        </w:rPr>
        <w:t>EEA</w:t>
      </w:r>
      <w:r w:rsidRPr="00BB7375">
        <w:rPr>
          <w:rFonts w:ascii="Arial" w:hAnsi="Arial" w:cs="Arial"/>
          <w:sz w:val="24"/>
          <w:szCs w:val="24"/>
        </w:rPr>
        <w:t>, which mandates that companies create and carry out employment equality plans that are especially suited to their organizational setting. These plans must make sure that the policies enacted are sensible, workable, and consistent with the Act's overarching goals, which include correcting historical disadvantage in the workforce and advancing equal representation.</w:t>
      </w:r>
    </w:p>
    <w:p w14:paraId="6C463823"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Affirmative action policies must be rational and able to address systemic inequity without violating the rights of others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be considered legitimate. This requirement is intertwined with employers' obligations, given that they are responsible for ensuring that their AA policies adhere to legal and constitutional requirements because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rectify past disadvantage and preserve workplace equity and diversity, employers must find an appropriate balance. Additionally, </w:t>
      </w:r>
      <w:proofErr w:type="gramStart"/>
      <w:r w:rsidRPr="00BB7375">
        <w:rPr>
          <w:rFonts w:ascii="Arial" w:hAnsi="Arial" w:cs="Arial"/>
          <w:sz w:val="24"/>
          <w:szCs w:val="24"/>
        </w:rPr>
        <w:t>whether or not</w:t>
      </w:r>
      <w:proofErr w:type="gramEnd"/>
      <w:r w:rsidRPr="00BB7375">
        <w:rPr>
          <w:rFonts w:ascii="Arial" w:hAnsi="Arial" w:cs="Arial"/>
          <w:sz w:val="24"/>
          <w:szCs w:val="24"/>
        </w:rPr>
        <w:t xml:space="preserve"> the measures actually advance substantive equality, and their proportionality has an impact on their validity. This implies that while employers have an obligation to promote the interests of specific groups, they also have a need to make sure that their pursuit of AA is attuned to their employment setting and does not cause unfair exclusion or prejudice to other employees.</w:t>
      </w:r>
    </w:p>
    <w:p w14:paraId="5CE48FCC" w14:textId="10732800" w:rsidR="00BB7375" w:rsidRPr="00BB7375" w:rsidRDefault="00A726E2" w:rsidP="00452249">
      <w:pPr>
        <w:pStyle w:val="Heading2"/>
        <w:ind w:left="1037" w:hanging="680"/>
      </w:pPr>
      <w:bookmarkStart w:id="190" w:name="_Toc189739353"/>
      <w:r>
        <w:t>3</w:t>
      </w:r>
      <w:r w:rsidR="00BB7375" w:rsidRPr="00BB7375">
        <w:t>.</w:t>
      </w:r>
      <w:r>
        <w:t>5</w:t>
      </w:r>
      <w:r w:rsidR="00BB7375" w:rsidRPr="00BB7375">
        <w:t>.2 The judicial standards for implementing affirmative action (the three-test requirement)</w:t>
      </w:r>
      <w:bookmarkEnd w:id="190"/>
    </w:p>
    <w:p w14:paraId="476D735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Constitutional Court has set specific requirements for evaluating the constitutionality of affirmative action practices, which these programs </w:t>
      </w:r>
      <w:proofErr w:type="gramStart"/>
      <w:r w:rsidRPr="00BB7375">
        <w:rPr>
          <w:rFonts w:ascii="Arial" w:hAnsi="Arial" w:cs="Arial"/>
          <w:sz w:val="24"/>
          <w:szCs w:val="24"/>
        </w:rPr>
        <w:t>have to</w:t>
      </w:r>
      <w:proofErr w:type="gramEnd"/>
      <w:r w:rsidRPr="00BB7375">
        <w:rPr>
          <w:rFonts w:ascii="Arial" w:hAnsi="Arial" w:cs="Arial"/>
          <w:sz w:val="24"/>
          <w:szCs w:val="24"/>
        </w:rPr>
        <w:t xml:space="preserve"> comply with. These standards were initially stated in the landmark case of </w:t>
      </w:r>
      <w:r w:rsidRPr="00BB7375">
        <w:rPr>
          <w:rFonts w:ascii="Arial" w:hAnsi="Arial" w:cs="Arial"/>
          <w:i/>
          <w:iCs/>
          <w:sz w:val="24"/>
          <w:szCs w:val="24"/>
        </w:rPr>
        <w:t>Minister of Finance v Van Heerden</w:t>
      </w:r>
      <w:r w:rsidRPr="00BB7375">
        <w:rPr>
          <w:rFonts w:ascii="Arial" w:hAnsi="Arial" w:cs="Arial"/>
          <w:sz w:val="24"/>
          <w:szCs w:val="24"/>
        </w:rPr>
        <w:t xml:space="preserve">, and they have since been upheld in later rulings, such as </w:t>
      </w:r>
      <w:r w:rsidRPr="00BB7375">
        <w:rPr>
          <w:rFonts w:ascii="Arial" w:hAnsi="Arial" w:cs="Arial"/>
          <w:i/>
          <w:iCs/>
          <w:sz w:val="24"/>
          <w:szCs w:val="24"/>
        </w:rPr>
        <w:t>Solidarity obo Barnard v South African Police Service</w:t>
      </w:r>
      <w:r w:rsidRPr="00BB7375">
        <w:rPr>
          <w:rFonts w:ascii="Arial" w:hAnsi="Arial" w:cs="Arial"/>
          <w:sz w:val="24"/>
          <w:szCs w:val="24"/>
        </w:rPr>
        <w:t xml:space="preserve">. In order to guarantee that affirmative action policies are reasonable and do not contravene the constitutional precepts of equality and non-discrimination, the Constitutional Court underlined that they must </w:t>
      </w:r>
      <w:r w:rsidRPr="00BB7375">
        <w:rPr>
          <w:rFonts w:ascii="Arial" w:hAnsi="Arial" w:cs="Arial"/>
          <w:sz w:val="24"/>
          <w:szCs w:val="24"/>
        </w:rPr>
        <w:lastRenderedPageBreak/>
        <w:t>fulfil three essential requirements.</w:t>
      </w:r>
      <w:r w:rsidRPr="00BB7375">
        <w:rPr>
          <w:rFonts w:ascii="Arial" w:hAnsi="Arial" w:cs="Arial"/>
          <w:sz w:val="24"/>
          <w:szCs w:val="24"/>
          <w:vertAlign w:val="superscript"/>
        </w:rPr>
        <w:footnoteReference w:id="340"/>
      </w:r>
      <w:r w:rsidRPr="00BB7375">
        <w:rPr>
          <w:rFonts w:ascii="Arial" w:hAnsi="Arial" w:cs="Arial"/>
          <w:sz w:val="24"/>
          <w:szCs w:val="24"/>
        </w:rPr>
        <w:t xml:space="preserve">  The Court held that an affirmative action policy is valid “if it targets persons or categories of persons who have been disadvantaged by unfair discrimination; is designed to protect or advance such persons or categories of persons; and promotes the achievement of equality”. In this case, the court found that the affirmative action measures adopted by Parliament to benefit historically disadvantaged members in the public service were valid, as they had a clear objective to redress inequalities stemming from apartheid. Subsequent affirmative action programs have been influenced by this decision, especially in the public service and employment sectors where socioeconomic inequities and underrepresentation must be addressed. Therefore, affirmative action measures can be made more constitutionally compliant and less vulnerable to legal challenges by establishing clear goals for them.</w:t>
      </w:r>
    </w:p>
    <w:p w14:paraId="4CEE3EC6" w14:textId="13080205" w:rsidR="00BB7375" w:rsidRPr="00BB7375" w:rsidRDefault="00A726E2" w:rsidP="00452249">
      <w:pPr>
        <w:pStyle w:val="Subtitle"/>
        <w:numPr>
          <w:ilvl w:val="0"/>
          <w:numId w:val="0"/>
        </w:numPr>
        <w:ind w:left="1701" w:hanging="907"/>
      </w:pPr>
      <w:bookmarkStart w:id="192" w:name="_Toc189739354"/>
      <w:r>
        <w:t>3</w:t>
      </w:r>
      <w:r w:rsidR="00BB7375" w:rsidRPr="00BB7375">
        <w:t>.</w:t>
      </w:r>
      <w:r>
        <w:t>5</w:t>
      </w:r>
      <w:r w:rsidR="00BB7375" w:rsidRPr="00BB7375">
        <w:t>.2.1 The measure must target persons disadvantaged by past discrimination</w:t>
      </w:r>
      <w:bookmarkEnd w:id="192"/>
    </w:p>
    <w:p w14:paraId="6AEB02E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Constitutional Court determined in the </w:t>
      </w:r>
      <w:r w:rsidRPr="00BB7375">
        <w:rPr>
          <w:rFonts w:ascii="Arial" w:hAnsi="Arial" w:cs="Arial"/>
          <w:i/>
          <w:iCs/>
          <w:sz w:val="24"/>
          <w:szCs w:val="24"/>
        </w:rPr>
        <w:t>Van Heerden</w:t>
      </w:r>
      <w:r w:rsidRPr="00BB7375">
        <w:rPr>
          <w:rFonts w:ascii="Arial" w:hAnsi="Arial" w:cs="Arial"/>
          <w:sz w:val="24"/>
          <w:szCs w:val="24"/>
        </w:rPr>
        <w:t xml:space="preserve"> decision that the first prerequisite for a legitimate affirmative action policy is that it must specifically target those who have historically been disadvantaged by prior discrimination. This criterion stems from the substantive equality principle outlined in section 9(2) of the </w:t>
      </w:r>
      <w:r w:rsidRPr="00BB7375">
        <w:rPr>
          <w:rFonts w:ascii="Arial" w:hAnsi="Arial" w:cs="Arial"/>
          <w:i/>
          <w:iCs/>
          <w:sz w:val="24"/>
          <w:szCs w:val="24"/>
        </w:rPr>
        <w:t>Constitution</w:t>
      </w:r>
      <w:r w:rsidRPr="00BB7375">
        <w:rPr>
          <w:rFonts w:ascii="Arial" w:hAnsi="Arial" w:cs="Arial"/>
          <w:sz w:val="24"/>
          <w:szCs w:val="24"/>
        </w:rPr>
        <w:t>, which permits affirmative action policies to promote individuals or groups who have historically been marginalized or unfairly discriminated against. Such measures are not viewed as exceptions to the general right to equality, as would be the case under a formal equality approach, given the constitutional commitment to substantive equality.</w:t>
      </w:r>
      <w:r w:rsidRPr="00BB7375">
        <w:rPr>
          <w:rFonts w:ascii="Arial" w:hAnsi="Arial" w:cs="Arial"/>
          <w:sz w:val="24"/>
          <w:szCs w:val="24"/>
          <w:vertAlign w:val="superscript"/>
        </w:rPr>
        <w:footnoteReference w:id="341"/>
      </w:r>
      <w:r w:rsidRPr="00BB7375">
        <w:rPr>
          <w:rFonts w:ascii="Arial" w:hAnsi="Arial" w:cs="Arial"/>
          <w:sz w:val="24"/>
          <w:szCs w:val="24"/>
        </w:rPr>
        <w:t xml:space="preserve"> Rather, they are essential to the fundamental idea of substantive equality as stated in the </w:t>
      </w:r>
      <w:r w:rsidRPr="00BB7375">
        <w:rPr>
          <w:rFonts w:ascii="Arial" w:hAnsi="Arial" w:cs="Arial"/>
          <w:i/>
          <w:iCs/>
          <w:sz w:val="24"/>
          <w:szCs w:val="24"/>
        </w:rPr>
        <w:t>Constitution</w:t>
      </w:r>
      <w:r w:rsidRPr="00BB7375">
        <w:rPr>
          <w:rFonts w:ascii="Arial" w:hAnsi="Arial" w:cs="Arial"/>
          <w:sz w:val="24"/>
          <w:szCs w:val="24"/>
        </w:rPr>
        <w:t>. As long as the state's actions are in line with the goals of section 9(2) and seek to address past injustices and advance equality, differentiation or "discrimination" based on reasons forbidden by section 9(3) may nevertheless be valid.</w:t>
      </w:r>
      <w:r w:rsidRPr="00BB7375">
        <w:rPr>
          <w:rFonts w:ascii="Arial" w:hAnsi="Arial" w:cs="Arial"/>
          <w:sz w:val="24"/>
          <w:szCs w:val="24"/>
          <w:vertAlign w:val="superscript"/>
        </w:rPr>
        <w:footnoteReference w:id="342"/>
      </w:r>
      <w:r w:rsidRPr="00BB7375">
        <w:rPr>
          <w:rFonts w:ascii="Arial" w:hAnsi="Arial" w:cs="Arial"/>
          <w:sz w:val="24"/>
          <w:szCs w:val="24"/>
        </w:rPr>
        <w:t xml:space="preserve"> This principle is also reflected in sections 15 and 20 of the </w:t>
      </w:r>
      <w:r w:rsidRPr="00BB7375">
        <w:rPr>
          <w:rFonts w:ascii="Arial" w:hAnsi="Arial" w:cs="Arial"/>
          <w:i/>
          <w:iCs/>
          <w:sz w:val="24"/>
          <w:szCs w:val="24"/>
        </w:rPr>
        <w:t>Employment Equity Act</w:t>
      </w:r>
      <w:r w:rsidRPr="00BB7375">
        <w:rPr>
          <w:rFonts w:ascii="Arial" w:hAnsi="Arial" w:cs="Arial"/>
          <w:sz w:val="24"/>
          <w:szCs w:val="24"/>
        </w:rPr>
        <w:t xml:space="preserve">, which require affirmative action policies to be focused on advancing the equitable representation of suitably qualified members of designated </w:t>
      </w:r>
      <w:r w:rsidRPr="00BB7375">
        <w:rPr>
          <w:rFonts w:ascii="Arial" w:hAnsi="Arial" w:cs="Arial"/>
          <w:sz w:val="24"/>
          <w:szCs w:val="24"/>
        </w:rPr>
        <w:lastRenderedPageBreak/>
        <w:t xml:space="preserve">groups, including historically underrepresented groups like women, people with disabilities, and Black people. </w:t>
      </w:r>
    </w:p>
    <w:p w14:paraId="54DC257F"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For the affirmative action measure to be effective, the court must first decide if the group it is intended to "protect or advance" was "previously subjected to unfair discrimination and continues to suffer from the effects of that discrimination." This means that groups that have experienced unjust discrimination in the past and are still dealing with its aftereffects must be the primary focus of the legislation. De Vos describes this requirement as follows: the beneficiaries, whether individuals or groups of people, must have been disadvantaged by past discrimination and be members of an identifiable group based on traits like race, sex, gender, disability, or sexual orientation.</w:t>
      </w:r>
      <w:r w:rsidRPr="00BB7375">
        <w:rPr>
          <w:rFonts w:ascii="Arial" w:hAnsi="Arial" w:cs="Arial"/>
          <w:sz w:val="24"/>
          <w:szCs w:val="24"/>
          <w:vertAlign w:val="superscript"/>
        </w:rPr>
        <w:footnoteReference w:id="343"/>
      </w:r>
      <w:r w:rsidRPr="00BB7375">
        <w:rPr>
          <w:rFonts w:ascii="Arial" w:hAnsi="Arial" w:cs="Arial"/>
          <w:sz w:val="24"/>
          <w:szCs w:val="24"/>
        </w:rPr>
        <w:t xml:space="preserve"> Therefore, in order to ensure that affirmative action fulfils its constitutional mandate of resolving the long-standing disparities and disadvantages brought about by apartheid and other discriminatory practices, this need is essential.</w:t>
      </w:r>
      <w:r w:rsidRPr="00BB7375">
        <w:rPr>
          <w:rFonts w:ascii="Arial" w:hAnsi="Arial" w:cs="Arial"/>
          <w:sz w:val="24"/>
          <w:szCs w:val="24"/>
          <w:vertAlign w:val="superscript"/>
        </w:rPr>
        <w:footnoteReference w:id="344"/>
      </w:r>
      <w:r w:rsidRPr="00BB7375">
        <w:rPr>
          <w:rFonts w:ascii="Arial" w:hAnsi="Arial" w:cs="Arial"/>
          <w:sz w:val="24"/>
          <w:szCs w:val="24"/>
        </w:rPr>
        <w:t xml:space="preserve"> </w:t>
      </w:r>
    </w:p>
    <w:p w14:paraId="1C976C7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Court underlined that the actions must be intended to advance a group or class of people who have experienced unjust discrimination in accordance with section 9(2) of the </w:t>
      </w:r>
      <w:r w:rsidRPr="00BB7375">
        <w:rPr>
          <w:rFonts w:ascii="Arial" w:hAnsi="Arial" w:cs="Arial"/>
          <w:i/>
          <w:iCs/>
          <w:sz w:val="24"/>
          <w:szCs w:val="24"/>
        </w:rPr>
        <w:t>Constitution</w:t>
      </w:r>
      <w:r w:rsidRPr="00BB7375">
        <w:rPr>
          <w:rFonts w:ascii="Arial" w:hAnsi="Arial" w:cs="Arial"/>
          <w:sz w:val="24"/>
          <w:szCs w:val="24"/>
        </w:rPr>
        <w:t>.  Determining which group or category the measure is intended for is the first step in evaluating the legitimacy of affirmative action.</w:t>
      </w:r>
      <w:r w:rsidRPr="00BB7375">
        <w:rPr>
          <w:rFonts w:ascii="Arial" w:hAnsi="Arial" w:cs="Arial"/>
          <w:sz w:val="24"/>
          <w:szCs w:val="24"/>
          <w:vertAlign w:val="superscript"/>
        </w:rPr>
        <w:footnoteReference w:id="345"/>
      </w:r>
      <w:r w:rsidRPr="00BB7375">
        <w:rPr>
          <w:rFonts w:ascii="Arial" w:hAnsi="Arial" w:cs="Arial"/>
          <w:sz w:val="24"/>
          <w:szCs w:val="24"/>
        </w:rPr>
        <w:t xml:space="preserve"> The program must be created to safeguard and promote people who have been proven to be at a disadvantage due to unjust discrimination. But as the Constitutional Court acknowledged, it is frequently difficult to draw exact lines between these impacted groups. This implies that there are distinct levels of disadvantage for each group within each restitutive measure. This can lead to "windfall" beneficiaries in practice, which are people who benefit from the corrective action even though they may not have been severely disadvantaged or who suffer less from the effects of previous unfair discrimination than other members of the targeted group.</w:t>
      </w:r>
      <w:r w:rsidRPr="00BB7375">
        <w:rPr>
          <w:rFonts w:ascii="Arial" w:hAnsi="Arial" w:cs="Arial"/>
          <w:sz w:val="24"/>
          <w:szCs w:val="24"/>
          <w:vertAlign w:val="superscript"/>
        </w:rPr>
        <w:footnoteReference w:id="346"/>
      </w:r>
      <w:r w:rsidRPr="00BB7375">
        <w:rPr>
          <w:rFonts w:ascii="Arial" w:hAnsi="Arial" w:cs="Arial"/>
          <w:sz w:val="24"/>
          <w:szCs w:val="24"/>
        </w:rPr>
        <w:t xml:space="preserve"> Legislative schemes are unable to produce "pure" categories that clearly distinguish between those who are impacted and those who are not, as these divisions would frequently be unfeasible or undesirable.</w:t>
      </w:r>
      <w:r w:rsidRPr="00BB7375">
        <w:rPr>
          <w:rFonts w:ascii="Arial" w:hAnsi="Arial" w:cs="Arial"/>
          <w:sz w:val="24"/>
          <w:szCs w:val="24"/>
          <w:vertAlign w:val="superscript"/>
        </w:rPr>
        <w:footnoteReference w:id="347"/>
      </w:r>
      <w:r w:rsidRPr="00BB7375">
        <w:rPr>
          <w:rFonts w:ascii="Arial" w:hAnsi="Arial" w:cs="Arial"/>
          <w:sz w:val="24"/>
          <w:szCs w:val="24"/>
        </w:rPr>
        <w:t xml:space="preserve"> Rather than focusing on the exceptional or challenging minority </w:t>
      </w:r>
      <w:r w:rsidRPr="00BB7375">
        <w:rPr>
          <w:rFonts w:ascii="Arial" w:hAnsi="Arial" w:cs="Arial"/>
          <w:sz w:val="24"/>
          <w:szCs w:val="24"/>
        </w:rPr>
        <w:lastRenderedPageBreak/>
        <w:t>examples, the distinction must be created by contrasting the targeted group with the majority.</w:t>
      </w:r>
    </w:p>
    <w:p w14:paraId="78286685"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Particularly relevant in this regard is the Court's citation of </w:t>
      </w:r>
      <w:r w:rsidRPr="00BB7375">
        <w:rPr>
          <w:rFonts w:ascii="Arial" w:hAnsi="Arial" w:cs="Arial"/>
          <w:i/>
          <w:iCs/>
          <w:sz w:val="24"/>
          <w:szCs w:val="24"/>
        </w:rPr>
        <w:t>Thibaudeau v Canada</w:t>
      </w:r>
      <w:r w:rsidRPr="00BB7375">
        <w:rPr>
          <w:rFonts w:ascii="Arial" w:hAnsi="Arial" w:cs="Arial"/>
          <w:sz w:val="24"/>
          <w:szCs w:val="24"/>
        </w:rPr>
        <w:t>,</w:t>
      </w:r>
      <w:r w:rsidRPr="00BB7375">
        <w:rPr>
          <w:rFonts w:ascii="Arial" w:hAnsi="Arial" w:cs="Arial"/>
          <w:sz w:val="24"/>
          <w:szCs w:val="24"/>
          <w:vertAlign w:val="superscript"/>
        </w:rPr>
        <w:footnoteReference w:id="348"/>
      </w:r>
      <w:r w:rsidRPr="00BB7375">
        <w:rPr>
          <w:rFonts w:ascii="Arial" w:hAnsi="Arial" w:cs="Arial"/>
          <w:sz w:val="24"/>
          <w:szCs w:val="24"/>
        </w:rPr>
        <w:t xml:space="preserve"> in which Gonthier J. noted that the fact that it might disadvantage a lawful group in some exceptional circumstances while benefiting them collectively does not support the conclusion that it is discriminatory.</w:t>
      </w:r>
      <w:r w:rsidRPr="00BB7375">
        <w:rPr>
          <w:rFonts w:ascii="Arial" w:hAnsi="Arial" w:cs="Arial"/>
          <w:sz w:val="24"/>
          <w:szCs w:val="24"/>
          <w:vertAlign w:val="superscript"/>
        </w:rPr>
        <w:footnoteReference w:id="349"/>
      </w:r>
      <w:r w:rsidRPr="00BB7375">
        <w:rPr>
          <w:rFonts w:ascii="Arial" w:hAnsi="Arial" w:cs="Arial"/>
          <w:sz w:val="24"/>
          <w:szCs w:val="24"/>
        </w:rPr>
        <w:t xml:space="preserve"> According to this reasoning, if a measure helps achieve the larger objective of addressing historical inequality, even though some members of the disadvantaged group might not gain, it is still valid. Thus, the emphasis is on the overall progress of the underprivileged group.</w:t>
      </w:r>
    </w:p>
    <w:p w14:paraId="40F1E7FD" w14:textId="6FF80644" w:rsidR="00BB7375" w:rsidRPr="00BB7375" w:rsidRDefault="00A726E2" w:rsidP="00452249">
      <w:pPr>
        <w:pStyle w:val="Subtitle"/>
        <w:numPr>
          <w:ilvl w:val="0"/>
          <w:numId w:val="0"/>
        </w:numPr>
        <w:ind w:left="1701" w:hanging="907"/>
      </w:pPr>
      <w:bookmarkStart w:id="194" w:name="_Toc189739355"/>
      <w:r>
        <w:t>3</w:t>
      </w:r>
      <w:r w:rsidR="00BB7375" w:rsidRPr="00BB7375">
        <w:t>.</w:t>
      </w:r>
      <w:r>
        <w:t>5</w:t>
      </w:r>
      <w:r w:rsidR="00BB7375" w:rsidRPr="00BB7375">
        <w:t xml:space="preserve">.2.2 The measure must </w:t>
      </w:r>
      <w:proofErr w:type="gramStart"/>
      <w:r w:rsidR="00BB7375" w:rsidRPr="00BB7375">
        <w:t>protect</w:t>
      </w:r>
      <w:proofErr w:type="gramEnd"/>
      <w:r w:rsidR="00BB7375" w:rsidRPr="00BB7375">
        <w:t xml:space="preserve"> or advance persons disadvantaged by past discrimination</w:t>
      </w:r>
      <w:bookmarkEnd w:id="194"/>
    </w:p>
    <w:p w14:paraId="1B5DAF80"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An affirmative action policy must specifically seek to protect or promote those who have been disadvantaged by prior prejudice in order to meet the second condition for validity.</w:t>
      </w:r>
      <w:r w:rsidRPr="00BB7375">
        <w:rPr>
          <w:rFonts w:ascii="Arial" w:hAnsi="Arial" w:cs="Arial"/>
          <w:sz w:val="24"/>
          <w:szCs w:val="24"/>
          <w:vertAlign w:val="superscript"/>
        </w:rPr>
        <w:footnoteReference w:id="350"/>
      </w:r>
      <w:r w:rsidRPr="00BB7375">
        <w:rPr>
          <w:rFonts w:ascii="Arial" w:hAnsi="Arial" w:cs="Arial"/>
          <w:sz w:val="24"/>
          <w:szCs w:val="24"/>
        </w:rPr>
        <w:t xml:space="preserve"> As stated in section 9(2) of the </w:t>
      </w:r>
      <w:r w:rsidRPr="00BB7375">
        <w:rPr>
          <w:rFonts w:ascii="Arial" w:hAnsi="Arial" w:cs="Arial"/>
          <w:i/>
          <w:iCs/>
          <w:sz w:val="24"/>
          <w:szCs w:val="24"/>
        </w:rPr>
        <w:t>Constitution</w:t>
      </w:r>
      <w:r w:rsidRPr="00BB7375">
        <w:rPr>
          <w:rFonts w:ascii="Arial" w:hAnsi="Arial" w:cs="Arial"/>
          <w:sz w:val="24"/>
          <w:szCs w:val="24"/>
        </w:rPr>
        <w:t>, this obligation is a crucial component of the commitment to substantive equality</w:t>
      </w:r>
      <w:r w:rsidRPr="00BB7375">
        <w:rPr>
          <w:rFonts w:ascii="Times New Roman" w:eastAsia="Times New Roman" w:hAnsi="Times New Roman" w:cs="Times New Roman"/>
          <w:kern w:val="0"/>
          <w:sz w:val="24"/>
          <w:szCs w:val="24"/>
          <w:lang w:eastAsia="en-ZA"/>
          <w14:ligatures w14:val="none"/>
        </w:rPr>
        <w:t xml:space="preserve"> </w:t>
      </w:r>
      <w:r w:rsidRPr="00BB7375">
        <w:rPr>
          <w:rFonts w:ascii="Arial" w:hAnsi="Arial" w:cs="Arial"/>
          <w:sz w:val="24"/>
          <w:szCs w:val="24"/>
        </w:rPr>
        <w:t xml:space="preserve">as it expressly permits actions intended to "protect or advance" individuals or groups of individuals who were harmed by unjust discrimination. The provision acknowledges that the state may advance people who have historically been disadvantaged by unjust discrimination through legislation or other means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advance equality. Accordingly, the corrective action must be "reasonably capable" of accomplishing the stated objective of safeguarding or promoting the designated beneficiaries.</w:t>
      </w:r>
      <w:r w:rsidRPr="00BB7375">
        <w:rPr>
          <w:rFonts w:ascii="Arial" w:hAnsi="Arial" w:cs="Arial"/>
          <w:sz w:val="24"/>
          <w:szCs w:val="24"/>
          <w:vertAlign w:val="superscript"/>
        </w:rPr>
        <w:footnoteReference w:id="351"/>
      </w:r>
      <w:r w:rsidRPr="00BB7375">
        <w:rPr>
          <w:rFonts w:ascii="Arial" w:hAnsi="Arial" w:cs="Arial"/>
          <w:sz w:val="24"/>
          <w:szCs w:val="24"/>
        </w:rPr>
        <w:t xml:space="preserve"> Measures must be "reasonably capable" of achieving their goal, but this does not mean that they will unquestionably produce the intended result. The measure only needs to have the capacity to move closer to its objective. It will not, however, meet the second criteria under section 9(2) of the </w:t>
      </w:r>
      <w:r w:rsidRPr="00BB7375">
        <w:rPr>
          <w:rFonts w:ascii="Arial" w:hAnsi="Arial" w:cs="Arial"/>
          <w:i/>
          <w:iCs/>
          <w:sz w:val="24"/>
          <w:szCs w:val="24"/>
        </w:rPr>
        <w:t>Constitution</w:t>
      </w:r>
      <w:r w:rsidRPr="00BB7375">
        <w:rPr>
          <w:rFonts w:ascii="Arial" w:hAnsi="Arial" w:cs="Arial"/>
          <w:sz w:val="24"/>
          <w:szCs w:val="24"/>
        </w:rPr>
        <w:t xml:space="preserve"> if it can be demonstrated that the corrective remedy is arbitrary, capricious, or only motivated by unjustified preference, or if it is unable to fairly accomplish its intended goal.</w:t>
      </w:r>
      <w:r w:rsidRPr="00BB7375">
        <w:rPr>
          <w:rFonts w:ascii="Arial" w:hAnsi="Arial" w:cs="Arial"/>
          <w:sz w:val="24"/>
          <w:szCs w:val="24"/>
          <w:vertAlign w:val="superscript"/>
        </w:rPr>
        <w:footnoteReference w:id="352"/>
      </w:r>
    </w:p>
    <w:p w14:paraId="74228C20"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 xml:space="preserve">According to section 15(1) of the </w:t>
      </w:r>
      <w:r w:rsidRPr="00BB7375">
        <w:rPr>
          <w:rFonts w:ascii="Arial" w:hAnsi="Arial" w:cs="Arial"/>
          <w:i/>
          <w:iCs/>
          <w:sz w:val="24"/>
          <w:szCs w:val="24"/>
        </w:rPr>
        <w:t>EEA,</w:t>
      </w:r>
      <w:r w:rsidRPr="00BB7375">
        <w:rPr>
          <w:rFonts w:ascii="Arial" w:hAnsi="Arial" w:cs="Arial"/>
          <w:sz w:val="24"/>
          <w:szCs w:val="24"/>
        </w:rPr>
        <w:t xml:space="preserve"> designated companies must use affirmative action policies to guarantee equal employment opportunities and fair representation of properly competent individuals from designated groups at all occupational levels. In accordance with section 15(2)(c), these measures must also provide accommodations for members of designated groups to guarantee their equal representation and opportunities.</w:t>
      </w:r>
      <w:r w:rsidRPr="00BB7375">
        <w:rPr>
          <w:rFonts w:ascii="Times New Roman" w:eastAsia="Times New Roman" w:hAnsi="Times New Roman" w:cs="Times New Roman"/>
          <w:kern w:val="0"/>
          <w:sz w:val="24"/>
          <w:szCs w:val="24"/>
          <w:lang w:eastAsia="en-ZA"/>
          <w14:ligatures w14:val="none"/>
        </w:rPr>
        <w:t xml:space="preserve"> </w:t>
      </w:r>
      <w:r w:rsidRPr="00BB7375">
        <w:rPr>
          <w:rFonts w:ascii="Arial" w:hAnsi="Arial" w:cs="Arial"/>
          <w:sz w:val="24"/>
          <w:szCs w:val="24"/>
        </w:rPr>
        <w:t xml:space="preserve">The ‘section 20(3) and (4)’ definitions of "suitability" for employment must be interpreted </w:t>
      </w:r>
      <w:proofErr w:type="gramStart"/>
      <w:r w:rsidRPr="00BB7375">
        <w:rPr>
          <w:rFonts w:ascii="Arial" w:hAnsi="Arial" w:cs="Arial"/>
          <w:sz w:val="24"/>
          <w:szCs w:val="24"/>
        </w:rPr>
        <w:t>in light of</w:t>
      </w:r>
      <w:proofErr w:type="gramEnd"/>
      <w:r w:rsidRPr="00BB7375">
        <w:rPr>
          <w:rFonts w:ascii="Arial" w:hAnsi="Arial" w:cs="Arial"/>
          <w:sz w:val="24"/>
          <w:szCs w:val="24"/>
        </w:rPr>
        <w:t xml:space="preserve"> the Act's general transformative goals. By acknowledging alternate routes to qualifying outside of conventional standards, it aims to provide priority to people who have historically been disadvantaged. A person may be considered appropriately qualified under section 20(3) if they meet the requirements for formal qualifications, prior education, relevant experience, or the ability to pick up the skills they need in a fair amount of time. This inclusive approach makes sure that people who were historically marginalized, who were frequently barred from formal education or employment prospects under apartheid, are not unfairly disqualified from job consideration.</w:t>
      </w:r>
    </w:p>
    <w:p w14:paraId="6C66A48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This premise is reinforced by section 20(4), which requires employers to consider all specified variables in a comprehensive manner when evaluating an applicant's appropriateness. Employers need to examine an applicant's ability to perform the job well, either immediately or with reasonable assistance, rather than just strict qualifications or experience requirements. This is in line with the constitutional obligation to remove structural obstacles that sustain disadvantage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promote substantive equality. Employers are expressly forbidden from unreasonably discriminating against candidates based only on a lack of relevant experience, which is an additional manner that section 20(5) protects historically excluded minorities. These provisions guarantee that the employment framework actively addresses structural disparities, in conjunction with the Act's need to provide reasonable accommodation in terms of section 15(2)(c) which urges employers to establish supporting environments, such as focused training programs, mentorship opportunities, and workplace adjustments. </w:t>
      </w:r>
    </w:p>
    <w:p w14:paraId="38C2C77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w:t>
      </w:r>
      <w:r w:rsidRPr="00BB7375">
        <w:rPr>
          <w:rFonts w:ascii="Arial" w:hAnsi="Arial" w:cs="Arial"/>
          <w:i/>
          <w:iCs/>
          <w:sz w:val="24"/>
          <w:szCs w:val="24"/>
        </w:rPr>
        <w:t>Minister of Finance v Van Heerden</w:t>
      </w:r>
      <w:r w:rsidRPr="00BB7375">
        <w:rPr>
          <w:rFonts w:ascii="Arial" w:hAnsi="Arial" w:cs="Arial"/>
          <w:sz w:val="24"/>
          <w:szCs w:val="24"/>
        </w:rPr>
        <w:t xml:space="preserve">, Swart J. stressed that "the measures must be designed to achieve something," underscoring the necessity of a causal relationship between the planned measures and their goals in </w:t>
      </w:r>
      <w:r w:rsidRPr="00BB7375">
        <w:rPr>
          <w:rFonts w:ascii="Arial" w:hAnsi="Arial" w:cs="Arial"/>
          <w:i/>
          <w:iCs/>
          <w:sz w:val="24"/>
          <w:szCs w:val="24"/>
        </w:rPr>
        <w:t>Public Servants Association,</w:t>
      </w:r>
      <w:r w:rsidRPr="00BB7375">
        <w:rPr>
          <w:rFonts w:ascii="Arial" w:hAnsi="Arial" w:cs="Arial"/>
          <w:sz w:val="24"/>
          <w:szCs w:val="24"/>
        </w:rPr>
        <w:t xml:space="preserve"> where </w:t>
      </w:r>
      <w:r w:rsidRPr="00BB7375">
        <w:rPr>
          <w:rFonts w:ascii="Arial" w:hAnsi="Arial" w:cs="Arial"/>
          <w:sz w:val="24"/>
          <w:szCs w:val="24"/>
        </w:rPr>
        <w:lastRenderedPageBreak/>
        <w:t xml:space="preserve">he interpreted clause 8(3)(a) of the interim </w:t>
      </w:r>
      <w:r w:rsidRPr="00BB7375">
        <w:rPr>
          <w:rFonts w:ascii="Arial" w:hAnsi="Arial" w:cs="Arial"/>
          <w:i/>
          <w:iCs/>
          <w:sz w:val="24"/>
          <w:szCs w:val="24"/>
        </w:rPr>
        <w:t>Constitution</w:t>
      </w:r>
      <w:r w:rsidRPr="00BB7375">
        <w:rPr>
          <w:rFonts w:ascii="Arial" w:hAnsi="Arial" w:cs="Arial"/>
          <w:sz w:val="24"/>
          <w:szCs w:val="24"/>
        </w:rPr>
        <w:t>.</w:t>
      </w:r>
      <w:r w:rsidRPr="00BB7375">
        <w:rPr>
          <w:rFonts w:ascii="Arial" w:hAnsi="Arial" w:cs="Arial"/>
          <w:sz w:val="24"/>
          <w:szCs w:val="24"/>
          <w:vertAlign w:val="superscript"/>
        </w:rPr>
        <w:footnoteReference w:id="353"/>
      </w:r>
      <w:r w:rsidRPr="00BB7375">
        <w:rPr>
          <w:rFonts w:ascii="Arial" w:hAnsi="Arial" w:cs="Arial"/>
          <w:sz w:val="24"/>
          <w:szCs w:val="24"/>
        </w:rPr>
        <w:t xml:space="preserve"> In addition hereto, it is worth noting that a precise standard of need between the legislative option and the governmental purpose is not required by section 9(2) of the </w:t>
      </w:r>
      <w:r w:rsidRPr="00BB7375">
        <w:rPr>
          <w:rFonts w:ascii="Arial" w:hAnsi="Arial" w:cs="Arial"/>
          <w:i/>
          <w:iCs/>
          <w:sz w:val="24"/>
          <w:szCs w:val="24"/>
        </w:rPr>
        <w:t>Constitution</w:t>
      </w:r>
      <w:r w:rsidRPr="00BB7375">
        <w:rPr>
          <w:rFonts w:ascii="Arial" w:hAnsi="Arial" w:cs="Arial"/>
          <w:sz w:val="24"/>
          <w:szCs w:val="24"/>
        </w:rPr>
        <w:t xml:space="preserve"> as it would be superfluous and not needed by section 9(2) to require a remedial remedy sponsor to accurately forecast the future result. It merely requires that the measures be created with advancement or protection in mind. The measure only needs to show a plausible chance of accomplishing its stated objective.</w:t>
      </w:r>
      <w:r w:rsidRPr="00BB7375">
        <w:rPr>
          <w:rFonts w:ascii="Arial" w:hAnsi="Arial" w:cs="Arial"/>
          <w:sz w:val="24"/>
          <w:szCs w:val="24"/>
          <w:vertAlign w:val="superscript"/>
        </w:rPr>
        <w:footnoteReference w:id="354"/>
      </w:r>
      <w:r w:rsidRPr="00BB7375">
        <w:rPr>
          <w:rFonts w:ascii="Arial" w:hAnsi="Arial" w:cs="Arial"/>
          <w:sz w:val="24"/>
          <w:szCs w:val="24"/>
        </w:rPr>
        <w:t xml:space="preserve"> </w:t>
      </w:r>
    </w:p>
    <w:p w14:paraId="236A831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w:t>
      </w:r>
      <w:r w:rsidRPr="00BB7375">
        <w:rPr>
          <w:rFonts w:ascii="Arial" w:hAnsi="Arial" w:cs="Arial"/>
          <w:i/>
          <w:iCs/>
          <w:sz w:val="24"/>
          <w:szCs w:val="24"/>
        </w:rPr>
        <w:t>Van Heerden</w:t>
      </w:r>
      <w:r w:rsidRPr="00BB7375">
        <w:rPr>
          <w:rFonts w:ascii="Arial" w:hAnsi="Arial" w:cs="Arial"/>
          <w:sz w:val="24"/>
          <w:szCs w:val="24"/>
        </w:rPr>
        <w:t xml:space="preserve"> test's second requirement, which is to advance or safeguard members of underprivileged groups, has been interpreted and used in a variety of ways, demonstrating its adaptability to other circumstances. According to the court's ruling in </w:t>
      </w:r>
      <w:r w:rsidRPr="00BB7375">
        <w:rPr>
          <w:rFonts w:ascii="Arial" w:hAnsi="Arial" w:cs="Arial"/>
          <w:i/>
          <w:iCs/>
          <w:sz w:val="24"/>
          <w:szCs w:val="24"/>
        </w:rPr>
        <w:t>South African Police Service v Solidarity obo Barnard</w:t>
      </w:r>
      <w:r w:rsidRPr="00BB7375">
        <w:rPr>
          <w:rFonts w:ascii="Arial" w:hAnsi="Arial" w:cs="Arial"/>
          <w:sz w:val="24"/>
          <w:szCs w:val="24"/>
        </w:rPr>
        <w:t>,</w:t>
      </w:r>
      <w:r w:rsidRPr="00BB7375">
        <w:rPr>
          <w:rFonts w:ascii="Arial" w:hAnsi="Arial" w:cs="Arial"/>
          <w:sz w:val="24"/>
          <w:szCs w:val="24"/>
          <w:vertAlign w:val="superscript"/>
        </w:rPr>
        <w:footnoteReference w:id="355"/>
      </w:r>
      <w:r w:rsidRPr="00BB7375">
        <w:rPr>
          <w:rFonts w:ascii="Arial" w:hAnsi="Arial" w:cs="Arial"/>
          <w:sz w:val="24"/>
          <w:szCs w:val="24"/>
        </w:rPr>
        <w:t xml:space="preserve"> affirmative action must be in line with the goals of addressing inequality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meet the second condition. The Court underlined that these policies should promote substantive equality without putting non-beneficiaries through unnecessary hardship. Quotas or the "absolute exclusion" of other groups are not acceptable forms of affirmative action. The court added that </w:t>
      </w:r>
      <w:proofErr w:type="gramStart"/>
      <w:r w:rsidRPr="00BB7375">
        <w:rPr>
          <w:rFonts w:ascii="Arial" w:hAnsi="Arial" w:cs="Arial"/>
          <w:sz w:val="24"/>
          <w:szCs w:val="24"/>
        </w:rPr>
        <w:t>a number of</w:t>
      </w:r>
      <w:proofErr w:type="gramEnd"/>
      <w:r w:rsidRPr="00BB7375">
        <w:rPr>
          <w:rFonts w:ascii="Arial" w:hAnsi="Arial" w:cs="Arial"/>
          <w:sz w:val="24"/>
          <w:szCs w:val="24"/>
        </w:rPr>
        <w:t xml:space="preserve"> criteria need to be taken into account when attempting to strike a compromise between equality through representation and effective service delivery. They include the type of work, the employer's and workplace's requirements, and the degree of under- or over-representation of the group that benefits from the affirmative action, and as such, it would be unacceptable to implement an affirmative measure by selecting a candidate who is completely unfit or incompetent.</w:t>
      </w:r>
    </w:p>
    <w:p w14:paraId="4833A395"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Court stressed in </w:t>
      </w:r>
      <w:r w:rsidRPr="00BB7375">
        <w:rPr>
          <w:rFonts w:ascii="Arial" w:hAnsi="Arial" w:cs="Arial"/>
          <w:i/>
          <w:iCs/>
          <w:sz w:val="24"/>
          <w:szCs w:val="24"/>
        </w:rPr>
        <w:t>Solidarity v Department of Correctional Services,</w:t>
      </w:r>
      <w:r w:rsidRPr="00BB7375">
        <w:rPr>
          <w:rFonts w:ascii="Arial" w:hAnsi="Arial" w:cs="Arial"/>
          <w:i/>
          <w:iCs/>
          <w:sz w:val="24"/>
          <w:szCs w:val="24"/>
          <w:vertAlign w:val="superscript"/>
        </w:rPr>
        <w:footnoteReference w:id="356"/>
      </w:r>
      <w:r w:rsidRPr="00BB7375">
        <w:rPr>
          <w:rFonts w:ascii="Arial" w:hAnsi="Arial" w:cs="Arial"/>
          <w:sz w:val="24"/>
          <w:szCs w:val="24"/>
        </w:rPr>
        <w:t xml:space="preserve"> that affirmative action policies must be flexible and prevent complete exclusion or irrational results in addition to protecting or advancing underprivileged groups. Section 42 of the </w:t>
      </w:r>
      <w:r w:rsidRPr="00BB7375">
        <w:rPr>
          <w:rFonts w:ascii="Arial" w:hAnsi="Arial" w:cs="Arial"/>
          <w:i/>
          <w:iCs/>
          <w:sz w:val="24"/>
          <w:szCs w:val="24"/>
        </w:rPr>
        <w:t>EEA</w:t>
      </w:r>
      <w:r w:rsidRPr="00BB7375">
        <w:rPr>
          <w:rFonts w:ascii="Arial" w:hAnsi="Arial" w:cs="Arial"/>
          <w:sz w:val="24"/>
          <w:szCs w:val="24"/>
        </w:rPr>
        <w:t xml:space="preserve">, which states that no employer must erect a complete obstacle to the hiring, promotion, or retention of those who do not belong to specific categories, was further reaffirmed by the court. </w:t>
      </w:r>
    </w:p>
    <w:p w14:paraId="001754A3" w14:textId="77777777" w:rsidR="00BB7375" w:rsidRPr="00BB7375" w:rsidRDefault="00BB7375" w:rsidP="00BB7375">
      <w:pPr>
        <w:spacing w:line="360" w:lineRule="auto"/>
        <w:jc w:val="both"/>
        <w:rPr>
          <w:rFonts w:ascii="Arial" w:hAnsi="Arial" w:cs="Arial"/>
          <w:sz w:val="24"/>
          <w:szCs w:val="24"/>
        </w:rPr>
      </w:pPr>
      <w:proofErr w:type="gramStart"/>
      <w:r w:rsidRPr="00BB7375">
        <w:rPr>
          <w:rFonts w:ascii="Arial" w:hAnsi="Arial" w:cs="Arial"/>
          <w:sz w:val="24"/>
          <w:szCs w:val="24"/>
        </w:rPr>
        <w:lastRenderedPageBreak/>
        <w:t>A number of</w:t>
      </w:r>
      <w:proofErr w:type="gramEnd"/>
      <w:r w:rsidRPr="00BB7375">
        <w:rPr>
          <w:rFonts w:ascii="Arial" w:hAnsi="Arial" w:cs="Arial"/>
          <w:sz w:val="24"/>
          <w:szCs w:val="24"/>
        </w:rPr>
        <w:t xml:space="preserve"> important considerations are emphasized by the concepts that have emerged from the case law regarding the second condition of the </w:t>
      </w:r>
      <w:r w:rsidRPr="00BB7375">
        <w:rPr>
          <w:rFonts w:ascii="Arial" w:hAnsi="Arial" w:cs="Arial"/>
          <w:i/>
          <w:iCs/>
          <w:sz w:val="24"/>
          <w:szCs w:val="24"/>
        </w:rPr>
        <w:t>Van Heerden</w:t>
      </w:r>
      <w:r w:rsidRPr="00BB7375">
        <w:rPr>
          <w:rFonts w:ascii="Arial" w:hAnsi="Arial" w:cs="Arial"/>
          <w:sz w:val="24"/>
          <w:szCs w:val="24"/>
        </w:rPr>
        <w:t xml:space="preserve"> test. First, there needs to be a logical and obvious link between the affirmative action policy and its objective of protecting or promoting underprivileged populations. Second, the measure must be reasonably capable of accomplishing its intended goal, even though there is no need for absolute confirmation of accomplishment. Thirdly, since these methods compromise their validity, they must not be applied arbitrarily, capriciously, or with strict adherence to quotas. Finally,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guarantee equity and prevent the complete exclusion of non-beneficiaries, the implementation of corrective actions must be adaptable and consider the particular circumstances. </w:t>
      </w:r>
    </w:p>
    <w:p w14:paraId="1A16ABF6" w14:textId="17E7B67C" w:rsidR="00BB7375" w:rsidRPr="00BB7375" w:rsidRDefault="00A726E2" w:rsidP="00452249">
      <w:pPr>
        <w:pStyle w:val="Subtitle"/>
        <w:numPr>
          <w:ilvl w:val="0"/>
          <w:numId w:val="0"/>
        </w:numPr>
        <w:ind w:left="792"/>
      </w:pPr>
      <w:bookmarkStart w:id="196" w:name="_Toc189739356"/>
      <w:r>
        <w:t>3</w:t>
      </w:r>
      <w:r w:rsidR="00BB7375" w:rsidRPr="00BB7375">
        <w:t>.</w:t>
      </w:r>
      <w:r>
        <w:t>5</w:t>
      </w:r>
      <w:r w:rsidR="00BB7375" w:rsidRPr="00BB7375">
        <w:t>.2.3 The measure must promote the achievement of equality</w:t>
      </w:r>
      <w:bookmarkEnd w:id="196"/>
    </w:p>
    <w:p w14:paraId="72CFBF6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third criterion of the </w:t>
      </w:r>
      <w:r w:rsidRPr="00BB7375">
        <w:rPr>
          <w:rFonts w:ascii="Arial" w:hAnsi="Arial" w:cs="Arial"/>
          <w:i/>
          <w:iCs/>
          <w:sz w:val="24"/>
          <w:szCs w:val="24"/>
        </w:rPr>
        <w:t>Van Heerden</w:t>
      </w:r>
      <w:r w:rsidRPr="00BB7375">
        <w:rPr>
          <w:rFonts w:ascii="Arial" w:hAnsi="Arial" w:cs="Arial"/>
          <w:sz w:val="24"/>
          <w:szCs w:val="24"/>
        </w:rPr>
        <w:t xml:space="preserve"> test stipulates that corrective actions must eventually advance the attainment of equality.</w:t>
      </w:r>
      <w:r w:rsidRPr="00BB7375">
        <w:rPr>
          <w:rFonts w:ascii="Arial" w:hAnsi="Arial" w:cs="Arial"/>
          <w:sz w:val="24"/>
          <w:szCs w:val="24"/>
          <w:vertAlign w:val="superscript"/>
        </w:rPr>
        <w:footnoteReference w:id="357"/>
      </w:r>
      <w:r w:rsidRPr="00BB7375">
        <w:rPr>
          <w:rFonts w:ascii="Arial" w:hAnsi="Arial" w:cs="Arial"/>
          <w:sz w:val="24"/>
          <w:szCs w:val="24"/>
        </w:rPr>
        <w:t xml:space="preserve"> This principle is in line with the </w:t>
      </w:r>
      <w:r w:rsidRPr="00BB7375">
        <w:rPr>
          <w:rFonts w:ascii="Arial" w:hAnsi="Arial" w:cs="Arial"/>
          <w:i/>
          <w:iCs/>
          <w:sz w:val="24"/>
          <w:szCs w:val="24"/>
        </w:rPr>
        <w:t>Constitution</w:t>
      </w:r>
      <w:r w:rsidRPr="00BB7375">
        <w:rPr>
          <w:rFonts w:ascii="Arial" w:hAnsi="Arial" w:cs="Arial"/>
          <w:sz w:val="24"/>
          <w:szCs w:val="24"/>
        </w:rPr>
        <w:t>'s goal of creating a society free from racism and sexism where everyone is treated with respect and value.</w:t>
      </w:r>
      <w:r w:rsidRPr="00BB7375">
        <w:rPr>
          <w:rFonts w:ascii="Arial" w:hAnsi="Arial" w:cs="Arial"/>
          <w:sz w:val="24"/>
          <w:szCs w:val="24"/>
          <w:vertAlign w:val="superscript"/>
        </w:rPr>
        <w:footnoteReference w:id="358"/>
      </w:r>
      <w:r w:rsidRPr="00BB7375">
        <w:rPr>
          <w:rFonts w:ascii="Arial" w:hAnsi="Arial" w:cs="Arial"/>
          <w:sz w:val="24"/>
          <w:szCs w:val="24"/>
        </w:rPr>
        <w:t xml:space="preserve"> Addressing past disadvantages is only one long-term goal; another is to establish the groundwork for substantive equality that goes beyond the short-term consequences of discrimination.</w:t>
      </w:r>
      <w:r w:rsidRPr="00BB7375">
        <w:rPr>
          <w:rFonts w:ascii="Times New Roman" w:eastAsia="Times New Roman" w:hAnsi="Times New Roman" w:cs="Times New Roman"/>
          <w:kern w:val="0"/>
          <w:sz w:val="24"/>
          <w:szCs w:val="24"/>
          <w:lang w:eastAsia="en-ZA"/>
          <w14:ligatures w14:val="none"/>
        </w:rPr>
        <w:t xml:space="preserve"> </w:t>
      </w:r>
      <w:r w:rsidRPr="00BB7375">
        <w:rPr>
          <w:rFonts w:ascii="Arial" w:hAnsi="Arial" w:cs="Arial"/>
          <w:sz w:val="24"/>
          <w:szCs w:val="24"/>
        </w:rPr>
        <w:t xml:space="preserve">It is necessary to comprehend the wider societal impact of a corrective remedy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assess whether it will ultimately contribute to the attainment of equality. Even if the measure temporarily affects individuals who were previously privileged, this entails </w:t>
      </w:r>
      <w:proofErr w:type="gramStart"/>
      <w:r w:rsidRPr="00BB7375">
        <w:rPr>
          <w:rFonts w:ascii="Arial" w:hAnsi="Arial" w:cs="Arial"/>
          <w:sz w:val="24"/>
          <w:szCs w:val="24"/>
        </w:rPr>
        <w:t>taking into account</w:t>
      </w:r>
      <w:proofErr w:type="gramEnd"/>
      <w:r w:rsidRPr="00BB7375">
        <w:rPr>
          <w:rFonts w:ascii="Arial" w:hAnsi="Arial" w:cs="Arial"/>
          <w:sz w:val="24"/>
          <w:szCs w:val="24"/>
        </w:rPr>
        <w:t xml:space="preserve"> how it advances substantive equality and structural change. As Ngcobo J said in Bato Star,</w:t>
      </w:r>
      <w:r w:rsidRPr="00BB7375">
        <w:rPr>
          <w:rFonts w:ascii="Arial" w:hAnsi="Arial" w:cs="Arial"/>
          <w:sz w:val="24"/>
          <w:szCs w:val="24"/>
          <w:vertAlign w:val="superscript"/>
        </w:rPr>
        <w:footnoteReference w:id="359"/>
      </w:r>
      <w:r w:rsidRPr="00BB7375">
        <w:rPr>
          <w:rFonts w:ascii="Arial" w:hAnsi="Arial" w:cs="Arial"/>
          <w:sz w:val="24"/>
          <w:szCs w:val="24"/>
        </w:rPr>
        <w:t xml:space="preserve"> actions intended to correct past wrongs and improve the status of historically underprivileged groups would frequently have negative consequences for some members of society, especially those from once affluent societies. Promoting a more inclusive and equitable society often requires making this compromise, which is consistent with the third prerequisite of establishing long-term equality.</w:t>
      </w:r>
    </w:p>
    <w:p w14:paraId="26EFB5E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achievement of equality is enshrined in the </w:t>
      </w:r>
      <w:r w:rsidRPr="00BB7375">
        <w:rPr>
          <w:rFonts w:ascii="Arial" w:hAnsi="Arial" w:cs="Arial"/>
          <w:i/>
          <w:iCs/>
          <w:sz w:val="24"/>
          <w:szCs w:val="24"/>
        </w:rPr>
        <w:t>Constitution</w:t>
      </w:r>
      <w:r w:rsidRPr="00BB7375">
        <w:rPr>
          <w:rFonts w:ascii="Arial" w:hAnsi="Arial" w:cs="Arial"/>
          <w:sz w:val="24"/>
          <w:szCs w:val="24"/>
        </w:rPr>
        <w:t xml:space="preserve"> as a basic right and value. section 9, which states that everyone is equal before the law and has the right to equal protection and benefit of the law, mainly addresses this. This constitutional </w:t>
      </w:r>
      <w:r w:rsidRPr="00BB7375">
        <w:rPr>
          <w:rFonts w:ascii="Arial" w:hAnsi="Arial" w:cs="Arial"/>
          <w:sz w:val="24"/>
          <w:szCs w:val="24"/>
        </w:rPr>
        <w:lastRenderedPageBreak/>
        <w:t>foundation ensures that everyone is treated equally under the law, which is in line with the formal equality concept. Substantive equality, which goes beyond treating everyone equally, is specifically acknowledged in section 9(2), which also declares that equality encompasses the full and equal enjoyment of all rights and freedoms. In addition, in provides that legislative and other actions aimed at protecting or advancing individuals or groups of individuals who are harmed by unjust discrimination may be taken in pursuit of the goal of equality. Furthermore, unjust discrimination on a variety of reasons by the state or any individual is prohibited by sections 9(3) and (4), either directly or indirectly.</w:t>
      </w:r>
    </w:p>
    <w:p w14:paraId="5521FF36"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 key component of South Africa's efforts to promote equality is the </w:t>
      </w:r>
      <w:r w:rsidRPr="00BB7375">
        <w:rPr>
          <w:rFonts w:ascii="Arial" w:hAnsi="Arial" w:cs="Arial"/>
          <w:i/>
          <w:iCs/>
          <w:sz w:val="24"/>
          <w:szCs w:val="24"/>
        </w:rPr>
        <w:t>Employment Equity Act</w:t>
      </w:r>
      <w:r w:rsidRPr="00BB7375">
        <w:rPr>
          <w:rFonts w:ascii="Arial" w:hAnsi="Arial" w:cs="Arial"/>
          <w:sz w:val="24"/>
          <w:szCs w:val="24"/>
        </w:rPr>
        <w:t xml:space="preserve">, which is especially important when it comes to resolving employment disparities brought on by past injustices. Section 6 is a crucial clause that forbids unjust discrimination on </w:t>
      </w:r>
      <w:proofErr w:type="gramStart"/>
      <w:r w:rsidRPr="00BB7375">
        <w:rPr>
          <w:rFonts w:ascii="Arial" w:hAnsi="Arial" w:cs="Arial"/>
          <w:sz w:val="24"/>
          <w:szCs w:val="24"/>
        </w:rPr>
        <w:t>a number of</w:t>
      </w:r>
      <w:proofErr w:type="gramEnd"/>
      <w:r w:rsidRPr="00BB7375">
        <w:rPr>
          <w:rFonts w:ascii="Arial" w:hAnsi="Arial" w:cs="Arial"/>
          <w:sz w:val="24"/>
          <w:szCs w:val="24"/>
        </w:rPr>
        <w:t xml:space="preserve"> grounds, including age, gender, ethnicity, and disability. The </w:t>
      </w:r>
      <w:r w:rsidRPr="00BB7375">
        <w:rPr>
          <w:rFonts w:ascii="Arial" w:hAnsi="Arial" w:cs="Arial"/>
          <w:i/>
          <w:iCs/>
          <w:sz w:val="24"/>
          <w:szCs w:val="24"/>
        </w:rPr>
        <w:t>EEA</w:t>
      </w:r>
      <w:r w:rsidRPr="00BB7375">
        <w:rPr>
          <w:rFonts w:ascii="Arial" w:hAnsi="Arial" w:cs="Arial"/>
          <w:sz w:val="24"/>
          <w:szCs w:val="24"/>
        </w:rPr>
        <w:t xml:space="preserve"> creates a foundation for long-term workplace equity by outlawing discriminatory practices in hiring, compensation, training, and promotions, among other areas. By taking this proactive approach, equality is guaranteed to become a core and enduring value rather than a one-time or isolated action. Further, the </w:t>
      </w:r>
      <w:r w:rsidRPr="00BB7375">
        <w:rPr>
          <w:rFonts w:ascii="Arial" w:hAnsi="Arial" w:cs="Arial"/>
          <w:i/>
          <w:iCs/>
          <w:sz w:val="24"/>
          <w:szCs w:val="24"/>
        </w:rPr>
        <w:t xml:space="preserve">EEA </w:t>
      </w:r>
      <w:r w:rsidRPr="00BB7375">
        <w:rPr>
          <w:rFonts w:ascii="Arial" w:hAnsi="Arial" w:cs="Arial"/>
          <w:sz w:val="24"/>
          <w:szCs w:val="24"/>
        </w:rPr>
        <w:t xml:space="preserve">stresses a balanced approach to equity measures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further enhance equality under section42(2). When adopting affirmative action plans, employers are required to </w:t>
      </w:r>
      <w:proofErr w:type="gramStart"/>
      <w:r w:rsidRPr="00BB7375">
        <w:rPr>
          <w:rFonts w:ascii="Arial" w:hAnsi="Arial" w:cs="Arial"/>
          <w:sz w:val="24"/>
          <w:szCs w:val="24"/>
        </w:rPr>
        <w:t>take into account</w:t>
      </w:r>
      <w:proofErr w:type="gramEnd"/>
      <w:r w:rsidRPr="00BB7375">
        <w:rPr>
          <w:rFonts w:ascii="Arial" w:hAnsi="Arial" w:cs="Arial"/>
          <w:sz w:val="24"/>
          <w:szCs w:val="24"/>
        </w:rPr>
        <w:t xml:space="preserve"> elements, including the underrepresentation of designated groups, the particular demands of the workplace, and operational necessities. As a result, social change is encouraged without placing an excessive burden on employers or completely excluding non-designated groups. This guarantees that equity measures are reasonable, equitable, and </w:t>
      </w:r>
      <w:proofErr w:type="gramStart"/>
      <w:r w:rsidRPr="00BB7375">
        <w:rPr>
          <w:rFonts w:ascii="Arial" w:hAnsi="Arial" w:cs="Arial"/>
          <w:sz w:val="24"/>
          <w:szCs w:val="24"/>
        </w:rPr>
        <w:t>context-sensitive</w:t>
      </w:r>
      <w:proofErr w:type="gramEnd"/>
      <w:r w:rsidRPr="00BB7375">
        <w:rPr>
          <w:rFonts w:ascii="Arial" w:hAnsi="Arial" w:cs="Arial"/>
          <w:sz w:val="24"/>
          <w:szCs w:val="24"/>
        </w:rPr>
        <w:t xml:space="preserve">. Furthermore, an expanded approach is made possible by section 20(3)– (5) of the </w:t>
      </w:r>
      <w:r w:rsidRPr="00BB7375">
        <w:rPr>
          <w:rFonts w:ascii="Arial" w:hAnsi="Arial" w:cs="Arial"/>
          <w:i/>
          <w:iCs/>
          <w:sz w:val="24"/>
          <w:szCs w:val="24"/>
        </w:rPr>
        <w:t>EEA,</w:t>
      </w:r>
      <w:r w:rsidRPr="00BB7375">
        <w:rPr>
          <w:rFonts w:ascii="Arial" w:hAnsi="Arial" w:cs="Arial"/>
          <w:sz w:val="24"/>
          <w:szCs w:val="24"/>
        </w:rPr>
        <w:t xml:space="preserve"> which expands the standards for determining job appropriateness. It acknowledges not only formal qualifications but also past education, relevant work experience, and the ability to acquire the skills needed in an adequate </w:t>
      </w:r>
      <w:proofErr w:type="gramStart"/>
      <w:r w:rsidRPr="00BB7375">
        <w:rPr>
          <w:rFonts w:ascii="Arial" w:hAnsi="Arial" w:cs="Arial"/>
          <w:sz w:val="24"/>
          <w:szCs w:val="24"/>
        </w:rPr>
        <w:t>period of time</w:t>
      </w:r>
      <w:proofErr w:type="gramEnd"/>
      <w:r w:rsidRPr="00BB7375">
        <w:rPr>
          <w:rFonts w:ascii="Arial" w:hAnsi="Arial" w:cs="Arial"/>
          <w:sz w:val="24"/>
          <w:szCs w:val="24"/>
        </w:rPr>
        <w:t xml:space="preserve">. </w:t>
      </w:r>
    </w:p>
    <w:p w14:paraId="14489F7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court in </w:t>
      </w:r>
      <w:r w:rsidRPr="00BB7375">
        <w:rPr>
          <w:rFonts w:ascii="Arial" w:hAnsi="Arial" w:cs="Arial"/>
          <w:i/>
          <w:iCs/>
          <w:sz w:val="24"/>
          <w:szCs w:val="24"/>
        </w:rPr>
        <w:t>Minister of Finance v Van Heerden,</w:t>
      </w:r>
      <w:r w:rsidRPr="00BB7375">
        <w:rPr>
          <w:rFonts w:ascii="Arial" w:hAnsi="Arial" w:cs="Arial"/>
          <w:i/>
          <w:iCs/>
          <w:sz w:val="24"/>
          <w:szCs w:val="24"/>
          <w:vertAlign w:val="superscript"/>
        </w:rPr>
        <w:footnoteReference w:id="360"/>
      </w:r>
      <w:r w:rsidRPr="00BB7375">
        <w:rPr>
          <w:rFonts w:ascii="Arial" w:hAnsi="Arial" w:cs="Arial"/>
          <w:sz w:val="24"/>
          <w:szCs w:val="24"/>
        </w:rPr>
        <w:t xml:space="preserve"> stated that the investigation of the third test is crucial to establishing whether a measure complies with section 9(2) of the </w:t>
      </w:r>
      <w:r w:rsidRPr="00BB7375">
        <w:rPr>
          <w:rFonts w:ascii="Arial" w:hAnsi="Arial" w:cs="Arial"/>
          <w:i/>
          <w:iCs/>
          <w:sz w:val="24"/>
          <w:szCs w:val="24"/>
        </w:rPr>
        <w:t>Constitution</w:t>
      </w:r>
      <w:r w:rsidRPr="00BB7375">
        <w:rPr>
          <w:rFonts w:ascii="Arial" w:hAnsi="Arial" w:cs="Arial"/>
          <w:sz w:val="24"/>
          <w:szCs w:val="24"/>
        </w:rPr>
        <w:t xml:space="preserve"> since it may affect the rights and interests of people who are not able to </w:t>
      </w:r>
      <w:r w:rsidRPr="00BB7375">
        <w:rPr>
          <w:rFonts w:ascii="Arial" w:hAnsi="Arial" w:cs="Arial"/>
          <w:sz w:val="24"/>
          <w:szCs w:val="24"/>
        </w:rPr>
        <w:lastRenderedPageBreak/>
        <w:t>benefit from affirmative action measures. The court determined that to prevent "substantial and undue harm" to individuals who are not eligible for the benefits of the policy, the court must carefully weigh the potential benefits and drawbacks of the proposal. The court must thus determine whether the policy strikes a suitable balance between the potential harm that affirmative action policies may cause to individuals and the wider community benefit of redressing historical prejudice and inequality. The intent is to guarantee that beneficial actions minimize unnecessary harm to non-beneficiaries while making a significant contribution to societal change.</w:t>
      </w:r>
    </w:p>
    <w:p w14:paraId="411AAB2A"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order to ascertain whether a remedial action suitably balances the interests of all impacted groups, as required by the third part of the </w:t>
      </w:r>
      <w:r w:rsidRPr="00BB7375">
        <w:rPr>
          <w:rFonts w:ascii="Arial" w:hAnsi="Arial" w:cs="Arial"/>
          <w:i/>
          <w:iCs/>
          <w:sz w:val="24"/>
          <w:szCs w:val="24"/>
        </w:rPr>
        <w:t>Van Heerden</w:t>
      </w:r>
      <w:r w:rsidRPr="00BB7375">
        <w:rPr>
          <w:rFonts w:ascii="Arial" w:hAnsi="Arial" w:cs="Arial"/>
          <w:sz w:val="24"/>
          <w:szCs w:val="24"/>
        </w:rPr>
        <w:t xml:space="preserve"> test, De Vos advises courts to consider a variety of open-ended criteria.</w:t>
      </w:r>
      <w:r w:rsidRPr="00BB7375">
        <w:rPr>
          <w:rFonts w:ascii="Arial" w:hAnsi="Arial" w:cs="Arial"/>
          <w:sz w:val="24"/>
          <w:szCs w:val="24"/>
          <w:vertAlign w:val="superscript"/>
        </w:rPr>
        <w:footnoteReference w:id="361"/>
      </w:r>
      <w:r w:rsidRPr="00BB7375">
        <w:rPr>
          <w:rFonts w:ascii="Arial" w:hAnsi="Arial" w:cs="Arial"/>
          <w:sz w:val="24"/>
          <w:szCs w:val="24"/>
        </w:rPr>
        <w:t xml:space="preserve"> The historical marginalization of the benefiting group, the oppression of other groups on the basis of sexual orientation, sex, colour, and other characteristics, and the present social and economic standing of groups that were formerly the targets of unjust discrimination are some examples of these considerations. Additionally, the continued prevalence of racism, sexism, homophobia, and other types of societal misrecognition should also be taken into consideration in the investigation as well as the effect of the action on the privileged segment of society and whether it is so drastic as to compromise the equal dignity of the excluded group should also be evaluated by the courts.</w:t>
      </w:r>
    </w:p>
    <w:p w14:paraId="37254BAA"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his majority opinion in </w:t>
      </w:r>
      <w:r w:rsidRPr="00BB7375">
        <w:rPr>
          <w:rFonts w:ascii="Arial" w:hAnsi="Arial" w:cs="Arial"/>
          <w:i/>
          <w:iCs/>
          <w:sz w:val="24"/>
          <w:szCs w:val="24"/>
        </w:rPr>
        <w:t>Barnard</w:t>
      </w:r>
      <w:r w:rsidRPr="00BB7375">
        <w:rPr>
          <w:rFonts w:ascii="Arial" w:hAnsi="Arial" w:cs="Arial"/>
          <w:sz w:val="24"/>
          <w:szCs w:val="24"/>
        </w:rPr>
        <w:t>,</w:t>
      </w:r>
      <w:r w:rsidRPr="00BB7375">
        <w:rPr>
          <w:rFonts w:ascii="Arial" w:hAnsi="Arial" w:cs="Arial"/>
          <w:sz w:val="24"/>
          <w:szCs w:val="24"/>
          <w:vertAlign w:val="superscript"/>
        </w:rPr>
        <w:footnoteReference w:id="362"/>
      </w:r>
      <w:r w:rsidRPr="00BB7375">
        <w:rPr>
          <w:rFonts w:ascii="Arial" w:hAnsi="Arial" w:cs="Arial"/>
          <w:sz w:val="24"/>
          <w:szCs w:val="24"/>
        </w:rPr>
        <w:t xml:space="preserve"> Moseneke ACJ outlined the </w:t>
      </w:r>
      <w:r w:rsidRPr="00BB7375">
        <w:rPr>
          <w:rFonts w:ascii="Arial" w:hAnsi="Arial" w:cs="Arial"/>
          <w:i/>
          <w:iCs/>
          <w:sz w:val="24"/>
          <w:szCs w:val="24"/>
        </w:rPr>
        <w:t>Constitution</w:t>
      </w:r>
      <w:r w:rsidRPr="00BB7375">
        <w:rPr>
          <w:rFonts w:ascii="Arial" w:hAnsi="Arial" w:cs="Arial"/>
          <w:sz w:val="24"/>
          <w:szCs w:val="24"/>
        </w:rPr>
        <w:t xml:space="preserve">'s transformative goals, stressing that its purpose is to rethink societal power dynamics. He clarified that the Constitution requires proactive measures to attain substantive equality, especially for individuals who have been harmed by prior discrimination. Moseneke ACJ, however, also issued a warning that this pursuit ought to be conducted cautiously. The delicate balance needed to address the </w:t>
      </w:r>
      <w:r w:rsidRPr="00BB7375">
        <w:rPr>
          <w:rFonts w:ascii="Arial" w:hAnsi="Arial" w:cs="Arial"/>
          <w:i/>
          <w:iCs/>
          <w:sz w:val="24"/>
          <w:szCs w:val="24"/>
        </w:rPr>
        <w:t>Constitution</w:t>
      </w:r>
      <w:r w:rsidRPr="00BB7375">
        <w:rPr>
          <w:rFonts w:ascii="Arial" w:hAnsi="Arial" w:cs="Arial"/>
          <w:sz w:val="24"/>
          <w:szCs w:val="24"/>
        </w:rPr>
        <w:t xml:space="preserve">'s simultaneous duty to acknowledge and correct historical injustices while working to establish a society that is socially inclusive, non-racial, and non-sexist was emphasized by Cameron J, </w:t>
      </w:r>
      <w:proofErr w:type="spellStart"/>
      <w:r w:rsidRPr="00BB7375">
        <w:rPr>
          <w:rFonts w:ascii="Arial" w:hAnsi="Arial" w:cs="Arial"/>
          <w:sz w:val="24"/>
          <w:szCs w:val="24"/>
        </w:rPr>
        <w:t>Froneman</w:t>
      </w:r>
      <w:proofErr w:type="spellEnd"/>
      <w:r w:rsidRPr="00BB7375">
        <w:rPr>
          <w:rFonts w:ascii="Arial" w:hAnsi="Arial" w:cs="Arial"/>
          <w:sz w:val="24"/>
          <w:szCs w:val="24"/>
        </w:rPr>
        <w:t xml:space="preserve"> J, and </w:t>
      </w:r>
      <w:proofErr w:type="spellStart"/>
      <w:r w:rsidRPr="00BB7375">
        <w:rPr>
          <w:rFonts w:ascii="Arial" w:hAnsi="Arial" w:cs="Arial"/>
          <w:sz w:val="24"/>
          <w:szCs w:val="24"/>
        </w:rPr>
        <w:t>Majiedt</w:t>
      </w:r>
      <w:proofErr w:type="spellEnd"/>
      <w:r w:rsidRPr="00BB7375">
        <w:rPr>
          <w:rFonts w:ascii="Arial" w:hAnsi="Arial" w:cs="Arial"/>
          <w:sz w:val="24"/>
          <w:szCs w:val="24"/>
        </w:rPr>
        <w:t xml:space="preserve"> AJ in a joint concurring judgment.</w:t>
      </w:r>
      <w:r w:rsidRPr="00BB7375">
        <w:rPr>
          <w:rFonts w:ascii="Arial" w:hAnsi="Arial" w:cs="Arial"/>
          <w:sz w:val="24"/>
          <w:szCs w:val="24"/>
          <w:vertAlign w:val="superscript"/>
        </w:rPr>
        <w:footnoteReference w:id="363"/>
      </w:r>
      <w:r w:rsidRPr="00BB7375">
        <w:rPr>
          <w:rFonts w:ascii="Arial" w:hAnsi="Arial" w:cs="Arial"/>
          <w:sz w:val="24"/>
          <w:szCs w:val="24"/>
        </w:rPr>
        <w:t xml:space="preserve"> Although such measures are driven by objectives that are in opposition to apartheid, they nevertheless evoke the divisions of the past, therefore they alerted against the </w:t>
      </w:r>
      <w:r w:rsidRPr="00BB7375">
        <w:rPr>
          <w:rFonts w:ascii="Arial" w:hAnsi="Arial" w:cs="Arial"/>
          <w:sz w:val="24"/>
          <w:szCs w:val="24"/>
        </w:rPr>
        <w:lastRenderedPageBreak/>
        <w:t xml:space="preserve">inherent tension in employing racial categories. The </w:t>
      </w:r>
      <w:proofErr w:type="gramStart"/>
      <w:r w:rsidRPr="00BB7375">
        <w:rPr>
          <w:rFonts w:ascii="Arial" w:hAnsi="Arial" w:cs="Arial"/>
          <w:sz w:val="24"/>
          <w:szCs w:val="24"/>
        </w:rPr>
        <w:t>ultimate goal</w:t>
      </w:r>
      <w:proofErr w:type="gramEnd"/>
      <w:r w:rsidRPr="00BB7375">
        <w:rPr>
          <w:rFonts w:ascii="Arial" w:hAnsi="Arial" w:cs="Arial"/>
          <w:sz w:val="24"/>
          <w:szCs w:val="24"/>
        </w:rPr>
        <w:t>, they said, remains to get rid of these outdated subordinations and divisions. But they cautioned that "fighting fire with fire" calls for caution to make sure that corrective actions are reasonable and do not unnecessarily violate the human dignity of individuals impacted.</w:t>
      </w:r>
    </w:p>
    <w:p w14:paraId="72CC4075" w14:textId="088ACBA0" w:rsid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court stated in </w:t>
      </w:r>
      <w:r w:rsidRPr="00BB7375">
        <w:rPr>
          <w:rFonts w:ascii="Arial" w:hAnsi="Arial" w:cs="Arial"/>
          <w:i/>
          <w:iCs/>
          <w:sz w:val="24"/>
          <w:szCs w:val="24"/>
        </w:rPr>
        <w:t>City Council of Pretoria v. Walker</w:t>
      </w:r>
      <w:r w:rsidRPr="00BB7375">
        <w:rPr>
          <w:rFonts w:ascii="Arial" w:hAnsi="Arial" w:cs="Arial"/>
          <w:i/>
          <w:iCs/>
          <w:sz w:val="24"/>
          <w:szCs w:val="24"/>
          <w:vertAlign w:val="superscript"/>
        </w:rPr>
        <w:footnoteReference w:id="364"/>
      </w:r>
      <w:r w:rsidRPr="00BB7375">
        <w:rPr>
          <w:rFonts w:ascii="Arial" w:hAnsi="Arial" w:cs="Arial"/>
          <w:sz w:val="24"/>
          <w:szCs w:val="24"/>
        </w:rPr>
        <w:t xml:space="preserve"> those procedures of differential treatment, which have the rightful goal of achieving true equality, should not be carried out in a way that unnecessarily and callously offends and marginalizes individuals who are recognized as members of groups that have historically benefited. If affirmative action has an unduly disproportionate effect on the rights of non-designated groups, it may be unfair or unacceptable. Therefore, a discriminatory action's impact on the complainant is the primary determinant of its fairness.</w:t>
      </w:r>
      <w:r w:rsidRPr="00BB7375">
        <w:rPr>
          <w:rFonts w:ascii="Arial" w:hAnsi="Arial" w:cs="Arial"/>
          <w:sz w:val="24"/>
          <w:szCs w:val="24"/>
          <w:vertAlign w:val="superscript"/>
        </w:rPr>
        <w:footnoteReference w:id="365"/>
      </w:r>
      <w:r w:rsidRPr="00BB7375">
        <w:rPr>
          <w:rFonts w:ascii="Arial" w:hAnsi="Arial" w:cs="Arial"/>
          <w:sz w:val="24"/>
          <w:szCs w:val="24"/>
        </w:rPr>
        <w:t xml:space="preserve"> </w:t>
      </w:r>
    </w:p>
    <w:p w14:paraId="0A4809C5" w14:textId="77777777" w:rsidR="00452249" w:rsidRPr="00BB7375" w:rsidRDefault="00452249" w:rsidP="00BB7375">
      <w:pPr>
        <w:spacing w:line="360" w:lineRule="auto"/>
        <w:jc w:val="both"/>
        <w:rPr>
          <w:rFonts w:ascii="Arial" w:hAnsi="Arial" w:cs="Arial"/>
          <w:sz w:val="24"/>
          <w:szCs w:val="24"/>
        </w:rPr>
      </w:pPr>
    </w:p>
    <w:p w14:paraId="20D1BC92" w14:textId="38E321B6" w:rsidR="00BB7375" w:rsidRPr="00BB7375" w:rsidRDefault="00A726E2" w:rsidP="00452249">
      <w:pPr>
        <w:pStyle w:val="Heading1"/>
      </w:pPr>
      <w:bookmarkStart w:id="197" w:name="_Toc189739357"/>
      <w:r>
        <w:t>3</w:t>
      </w:r>
      <w:r w:rsidR="00BB7375" w:rsidRPr="00BB7375">
        <w:t>.</w:t>
      </w:r>
      <w:r>
        <w:t>6</w:t>
      </w:r>
      <w:r w:rsidR="00BB7375" w:rsidRPr="00BB7375">
        <w:t xml:space="preserve"> Striking the Balance: Rationality, Proportionality, and Fairness in Affirmative Action Measures</w:t>
      </w:r>
      <w:bookmarkEnd w:id="197"/>
    </w:p>
    <w:p w14:paraId="293BEE7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South Africa, implementing affirmative action policies to achieve substantive equality is a complex and multilayered task. These policies </w:t>
      </w:r>
      <w:proofErr w:type="gramStart"/>
      <w:r w:rsidRPr="00BB7375">
        <w:rPr>
          <w:rFonts w:ascii="Arial" w:hAnsi="Arial" w:cs="Arial"/>
          <w:sz w:val="24"/>
          <w:szCs w:val="24"/>
        </w:rPr>
        <w:t>have to</w:t>
      </w:r>
      <w:proofErr w:type="gramEnd"/>
      <w:r w:rsidRPr="00BB7375">
        <w:rPr>
          <w:rFonts w:ascii="Arial" w:hAnsi="Arial" w:cs="Arial"/>
          <w:sz w:val="24"/>
          <w:szCs w:val="24"/>
        </w:rPr>
        <w:t xml:space="preserve"> maintain a careful balance between furthering the interests of underprivileged groups and upholding the rights of those who might be negatively impacted by them. Subsequently, they are intended to remedy the long-lasting impacts of past discrimination and advance equality.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determine whether affirmative action policies comply with the constitutional requirement of substantive equality, it is crucial to consider the criteria of reason, proportionality, and fairness. The court must compare a measure to a specific standard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determine whether it conforms with these principles, especially the third criterion of attaining equality over the long term. According to the courts, rationality is the proper criterion for this assessment; nevertheless, it must be used in correlation with proportionality and fairness. This yardstick offers a thorough framework for assessing whether affirmative action policies accomplish their stated objectives without needlessly violating the rights or dignity of people who might be negatively impacted.</w:t>
      </w:r>
    </w:p>
    <w:p w14:paraId="7B37A191"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 xml:space="preserve">Practically speaking, this implies that the court </w:t>
      </w:r>
      <w:proofErr w:type="gramStart"/>
      <w:r w:rsidRPr="00BB7375">
        <w:rPr>
          <w:rFonts w:ascii="Arial" w:hAnsi="Arial" w:cs="Arial"/>
          <w:sz w:val="24"/>
          <w:szCs w:val="24"/>
        </w:rPr>
        <w:t>has to</w:t>
      </w:r>
      <w:proofErr w:type="gramEnd"/>
      <w:r w:rsidRPr="00BB7375">
        <w:rPr>
          <w:rFonts w:ascii="Arial" w:hAnsi="Arial" w:cs="Arial"/>
          <w:sz w:val="24"/>
          <w:szCs w:val="24"/>
        </w:rPr>
        <w:t xml:space="preserve"> carefully weigh the conflicting interests. Additionally, the court must guarantee that the policies are reasonable in relation to the objective of equality, that their impact and scope are proportionate, and that they uphold the dignity and fairness of </w:t>
      </w:r>
      <w:proofErr w:type="gramStart"/>
      <w:r w:rsidRPr="00BB7375">
        <w:rPr>
          <w:rFonts w:ascii="Arial" w:hAnsi="Arial" w:cs="Arial"/>
          <w:sz w:val="24"/>
          <w:szCs w:val="24"/>
        </w:rPr>
        <w:t>each and every</w:t>
      </w:r>
      <w:proofErr w:type="gramEnd"/>
      <w:r w:rsidRPr="00BB7375">
        <w:rPr>
          <w:rFonts w:ascii="Arial" w:hAnsi="Arial" w:cs="Arial"/>
          <w:sz w:val="24"/>
          <w:szCs w:val="24"/>
        </w:rPr>
        <w:t xml:space="preserve"> person. Considering that race, gender, and other sensitive classifications have historically been utilized to maintain inequality, this delicate balancing act is especially difficult when measures involving these categories are involved.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make sure that the goal of equality does not unintentionally violate the rights of those who might not benefit from policies based on affirmative action, this study examines how these principles inform the creation, application, and judicial review of such measures.</w:t>
      </w:r>
    </w:p>
    <w:p w14:paraId="0DFE03F9" w14:textId="58A98A3F" w:rsidR="00BB7375" w:rsidRPr="00BB7375" w:rsidRDefault="00A726E2" w:rsidP="00452249">
      <w:pPr>
        <w:pStyle w:val="Heading2"/>
        <w:ind w:left="360"/>
      </w:pPr>
      <w:bookmarkStart w:id="198" w:name="_Toc189739358"/>
      <w:r>
        <w:t>3</w:t>
      </w:r>
      <w:r w:rsidR="00452249">
        <w:t>.</w:t>
      </w:r>
      <w:r>
        <w:t>6</w:t>
      </w:r>
      <w:r w:rsidR="00452249">
        <w:t xml:space="preserve">.1 </w:t>
      </w:r>
      <w:r w:rsidR="00BB7375" w:rsidRPr="00BB7375">
        <w:t>The “rationality” standard in Affirmative action</w:t>
      </w:r>
      <w:bookmarkEnd w:id="198"/>
    </w:p>
    <w:p w14:paraId="64EB10F7" w14:textId="68376259" w:rsidR="00BB7375" w:rsidRPr="00BB7375" w:rsidRDefault="00A726E2" w:rsidP="00452249">
      <w:pPr>
        <w:pStyle w:val="Subtitle"/>
        <w:numPr>
          <w:ilvl w:val="0"/>
          <w:numId w:val="0"/>
        </w:numPr>
        <w:ind w:left="792"/>
      </w:pPr>
      <w:bookmarkStart w:id="199" w:name="_Toc189739359"/>
      <w:r>
        <w:t>3</w:t>
      </w:r>
      <w:r w:rsidR="00BB7375" w:rsidRPr="00BB7375">
        <w:t>.</w:t>
      </w:r>
      <w:r>
        <w:t>6</w:t>
      </w:r>
      <w:r w:rsidR="00BB7375" w:rsidRPr="00BB7375">
        <w:t>.1.1 Constitutional definition of rationality</w:t>
      </w:r>
      <w:bookmarkEnd w:id="199"/>
    </w:p>
    <w:p w14:paraId="28F6C5B3"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Section 9(1) of the </w:t>
      </w:r>
      <w:r w:rsidRPr="00BB7375">
        <w:rPr>
          <w:rFonts w:ascii="Arial" w:hAnsi="Arial" w:cs="Arial"/>
          <w:i/>
          <w:iCs/>
          <w:sz w:val="24"/>
          <w:szCs w:val="24"/>
        </w:rPr>
        <w:t>Constitution</w:t>
      </w:r>
      <w:r w:rsidRPr="00BB7375">
        <w:rPr>
          <w:rFonts w:ascii="Arial" w:hAnsi="Arial" w:cs="Arial"/>
          <w:sz w:val="24"/>
          <w:szCs w:val="24"/>
        </w:rPr>
        <w:t xml:space="preserve"> states that any action that limits equality rights must be logically related to its intended goal. Applying this principle to affirmative action entails that the Constitution's objective of protecting and advancing people or groups who have historically and systemically suffered from unfair discrimination must be directly aligned with the preferential treatment granted to designated groups.</w:t>
      </w:r>
      <w:r w:rsidRPr="00BB7375">
        <w:rPr>
          <w:rFonts w:ascii="Arial" w:hAnsi="Arial" w:cs="Arial"/>
          <w:sz w:val="24"/>
          <w:szCs w:val="24"/>
          <w:vertAlign w:val="superscript"/>
        </w:rPr>
        <w:footnoteReference w:id="366"/>
      </w:r>
      <w:r w:rsidRPr="00BB7375">
        <w:rPr>
          <w:rFonts w:ascii="Arial" w:hAnsi="Arial" w:cs="Arial"/>
          <w:sz w:val="24"/>
          <w:szCs w:val="24"/>
        </w:rPr>
        <w:t xml:space="preserve"> Preferential treatment must be a necessary and justified step towards attaining substantive equality, not arbitrary or disproportionate, and the measure must be rationally and substantively linked to the goal of redressing these imbalances. According to Kentridge,</w:t>
      </w:r>
      <w:r w:rsidRPr="00BB7375">
        <w:rPr>
          <w:rFonts w:ascii="Arial" w:hAnsi="Arial" w:cs="Arial"/>
          <w:sz w:val="24"/>
          <w:szCs w:val="24"/>
          <w:vertAlign w:val="superscript"/>
        </w:rPr>
        <w:footnoteReference w:id="367"/>
      </w:r>
      <w:r w:rsidRPr="00BB7375">
        <w:rPr>
          <w:rFonts w:ascii="Arial" w:hAnsi="Arial" w:cs="Arial"/>
          <w:sz w:val="24"/>
          <w:szCs w:val="24"/>
        </w:rPr>
        <w:t xml:space="preserve"> if the groups being protected or promoted are not disadvantaged due to prejudice, affirmative action will not have a sound basis. Furthermore, the policies put in place must be logically competent to guarantee these groups' development or protection </w:t>
      </w:r>
      <w:proofErr w:type="gramStart"/>
      <w:r w:rsidRPr="00BB7375">
        <w:rPr>
          <w:rFonts w:ascii="Arial" w:hAnsi="Arial" w:cs="Arial"/>
          <w:sz w:val="24"/>
          <w:szCs w:val="24"/>
        </w:rPr>
        <w:t>in light of</w:t>
      </w:r>
      <w:proofErr w:type="gramEnd"/>
      <w:r w:rsidRPr="00BB7375">
        <w:rPr>
          <w:rFonts w:ascii="Arial" w:hAnsi="Arial" w:cs="Arial"/>
          <w:sz w:val="24"/>
          <w:szCs w:val="24"/>
        </w:rPr>
        <w:t xml:space="preserve"> the disadvantages they have experienced. Affirmative action policies cannot be defended as a valid way to alleviate past inequity without this link. </w:t>
      </w:r>
    </w:p>
    <w:p w14:paraId="1E0B2212" w14:textId="4CC6BF1F" w:rsidR="00BB7375" w:rsidRPr="00BB7375" w:rsidRDefault="00A726E2" w:rsidP="00452249">
      <w:pPr>
        <w:pStyle w:val="Subtitle"/>
        <w:numPr>
          <w:ilvl w:val="0"/>
          <w:numId w:val="0"/>
        </w:numPr>
        <w:ind w:left="792"/>
      </w:pPr>
      <w:bookmarkStart w:id="200" w:name="_Toc189739360"/>
      <w:r>
        <w:t>3</w:t>
      </w:r>
      <w:r w:rsidR="00BB7375" w:rsidRPr="00BB7375">
        <w:t>.</w:t>
      </w:r>
      <w:r>
        <w:t>6</w:t>
      </w:r>
      <w:r w:rsidR="00BB7375" w:rsidRPr="00BB7375">
        <w:t>.1.2 Judicial application of rationality</w:t>
      </w:r>
      <w:bookmarkEnd w:id="200"/>
    </w:p>
    <w:p w14:paraId="2C26CF4D"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court in the </w:t>
      </w:r>
      <w:r w:rsidRPr="00BB7375">
        <w:rPr>
          <w:rFonts w:ascii="Arial" w:hAnsi="Arial" w:cs="Arial"/>
          <w:i/>
          <w:iCs/>
          <w:sz w:val="24"/>
          <w:szCs w:val="24"/>
        </w:rPr>
        <w:t>Van Heerden</w:t>
      </w:r>
      <w:r w:rsidRPr="00BB7375">
        <w:rPr>
          <w:rFonts w:ascii="Arial" w:hAnsi="Arial" w:cs="Arial"/>
          <w:sz w:val="24"/>
          <w:szCs w:val="24"/>
        </w:rPr>
        <w:t xml:space="preserve"> case applied section 9 of the </w:t>
      </w:r>
      <w:r w:rsidRPr="00BB7375">
        <w:rPr>
          <w:rFonts w:ascii="Arial" w:hAnsi="Arial" w:cs="Arial"/>
          <w:i/>
          <w:iCs/>
          <w:sz w:val="24"/>
          <w:szCs w:val="24"/>
        </w:rPr>
        <w:t>Constitution</w:t>
      </w:r>
      <w:r w:rsidRPr="00BB7375">
        <w:rPr>
          <w:rFonts w:ascii="Arial" w:hAnsi="Arial" w:cs="Arial"/>
          <w:sz w:val="24"/>
          <w:szCs w:val="24"/>
        </w:rPr>
        <w:t xml:space="preserve"> in a thorough manner, incorporating subsections 9(2) and </w:t>
      </w:r>
      <w:proofErr w:type="gramStart"/>
      <w:r w:rsidRPr="00BB7375">
        <w:rPr>
          <w:rFonts w:ascii="Arial" w:hAnsi="Arial" w:cs="Arial"/>
          <w:sz w:val="24"/>
          <w:szCs w:val="24"/>
        </w:rPr>
        <w:t>9(3) in particular</w:t>
      </w:r>
      <w:proofErr w:type="gramEnd"/>
      <w:r w:rsidRPr="00BB7375">
        <w:rPr>
          <w:rFonts w:ascii="Arial" w:hAnsi="Arial" w:cs="Arial"/>
          <w:sz w:val="24"/>
          <w:szCs w:val="24"/>
        </w:rPr>
        <w:t>. The court </w:t>
      </w:r>
      <w:proofErr w:type="gramStart"/>
      <w:r w:rsidRPr="00BB7375">
        <w:rPr>
          <w:rFonts w:ascii="Arial" w:hAnsi="Arial" w:cs="Arial"/>
          <w:sz w:val="24"/>
          <w:szCs w:val="24"/>
        </w:rPr>
        <w:t>came to the conclusion</w:t>
      </w:r>
      <w:proofErr w:type="gramEnd"/>
      <w:r w:rsidRPr="00BB7375">
        <w:rPr>
          <w:rFonts w:ascii="Arial" w:hAnsi="Arial" w:cs="Arial"/>
          <w:sz w:val="24"/>
          <w:szCs w:val="24"/>
        </w:rPr>
        <w:t xml:space="preserve"> that, in the majority of situations, the same criteria that are used to assess </w:t>
      </w:r>
      <w:r w:rsidRPr="00BB7375">
        <w:rPr>
          <w:rFonts w:ascii="Arial" w:hAnsi="Arial" w:cs="Arial"/>
          <w:sz w:val="24"/>
          <w:szCs w:val="24"/>
        </w:rPr>
        <w:lastRenderedPageBreak/>
        <w:t>whether a measure facilitates equality under section 9(2) would also indicate whether it is unfair under section 9(3). A measure would not satisfy the standards of both sections, for example, even if it is purportedly intended to help the underprivileged if it is motivated by improper or corrupt motivations.</w:t>
      </w:r>
      <w:r w:rsidRPr="00BB7375">
        <w:rPr>
          <w:rFonts w:ascii="Arial" w:hAnsi="Arial" w:cs="Arial"/>
          <w:sz w:val="24"/>
          <w:szCs w:val="24"/>
          <w:vertAlign w:val="superscript"/>
        </w:rPr>
        <w:footnoteReference w:id="368"/>
      </w:r>
      <w:r w:rsidRPr="00BB7375">
        <w:rPr>
          <w:rFonts w:ascii="Arial" w:hAnsi="Arial" w:cs="Arial"/>
          <w:sz w:val="24"/>
          <w:szCs w:val="24"/>
        </w:rPr>
        <w:t xml:space="preserve"> Likewise, an affirmative action plan would be illogical if it were badly designed or implemented to the point where it jeopardizes the institution's ability to operate or survive. In this instance, the affirmative action plan could not be interpreted as advancing justice or equality for the underprivileged or for any other group.</w:t>
      </w:r>
      <w:r w:rsidRPr="00BB7375">
        <w:rPr>
          <w:rFonts w:ascii="Arial" w:hAnsi="Arial" w:cs="Arial"/>
          <w:sz w:val="24"/>
          <w:szCs w:val="24"/>
          <w:vertAlign w:val="superscript"/>
        </w:rPr>
        <w:footnoteReference w:id="369"/>
      </w:r>
    </w:p>
    <w:p w14:paraId="67EB90BE"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w:t>
      </w:r>
      <w:proofErr w:type="gramStart"/>
      <w:r w:rsidRPr="00BB7375">
        <w:rPr>
          <w:rFonts w:ascii="Arial" w:hAnsi="Arial" w:cs="Arial"/>
          <w:sz w:val="24"/>
          <w:szCs w:val="24"/>
        </w:rPr>
        <w:t>the majority of</w:t>
      </w:r>
      <w:proofErr w:type="gramEnd"/>
      <w:r w:rsidRPr="00BB7375">
        <w:rPr>
          <w:rFonts w:ascii="Arial" w:hAnsi="Arial" w:cs="Arial"/>
          <w:sz w:val="24"/>
          <w:szCs w:val="24"/>
        </w:rPr>
        <w:t xml:space="preserve"> jurisdictions, it is the responsibility of employers to prove that their affirmative action policies are reasonable. According to the South African Labour Court's ruling in </w:t>
      </w:r>
      <w:r w:rsidRPr="00BB7375">
        <w:rPr>
          <w:rFonts w:ascii="Arial" w:hAnsi="Arial" w:cs="Arial"/>
          <w:i/>
          <w:iCs/>
          <w:sz w:val="24"/>
          <w:szCs w:val="24"/>
        </w:rPr>
        <w:t>Antoinette McInnes v Technicon Natal</w:t>
      </w:r>
      <w:r w:rsidRPr="00BB7375">
        <w:rPr>
          <w:rFonts w:ascii="Arial" w:hAnsi="Arial" w:cs="Arial"/>
          <w:sz w:val="24"/>
          <w:szCs w:val="24"/>
        </w:rPr>
        <w:t>,</w:t>
      </w:r>
      <w:r w:rsidRPr="00BB7375">
        <w:rPr>
          <w:rFonts w:ascii="Arial" w:hAnsi="Arial" w:cs="Arial"/>
          <w:sz w:val="24"/>
          <w:szCs w:val="24"/>
          <w:vertAlign w:val="superscript"/>
        </w:rPr>
        <w:footnoteReference w:id="370"/>
      </w:r>
      <w:r w:rsidRPr="00BB7375">
        <w:rPr>
          <w:rFonts w:ascii="Arial" w:hAnsi="Arial" w:cs="Arial"/>
          <w:sz w:val="24"/>
          <w:szCs w:val="24"/>
        </w:rPr>
        <w:t xml:space="preserve"> the employer (the respondent) must demonstrate that, by favouring a member of a designated group based on race, they are enacting or implementing pursuant to employment policies and practices that are intended to provide adequate protection and advancement for individuals or groups who are disadvantaged by unfair discrimination. The full and equal enjoyment of all rights and freedoms by those impacted should thus be made possible by these measures. As a result, organizations that use affirmative action policies without carrying out a comprehensive organizational audit or using trustworthy techniques to evaluate the type and degree of disadvantage experienced by specific groups within their workforce will have difficulty demonstrating the validity of their policies. Without reliable statistical data or other assessment instruments, the alignment of an employer's affirmative action policy with the objective of advancing substantive equality for underrepresented groups could seem like a coincidental rather than a well-founded approach.</w:t>
      </w:r>
      <w:r w:rsidRPr="00BB7375">
        <w:rPr>
          <w:rFonts w:ascii="Arial" w:hAnsi="Arial" w:cs="Arial"/>
          <w:sz w:val="24"/>
          <w:szCs w:val="24"/>
          <w:vertAlign w:val="superscript"/>
        </w:rPr>
        <w:footnoteReference w:id="371"/>
      </w:r>
      <w:r w:rsidRPr="00BB7375">
        <w:rPr>
          <w:rFonts w:ascii="Arial" w:hAnsi="Arial" w:cs="Arial"/>
          <w:sz w:val="24"/>
          <w:szCs w:val="24"/>
        </w:rPr>
        <w:t xml:space="preserve"> It becomes challenging to prove that affirmative action policies are actually intended to address the particular disadvantages these groups experience in the absence of this crucial information, casting doubt on the validity and efficacy of such programs. </w:t>
      </w:r>
    </w:p>
    <w:p w14:paraId="531CA5B5"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 xml:space="preserve">In the case of </w:t>
      </w:r>
      <w:r w:rsidRPr="00BB7375">
        <w:rPr>
          <w:rFonts w:ascii="Arial" w:hAnsi="Arial" w:cs="Arial"/>
          <w:i/>
          <w:iCs/>
          <w:sz w:val="24"/>
          <w:szCs w:val="24"/>
        </w:rPr>
        <w:t>Public Servants Association of South Africa and Others v Minister of Justice</w:t>
      </w:r>
      <w:r w:rsidRPr="00BB7375">
        <w:rPr>
          <w:rFonts w:ascii="Arial" w:hAnsi="Arial" w:cs="Arial"/>
          <w:sz w:val="24"/>
          <w:szCs w:val="24"/>
        </w:rPr>
        <w:t>,</w:t>
      </w:r>
      <w:r w:rsidRPr="00BB7375">
        <w:rPr>
          <w:rFonts w:ascii="Arial" w:hAnsi="Arial" w:cs="Arial"/>
          <w:sz w:val="24"/>
          <w:szCs w:val="24"/>
          <w:vertAlign w:val="superscript"/>
        </w:rPr>
        <w:footnoteReference w:id="372"/>
      </w:r>
      <w:r w:rsidRPr="00BB7375">
        <w:rPr>
          <w:rFonts w:ascii="Arial" w:hAnsi="Arial" w:cs="Arial"/>
          <w:sz w:val="24"/>
          <w:szCs w:val="24"/>
        </w:rPr>
        <w:t xml:space="preserve"> the Department of Justice chose to mark some positions as affirmative action positions and others as positions that needed to be filled in accordance with the Public Service Act. Swart J underlined that affirmative action policies had to be "designed" with the intention of sufficiently safeguarding and advancing underprivileged groups in order to comply with section 8(3)(a) of the interim </w:t>
      </w:r>
      <w:r w:rsidRPr="00BB7375">
        <w:rPr>
          <w:rFonts w:ascii="Arial" w:hAnsi="Arial" w:cs="Arial"/>
          <w:i/>
          <w:iCs/>
          <w:sz w:val="24"/>
          <w:szCs w:val="24"/>
        </w:rPr>
        <w:t>Constitution</w:t>
      </w:r>
      <w:r w:rsidRPr="00BB7375">
        <w:rPr>
          <w:rFonts w:ascii="Arial" w:hAnsi="Arial" w:cs="Arial"/>
          <w:sz w:val="24"/>
          <w:szCs w:val="24"/>
        </w:rPr>
        <w:t>.</w:t>
      </w:r>
      <w:r w:rsidRPr="00BB7375">
        <w:rPr>
          <w:rFonts w:ascii="Arial" w:hAnsi="Arial" w:cs="Arial"/>
          <w:sz w:val="24"/>
          <w:szCs w:val="24"/>
          <w:vertAlign w:val="superscript"/>
        </w:rPr>
        <w:footnoteReference w:id="373"/>
      </w:r>
      <w:r w:rsidRPr="00BB7375">
        <w:rPr>
          <w:rFonts w:ascii="Arial" w:hAnsi="Arial" w:cs="Arial"/>
          <w:sz w:val="24"/>
          <w:szCs w:val="24"/>
        </w:rPr>
        <w:t xml:space="preserve"> The judge noted that this criterion contrasts with arbitrary acts or intents, and since there was no explicit justification given for the earmarking of particular postings, the court determined that the department's strategy in this instance was a little arbitrary, random, and hurried.</w:t>
      </w:r>
      <w:r w:rsidRPr="00BB7375">
        <w:rPr>
          <w:rFonts w:ascii="Arial" w:hAnsi="Arial" w:cs="Arial"/>
          <w:sz w:val="24"/>
          <w:szCs w:val="24"/>
          <w:vertAlign w:val="superscript"/>
        </w:rPr>
        <w:footnoteReference w:id="374"/>
      </w:r>
      <w:r w:rsidRPr="00BB7375">
        <w:rPr>
          <w:rFonts w:ascii="Arial" w:hAnsi="Arial" w:cs="Arial"/>
          <w:sz w:val="24"/>
          <w:szCs w:val="24"/>
        </w:rPr>
        <w:t xml:space="preserve"> The court held in </w:t>
      </w:r>
      <w:r w:rsidRPr="00BB7375">
        <w:rPr>
          <w:rFonts w:ascii="Arial" w:hAnsi="Arial" w:cs="Arial"/>
          <w:i/>
          <w:iCs/>
          <w:sz w:val="24"/>
          <w:szCs w:val="24"/>
        </w:rPr>
        <w:t>MWU Obo van Coller v Eskom,</w:t>
      </w:r>
      <w:r w:rsidRPr="00BB7375">
        <w:rPr>
          <w:rFonts w:ascii="Arial" w:hAnsi="Arial" w:cs="Arial"/>
          <w:i/>
          <w:iCs/>
          <w:sz w:val="24"/>
          <w:szCs w:val="24"/>
          <w:vertAlign w:val="superscript"/>
        </w:rPr>
        <w:footnoteReference w:id="375"/>
      </w:r>
      <w:r w:rsidRPr="00BB7375">
        <w:rPr>
          <w:rFonts w:ascii="Arial" w:hAnsi="Arial" w:cs="Arial"/>
          <w:sz w:val="24"/>
          <w:szCs w:val="24"/>
        </w:rPr>
        <w:t xml:space="preserve"> that an employer cannot utilize affirmative action as a defence against a racial discrimination claim unless a program or specified measures are in place to meet predetermined numerical objectives. However, implementing affirmative action does not always require a formal, pre-existing strategy with specific long-, medium-, and short-term goals and timelines. Affirmative action policies are not required to be strictly tailored to the </w:t>
      </w:r>
      <w:proofErr w:type="gramStart"/>
      <w:r w:rsidRPr="00BB7375">
        <w:rPr>
          <w:rFonts w:ascii="Arial" w:hAnsi="Arial" w:cs="Arial"/>
          <w:sz w:val="24"/>
          <w:szCs w:val="24"/>
        </w:rPr>
        <w:t>particular goal</w:t>
      </w:r>
      <w:proofErr w:type="gramEnd"/>
      <w:r w:rsidRPr="00BB7375">
        <w:rPr>
          <w:rFonts w:ascii="Arial" w:hAnsi="Arial" w:cs="Arial"/>
          <w:sz w:val="24"/>
          <w:szCs w:val="24"/>
        </w:rPr>
        <w:t xml:space="preserve"> they want to achieve in order to meet the reasonableness requirement. According to the rationality requirement as interpreted by the Constitutional Court, affirmative action policies are not considered unreasonable or capricious solely due to either being too inclusive or too restrictive.</w:t>
      </w:r>
    </w:p>
    <w:p w14:paraId="0D0E050C" w14:textId="0030344E" w:rsidR="00BB7375" w:rsidRPr="00BB7375" w:rsidRDefault="00A726E2" w:rsidP="00452249">
      <w:pPr>
        <w:pStyle w:val="Subtitle"/>
        <w:numPr>
          <w:ilvl w:val="0"/>
          <w:numId w:val="0"/>
        </w:numPr>
        <w:ind w:left="792"/>
      </w:pPr>
      <w:bookmarkStart w:id="202" w:name="_Toc189739361"/>
      <w:r>
        <w:t>3</w:t>
      </w:r>
      <w:r w:rsidR="00BB7375" w:rsidRPr="00BB7375">
        <w:t>.</w:t>
      </w:r>
      <w:r>
        <w:t>6</w:t>
      </w:r>
      <w:r w:rsidR="00BB7375" w:rsidRPr="00BB7375">
        <w:t>.1.3 Criticism against the rationality standard</w:t>
      </w:r>
      <w:bookmarkEnd w:id="202"/>
    </w:p>
    <w:p w14:paraId="6DE44D3C"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rationality criteria, as applied in </w:t>
      </w:r>
      <w:r w:rsidRPr="00BB7375">
        <w:rPr>
          <w:rFonts w:ascii="Arial" w:hAnsi="Arial" w:cs="Arial"/>
          <w:i/>
          <w:iCs/>
          <w:sz w:val="24"/>
          <w:szCs w:val="24"/>
        </w:rPr>
        <w:t>Van Heerden</w:t>
      </w:r>
      <w:r w:rsidRPr="00BB7375">
        <w:rPr>
          <w:rFonts w:ascii="Arial" w:hAnsi="Arial" w:cs="Arial"/>
          <w:sz w:val="24"/>
          <w:szCs w:val="24"/>
        </w:rPr>
        <w:t xml:space="preserve">, according to critics, particularly Pretorius, falls short in including the notions of proportionality and fairness, which are essential elements of sections 9(3) and 36 of the </w:t>
      </w:r>
      <w:r w:rsidRPr="00BB7375">
        <w:rPr>
          <w:rFonts w:ascii="Arial" w:hAnsi="Arial" w:cs="Arial"/>
          <w:i/>
          <w:iCs/>
          <w:sz w:val="24"/>
          <w:szCs w:val="24"/>
        </w:rPr>
        <w:t>Constitution</w:t>
      </w:r>
      <w:r w:rsidRPr="00BB7375">
        <w:rPr>
          <w:rFonts w:ascii="Arial" w:hAnsi="Arial" w:cs="Arial"/>
          <w:sz w:val="24"/>
          <w:szCs w:val="24"/>
        </w:rPr>
        <w:t>. Pretorius argues that when the rationality test was established separately from these guidelines, it disregarded the larger constitutional framework that aims to advance equality in a fair and balanced manner.</w:t>
      </w:r>
      <w:r w:rsidRPr="00BB7375">
        <w:rPr>
          <w:rFonts w:ascii="Arial" w:hAnsi="Arial" w:cs="Arial"/>
          <w:sz w:val="24"/>
          <w:szCs w:val="24"/>
          <w:vertAlign w:val="superscript"/>
        </w:rPr>
        <w:footnoteReference w:id="376"/>
      </w:r>
      <w:r w:rsidRPr="00BB7375">
        <w:rPr>
          <w:rFonts w:ascii="Arial" w:hAnsi="Arial" w:cs="Arial"/>
          <w:sz w:val="24"/>
          <w:szCs w:val="24"/>
        </w:rPr>
        <w:t xml:space="preserve"> In particular, he objects to the court's reading of section 9(2) in </w:t>
      </w:r>
      <w:r w:rsidRPr="00BB7375">
        <w:rPr>
          <w:rFonts w:ascii="Arial" w:hAnsi="Arial" w:cs="Arial"/>
          <w:i/>
          <w:iCs/>
          <w:sz w:val="24"/>
          <w:szCs w:val="24"/>
        </w:rPr>
        <w:t>Van Heerden</w:t>
      </w:r>
      <w:r w:rsidRPr="00BB7375">
        <w:rPr>
          <w:rFonts w:ascii="Arial" w:hAnsi="Arial" w:cs="Arial"/>
          <w:sz w:val="24"/>
          <w:szCs w:val="24"/>
        </w:rPr>
        <w:t xml:space="preserve">, pointing out that it seems to be viewed separately from other constitutional clauses. According to Pretorius, the </w:t>
      </w:r>
      <w:r w:rsidRPr="00BB7375">
        <w:rPr>
          <w:rFonts w:ascii="Arial" w:hAnsi="Arial" w:cs="Arial"/>
          <w:i/>
          <w:iCs/>
          <w:sz w:val="24"/>
          <w:szCs w:val="24"/>
        </w:rPr>
        <w:t>Constitution'</w:t>
      </w:r>
      <w:r w:rsidRPr="00BB7375">
        <w:rPr>
          <w:rFonts w:ascii="Arial" w:hAnsi="Arial" w:cs="Arial"/>
          <w:sz w:val="24"/>
          <w:szCs w:val="24"/>
        </w:rPr>
        <w:t xml:space="preserve">s aim of integrating and harmonizing conflicting rights in a way that guarantees equity for everyone may be </w:t>
      </w:r>
      <w:r w:rsidRPr="00BB7375">
        <w:rPr>
          <w:rFonts w:ascii="Arial" w:hAnsi="Arial" w:cs="Arial"/>
          <w:sz w:val="24"/>
          <w:szCs w:val="24"/>
        </w:rPr>
        <w:lastRenderedPageBreak/>
        <w:t>jeopardized by this standard.</w:t>
      </w:r>
      <w:r w:rsidRPr="00BB7375">
        <w:rPr>
          <w:rFonts w:ascii="Arial" w:hAnsi="Arial" w:cs="Arial"/>
          <w:sz w:val="24"/>
          <w:szCs w:val="24"/>
          <w:vertAlign w:val="superscript"/>
        </w:rPr>
        <w:footnoteReference w:id="377"/>
      </w:r>
      <w:r w:rsidRPr="00BB7375">
        <w:rPr>
          <w:rFonts w:ascii="Arial" w:hAnsi="Arial" w:cs="Arial"/>
          <w:sz w:val="24"/>
          <w:szCs w:val="24"/>
        </w:rPr>
        <w:t xml:space="preserve"> There are also concerns over the </w:t>
      </w:r>
      <w:r w:rsidRPr="00BB7375">
        <w:rPr>
          <w:rFonts w:ascii="Arial" w:hAnsi="Arial" w:cs="Arial"/>
          <w:i/>
          <w:iCs/>
          <w:sz w:val="24"/>
          <w:szCs w:val="24"/>
        </w:rPr>
        <w:t>Van Heerden</w:t>
      </w:r>
      <w:r w:rsidRPr="00BB7375">
        <w:rPr>
          <w:rFonts w:ascii="Arial" w:hAnsi="Arial" w:cs="Arial"/>
          <w:sz w:val="24"/>
          <w:szCs w:val="24"/>
        </w:rPr>
        <w:t xml:space="preserve"> decision's wider relevance and impact because it has not been frequently referenced or given the weight one might anticipate, even in later decisions by the Labour Court and Labour Appeal Court.</w:t>
      </w:r>
      <w:r w:rsidRPr="00BB7375">
        <w:rPr>
          <w:rFonts w:ascii="Arial" w:hAnsi="Arial" w:cs="Arial"/>
          <w:sz w:val="24"/>
          <w:szCs w:val="24"/>
          <w:vertAlign w:val="superscript"/>
        </w:rPr>
        <w:footnoteReference w:id="378"/>
      </w:r>
      <w:r w:rsidRPr="00BB7375">
        <w:rPr>
          <w:rFonts w:ascii="Arial" w:hAnsi="Arial" w:cs="Arial"/>
          <w:sz w:val="24"/>
          <w:szCs w:val="24"/>
        </w:rPr>
        <w:t xml:space="preserve"> According to Pretorius, the decision's potential as a means of resolving the constitutional dilemma of striking a balance between equality and fairness in affirmative action policies is diminished by this lack of involvement with it. His opinion is that the court's approach might make it more difficult for the </w:t>
      </w:r>
      <w:r w:rsidRPr="00BB7375">
        <w:rPr>
          <w:rFonts w:ascii="Arial" w:hAnsi="Arial" w:cs="Arial"/>
          <w:i/>
          <w:iCs/>
          <w:sz w:val="24"/>
          <w:szCs w:val="24"/>
        </w:rPr>
        <w:t>Constitution</w:t>
      </w:r>
      <w:r w:rsidRPr="00BB7375">
        <w:rPr>
          <w:rFonts w:ascii="Arial" w:hAnsi="Arial" w:cs="Arial"/>
          <w:sz w:val="24"/>
          <w:szCs w:val="24"/>
        </w:rPr>
        <w:t xml:space="preserve"> to serve as a tool for integrating and harmonizing conflicting rights.</w:t>
      </w:r>
      <w:r w:rsidRPr="00BB7375">
        <w:rPr>
          <w:rFonts w:ascii="Arial" w:hAnsi="Arial" w:cs="Arial"/>
          <w:sz w:val="24"/>
          <w:szCs w:val="24"/>
          <w:vertAlign w:val="superscript"/>
        </w:rPr>
        <w:footnoteReference w:id="379"/>
      </w:r>
    </w:p>
    <w:p w14:paraId="6A73F99F"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majority in </w:t>
      </w:r>
      <w:r w:rsidRPr="00BB7375">
        <w:rPr>
          <w:rFonts w:ascii="Arial" w:hAnsi="Arial" w:cs="Arial"/>
          <w:i/>
          <w:iCs/>
          <w:sz w:val="24"/>
          <w:szCs w:val="24"/>
        </w:rPr>
        <w:t>Van Heerden</w:t>
      </w:r>
      <w:r w:rsidRPr="00BB7375">
        <w:rPr>
          <w:rFonts w:ascii="Arial" w:hAnsi="Arial" w:cs="Arial"/>
          <w:sz w:val="24"/>
          <w:szCs w:val="24"/>
        </w:rPr>
        <w:t xml:space="preserve"> utilized the third yardstick in a way that subtly introduced an internal fairness requirement, according to Pretorius, who carefully considers the interpretations of section 9(2).</w:t>
      </w:r>
      <w:r w:rsidRPr="00BB7375">
        <w:rPr>
          <w:rFonts w:ascii="Arial" w:hAnsi="Arial" w:cs="Arial"/>
          <w:sz w:val="24"/>
          <w:szCs w:val="24"/>
          <w:vertAlign w:val="superscript"/>
        </w:rPr>
        <w:footnoteReference w:id="380"/>
      </w:r>
      <w:r w:rsidRPr="00BB7375">
        <w:rPr>
          <w:rFonts w:ascii="Arial" w:hAnsi="Arial" w:cs="Arial"/>
          <w:sz w:val="24"/>
          <w:szCs w:val="24"/>
        </w:rPr>
        <w:t xml:space="preserve"> He contends that this strategy is in direct opposition to the majority's stated claim that measures that comply with section 9(2) are exempt from the fairness requirement.</w:t>
      </w:r>
      <w:r w:rsidRPr="00BB7375">
        <w:rPr>
          <w:rFonts w:ascii="Arial" w:hAnsi="Arial" w:cs="Arial"/>
          <w:sz w:val="24"/>
          <w:szCs w:val="24"/>
          <w:vertAlign w:val="superscript"/>
        </w:rPr>
        <w:footnoteReference w:id="381"/>
      </w:r>
      <w:r w:rsidRPr="00BB7375">
        <w:rPr>
          <w:rFonts w:ascii="Arial" w:hAnsi="Arial" w:cs="Arial"/>
          <w:sz w:val="24"/>
          <w:szCs w:val="24"/>
        </w:rPr>
        <w:t xml:space="preserve"> According to him, this discrepancy makes the </w:t>
      </w:r>
      <w:r w:rsidRPr="00BB7375">
        <w:rPr>
          <w:rFonts w:ascii="Arial" w:hAnsi="Arial" w:cs="Arial"/>
          <w:i/>
          <w:iCs/>
          <w:sz w:val="24"/>
          <w:szCs w:val="24"/>
        </w:rPr>
        <w:t>Van Heerden</w:t>
      </w:r>
      <w:r w:rsidRPr="00BB7375">
        <w:rPr>
          <w:rFonts w:ascii="Arial" w:hAnsi="Arial" w:cs="Arial"/>
          <w:sz w:val="24"/>
          <w:szCs w:val="24"/>
        </w:rPr>
        <w:t xml:space="preserve"> ruling contradict itself and runs the danger of confusing smaller courts.</w:t>
      </w:r>
      <w:r w:rsidRPr="00BB7375">
        <w:rPr>
          <w:rFonts w:ascii="Arial" w:hAnsi="Arial" w:cs="Arial"/>
          <w:sz w:val="24"/>
          <w:szCs w:val="24"/>
          <w:vertAlign w:val="superscript"/>
        </w:rPr>
        <w:footnoteReference w:id="382"/>
      </w:r>
      <w:r w:rsidRPr="00BB7375">
        <w:rPr>
          <w:rFonts w:ascii="Arial" w:hAnsi="Arial" w:cs="Arial"/>
          <w:sz w:val="24"/>
          <w:szCs w:val="24"/>
        </w:rPr>
        <w:t xml:space="preserve"> Some observers have also noted that the verdict seems to go beyond a simple rationality criterion, which supports Pretorius' worries. They point out that it subtly accommodates proportionality and fairness requirements.</w:t>
      </w:r>
      <w:r w:rsidRPr="00BB7375">
        <w:rPr>
          <w:rFonts w:ascii="Arial" w:hAnsi="Arial" w:cs="Arial"/>
          <w:sz w:val="24"/>
          <w:szCs w:val="24"/>
          <w:vertAlign w:val="superscript"/>
        </w:rPr>
        <w:footnoteReference w:id="383"/>
      </w:r>
    </w:p>
    <w:p w14:paraId="7E3C284B"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The limited and discriminatory nature of the rationality test has drawn more significant criticism. Its differential approach, according to critics, essentially lowers the responsibility standard while restricting the equality right.</w:t>
      </w:r>
      <w:r w:rsidRPr="00BB7375">
        <w:rPr>
          <w:rFonts w:ascii="Arial" w:hAnsi="Arial" w:cs="Arial"/>
          <w:sz w:val="24"/>
          <w:szCs w:val="24"/>
          <w:vertAlign w:val="superscript"/>
        </w:rPr>
        <w:footnoteReference w:id="384"/>
      </w:r>
      <w:r w:rsidRPr="00BB7375">
        <w:rPr>
          <w:rFonts w:ascii="Arial" w:hAnsi="Arial" w:cs="Arial"/>
          <w:sz w:val="24"/>
          <w:szCs w:val="24"/>
        </w:rPr>
        <w:t xml:space="preserve"> They argue that this criterion does not require a sufficient justification for actions that could potentially cause an unjust or disproportionate violation of rights.</w:t>
      </w:r>
      <w:r w:rsidRPr="00BB7375">
        <w:rPr>
          <w:rFonts w:ascii="Arial" w:hAnsi="Arial" w:cs="Arial"/>
          <w:sz w:val="24"/>
          <w:szCs w:val="24"/>
          <w:vertAlign w:val="superscript"/>
        </w:rPr>
        <w:footnoteReference w:id="385"/>
      </w:r>
      <w:r w:rsidRPr="00BB7375">
        <w:rPr>
          <w:rFonts w:ascii="Arial" w:hAnsi="Arial" w:cs="Arial"/>
          <w:sz w:val="24"/>
          <w:szCs w:val="24"/>
        </w:rPr>
        <w:t xml:space="preserve"> Therefore, even in cases where a law is clearly unjust or unduly restrictive, the rationality test offers few grounds for contesting its constitutionality.</w:t>
      </w:r>
      <w:r w:rsidRPr="00BB7375">
        <w:rPr>
          <w:rFonts w:ascii="Arial" w:hAnsi="Arial" w:cs="Arial"/>
          <w:sz w:val="24"/>
          <w:szCs w:val="24"/>
          <w:vertAlign w:val="superscript"/>
        </w:rPr>
        <w:footnoteReference w:id="386"/>
      </w:r>
      <w:r w:rsidRPr="00BB7375">
        <w:rPr>
          <w:rFonts w:ascii="Arial" w:hAnsi="Arial" w:cs="Arial"/>
          <w:sz w:val="24"/>
          <w:szCs w:val="24"/>
        </w:rPr>
        <w:t xml:space="preserve"> </w:t>
      </w:r>
    </w:p>
    <w:p w14:paraId="64E2B5C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Critics believe that when evaluating the constitutionality of policies that restrict rights, such as affirmative action, rationality is not strict enough. They contend that as these </w:t>
      </w:r>
      <w:r w:rsidRPr="00BB7375">
        <w:rPr>
          <w:rFonts w:ascii="Arial" w:hAnsi="Arial" w:cs="Arial"/>
          <w:sz w:val="24"/>
          <w:szCs w:val="24"/>
        </w:rPr>
        <w:lastRenderedPageBreak/>
        <w:t>frameworks need a more thorough explanation of how the actions will affect impacted rights, fairness or proportionality would be better criteria for these assessments.</w:t>
      </w:r>
      <w:r w:rsidRPr="00BB7375">
        <w:rPr>
          <w:rFonts w:ascii="Arial" w:hAnsi="Arial" w:cs="Arial"/>
          <w:sz w:val="24"/>
          <w:szCs w:val="24"/>
          <w:vertAlign w:val="superscript"/>
        </w:rPr>
        <w:footnoteReference w:id="387"/>
      </w:r>
      <w:r w:rsidRPr="00BB7375">
        <w:rPr>
          <w:rFonts w:ascii="Arial" w:hAnsi="Arial" w:cs="Arial"/>
          <w:sz w:val="24"/>
          <w:szCs w:val="24"/>
        </w:rPr>
        <w:t xml:space="preserve"> The need for a movement toward fairness and proportionality is reflected in a larger concern for making sure affirmative action policies uphold the values of substantive equality and justice in addition to serving justifiable purposes. In </w:t>
      </w:r>
      <w:r w:rsidRPr="00BB7375">
        <w:rPr>
          <w:rFonts w:ascii="Arial" w:hAnsi="Arial" w:cs="Arial"/>
          <w:i/>
          <w:iCs/>
          <w:sz w:val="24"/>
          <w:szCs w:val="24"/>
        </w:rPr>
        <w:t>South African Police Service v Solidarity obo Barnard</w:t>
      </w:r>
      <w:r w:rsidRPr="00BB7375">
        <w:rPr>
          <w:rFonts w:ascii="Arial" w:hAnsi="Arial" w:cs="Arial"/>
          <w:sz w:val="24"/>
          <w:szCs w:val="24"/>
        </w:rPr>
        <w:t>, the Court considered the need to strike a balance between upholding the dignity of those who may be negatively impacted by remedial measures and enacting substantive equality.</w:t>
      </w:r>
      <w:r w:rsidRPr="00BB7375">
        <w:rPr>
          <w:rFonts w:ascii="Arial" w:hAnsi="Arial" w:cs="Arial"/>
          <w:sz w:val="24"/>
          <w:szCs w:val="24"/>
          <w:vertAlign w:val="superscript"/>
        </w:rPr>
        <w:footnoteReference w:id="388"/>
      </w:r>
      <w:r w:rsidRPr="00BB7375">
        <w:rPr>
          <w:rFonts w:ascii="Arial" w:hAnsi="Arial" w:cs="Arial"/>
          <w:sz w:val="24"/>
          <w:szCs w:val="24"/>
        </w:rPr>
        <w:t xml:space="preserve"> The majority ruling maintained that a rationality criterion should be applied when evaluating the application of corrective actions.</w:t>
      </w:r>
      <w:r w:rsidRPr="00BB7375">
        <w:rPr>
          <w:rFonts w:ascii="Arial" w:hAnsi="Arial" w:cs="Arial"/>
          <w:sz w:val="24"/>
          <w:szCs w:val="24"/>
          <w:vertAlign w:val="superscript"/>
        </w:rPr>
        <w:footnoteReference w:id="389"/>
      </w:r>
      <w:r w:rsidRPr="00BB7375">
        <w:rPr>
          <w:rFonts w:ascii="Arial" w:hAnsi="Arial" w:cs="Arial"/>
          <w:sz w:val="24"/>
          <w:szCs w:val="24"/>
        </w:rPr>
        <w:t xml:space="preserve"> The above approach is in line with the legal requirement that all uses of public authority must at least be rational, but the ruling recognized that rationality is insufficient to determine whether a decision-maker has fairly balanced the interests of several designated groups or taken into account the dignity of those who have been adversely affected by restitutive measures.</w:t>
      </w:r>
      <w:r w:rsidRPr="00BB7375">
        <w:rPr>
          <w:rFonts w:ascii="Arial" w:hAnsi="Arial" w:cs="Arial"/>
          <w:sz w:val="24"/>
          <w:szCs w:val="24"/>
          <w:vertAlign w:val="superscript"/>
        </w:rPr>
        <w:footnoteReference w:id="390"/>
      </w:r>
      <w:r w:rsidRPr="00BB7375">
        <w:rPr>
          <w:rFonts w:ascii="Arial" w:hAnsi="Arial" w:cs="Arial"/>
          <w:sz w:val="24"/>
          <w:szCs w:val="24"/>
        </w:rPr>
        <w:t xml:space="preserve"> Nevertheless, according to the minority ruling, fairness is the better criterion.</w:t>
      </w:r>
      <w:r w:rsidRPr="00BB7375">
        <w:rPr>
          <w:rFonts w:ascii="Arial" w:hAnsi="Arial" w:cs="Arial"/>
          <w:sz w:val="24"/>
          <w:szCs w:val="24"/>
          <w:vertAlign w:val="superscript"/>
        </w:rPr>
        <w:footnoteReference w:id="391"/>
      </w:r>
      <w:r w:rsidRPr="00BB7375">
        <w:rPr>
          <w:rFonts w:ascii="Arial" w:hAnsi="Arial" w:cs="Arial"/>
          <w:sz w:val="24"/>
          <w:szCs w:val="24"/>
        </w:rPr>
        <w:t xml:space="preserve"> Fairness is sufficiently broad, in contrast to logic, to enable courts to assess whether affirmative action policies are consistent with the goals and terms of the </w:t>
      </w:r>
      <w:r w:rsidRPr="00BB7375">
        <w:rPr>
          <w:rFonts w:ascii="Arial" w:hAnsi="Arial" w:cs="Arial"/>
          <w:i/>
          <w:iCs/>
          <w:sz w:val="24"/>
          <w:szCs w:val="24"/>
        </w:rPr>
        <w:t>Employment Equity Act</w:t>
      </w:r>
      <w:r w:rsidRPr="00BB7375">
        <w:rPr>
          <w:rFonts w:ascii="Arial" w:hAnsi="Arial" w:cs="Arial"/>
          <w:sz w:val="24"/>
          <w:szCs w:val="24"/>
        </w:rPr>
        <w:t>.</w:t>
      </w:r>
      <w:r w:rsidRPr="00BB7375">
        <w:rPr>
          <w:rFonts w:ascii="Arial" w:hAnsi="Arial" w:cs="Arial"/>
          <w:sz w:val="24"/>
          <w:szCs w:val="24"/>
          <w:vertAlign w:val="superscript"/>
        </w:rPr>
        <w:footnoteReference w:id="392"/>
      </w:r>
      <w:r w:rsidRPr="00BB7375">
        <w:rPr>
          <w:rFonts w:ascii="Arial" w:hAnsi="Arial" w:cs="Arial"/>
          <w:sz w:val="24"/>
          <w:szCs w:val="24"/>
        </w:rPr>
        <w:t xml:space="preserve"> Furthermore, South Africa's constitutional commitment to fundamental principles like justice, equality, and human dignity is in conformity with fairness. </w:t>
      </w:r>
    </w:p>
    <w:p w14:paraId="7FFDC7C2" w14:textId="15D93B86" w:rsidR="00BB7375" w:rsidRPr="00452249" w:rsidRDefault="00BB7375" w:rsidP="005D2E01">
      <w:pPr>
        <w:pStyle w:val="Heading2"/>
        <w:numPr>
          <w:ilvl w:val="2"/>
          <w:numId w:val="5"/>
        </w:numPr>
      </w:pPr>
      <w:bookmarkStart w:id="205" w:name="_Toc189739362"/>
      <w:r w:rsidRPr="00BB7375">
        <w:t>The “fairness” standard in Affirmative Action</w:t>
      </w:r>
      <w:bookmarkEnd w:id="205"/>
    </w:p>
    <w:p w14:paraId="45E54840" w14:textId="4D309B43" w:rsidR="00BB7375" w:rsidRPr="00BB7375" w:rsidRDefault="00BB7375" w:rsidP="005D2E01">
      <w:pPr>
        <w:pStyle w:val="Subtitle"/>
        <w:numPr>
          <w:ilvl w:val="3"/>
          <w:numId w:val="5"/>
        </w:numPr>
      </w:pPr>
      <w:bookmarkStart w:id="206" w:name="_Hlk183565880"/>
      <w:bookmarkStart w:id="207" w:name="_Toc189739363"/>
      <w:r w:rsidRPr="00BB7375">
        <w:t>Constitutional definition of fairness</w:t>
      </w:r>
      <w:bookmarkEnd w:id="207"/>
    </w:p>
    <w:bookmarkEnd w:id="206"/>
    <w:p w14:paraId="081192F3"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the context of affirmative action, a constitutional interpretation of "fairness" is may be founded on sections 9 and 36 of the </w:t>
      </w:r>
      <w:r w:rsidRPr="00BB7375">
        <w:rPr>
          <w:rFonts w:ascii="Arial" w:hAnsi="Arial" w:cs="Arial"/>
          <w:i/>
          <w:iCs/>
          <w:sz w:val="24"/>
          <w:szCs w:val="24"/>
        </w:rPr>
        <w:t>Constitution</w:t>
      </w:r>
      <w:r w:rsidRPr="00BB7375">
        <w:rPr>
          <w:rFonts w:ascii="Arial" w:hAnsi="Arial" w:cs="Arial"/>
          <w:sz w:val="24"/>
          <w:szCs w:val="24"/>
        </w:rPr>
        <w:t xml:space="preserve">. The emphasis of this approach is to achieve a balance between upholding fundamental rights and freedoms and promoting substantive equality. Affirmative action policies must be planned and carried out in a way that upholds the fundamental values of equality, freedom, and human dignity while promoting equity and restitution and as such, this is where fairness stands as a guiding principle. Fairness in affirmative action can be characterized as a constitutional requirement that such measures be planned and carried out to advance </w:t>
      </w:r>
      <w:r w:rsidRPr="00BB7375">
        <w:rPr>
          <w:rFonts w:ascii="Arial" w:hAnsi="Arial" w:cs="Arial"/>
          <w:sz w:val="24"/>
          <w:szCs w:val="24"/>
        </w:rPr>
        <w:lastRenderedPageBreak/>
        <w:t>substantive equality in a way that is reasonable, proportionate, and consistent with the principles of equality, freedom, and human dignity in light of sections 9 and 36. Affirmative action policies that are fair are those that are able to effectively address disadvantage while preventing arbitrary or disproportionate harm and upholding everyone's rights.</w:t>
      </w:r>
    </w:p>
    <w:p w14:paraId="253F23A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When evaluating affirmative action, fairness demands that corrective actions uphold the dignity of every person, even those who might not gain from them. Because of the </w:t>
      </w:r>
      <w:r w:rsidRPr="00BB7375">
        <w:rPr>
          <w:rFonts w:ascii="Arial" w:hAnsi="Arial" w:cs="Arial"/>
          <w:i/>
          <w:iCs/>
          <w:sz w:val="24"/>
          <w:szCs w:val="24"/>
        </w:rPr>
        <w:t>Constitution</w:t>
      </w:r>
      <w:r w:rsidRPr="00BB7375">
        <w:rPr>
          <w:rFonts w:ascii="Arial" w:hAnsi="Arial" w:cs="Arial"/>
          <w:sz w:val="24"/>
          <w:szCs w:val="24"/>
        </w:rPr>
        <w:t xml:space="preserve">'s commitment to equality and human dignity, actions made to improve the lot of marginalized groups must not unnecessarily violate the rights or dignity of others. Affirmative action policies must be adaptable, sensitive to context, and aware of the larger societal dynamics they aim to address, according to the fairness principle. Therefore, although the </w:t>
      </w:r>
      <w:r w:rsidRPr="00BB7375">
        <w:rPr>
          <w:rFonts w:ascii="Arial" w:hAnsi="Arial" w:cs="Arial"/>
          <w:i/>
          <w:iCs/>
          <w:sz w:val="24"/>
          <w:szCs w:val="24"/>
        </w:rPr>
        <w:t>Constitution</w:t>
      </w:r>
      <w:r w:rsidRPr="00BB7375">
        <w:rPr>
          <w:rFonts w:ascii="Arial" w:hAnsi="Arial" w:cs="Arial"/>
          <w:sz w:val="24"/>
          <w:szCs w:val="24"/>
        </w:rPr>
        <w:t xml:space="preserve"> unequivocally endorses the importance of the objective of remedying the effects of past inequality, it also requires that this </w:t>
      </w:r>
      <w:proofErr w:type="gramStart"/>
      <w:r w:rsidRPr="00BB7375">
        <w:rPr>
          <w:rFonts w:ascii="Arial" w:hAnsi="Arial" w:cs="Arial"/>
          <w:sz w:val="24"/>
          <w:szCs w:val="24"/>
        </w:rPr>
        <w:t>has to</w:t>
      </w:r>
      <w:proofErr w:type="gramEnd"/>
      <w:r w:rsidRPr="00BB7375">
        <w:rPr>
          <w:rFonts w:ascii="Arial" w:hAnsi="Arial" w:cs="Arial"/>
          <w:sz w:val="24"/>
          <w:szCs w:val="24"/>
        </w:rPr>
        <w:t xml:space="preserve"> be achieved in a fair and proportional manner.</w:t>
      </w:r>
      <w:r w:rsidRPr="00BB7375">
        <w:rPr>
          <w:rFonts w:ascii="Arial" w:hAnsi="Arial" w:cs="Arial"/>
          <w:sz w:val="24"/>
          <w:szCs w:val="24"/>
          <w:vertAlign w:val="superscript"/>
        </w:rPr>
        <w:footnoteReference w:id="393"/>
      </w:r>
      <w:r w:rsidRPr="00BB7375">
        <w:rPr>
          <w:rFonts w:ascii="Arial" w:hAnsi="Arial" w:cs="Arial"/>
          <w:sz w:val="24"/>
          <w:szCs w:val="24"/>
        </w:rPr>
        <w:t xml:space="preserve"> </w:t>
      </w:r>
    </w:p>
    <w:p w14:paraId="0246CFE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Beyond racial, economic, and gender differences, the substantive definition of equality recognizes that systemic disadvantage and other forms of social heterogeneity persist in our society. The </w:t>
      </w:r>
      <w:r w:rsidRPr="00BB7375">
        <w:rPr>
          <w:rFonts w:ascii="Arial" w:hAnsi="Arial" w:cs="Arial"/>
          <w:i/>
          <w:iCs/>
          <w:sz w:val="24"/>
          <w:szCs w:val="24"/>
        </w:rPr>
        <w:t>Constitution</w:t>
      </w:r>
      <w:r w:rsidRPr="00BB7375">
        <w:rPr>
          <w:rFonts w:ascii="Arial" w:hAnsi="Arial" w:cs="Arial"/>
          <w:sz w:val="24"/>
          <w:szCs w:val="24"/>
        </w:rPr>
        <w:t xml:space="preserve"> insists that these long-standing injustices be eliminated and that new trends of disadvantage be avoided.</w:t>
      </w:r>
      <w:r w:rsidRPr="00BB7375">
        <w:rPr>
          <w:rFonts w:ascii="Arial" w:hAnsi="Arial" w:cs="Arial"/>
          <w:sz w:val="24"/>
          <w:szCs w:val="24"/>
          <w:vertAlign w:val="superscript"/>
        </w:rPr>
        <w:footnoteReference w:id="394"/>
      </w:r>
      <w:r w:rsidRPr="00BB7375">
        <w:rPr>
          <w:rFonts w:ascii="Arial" w:hAnsi="Arial" w:cs="Arial"/>
          <w:sz w:val="24"/>
          <w:szCs w:val="24"/>
        </w:rPr>
        <w:t xml:space="preserve"> Therefore, determining the fairness of an equality claim in an affirmative action dispute requires taking into account the history, nature, and purpose of the discriminatory practice in question, as well as the complainants' position in society, historical context, and vulnerabilities.</w:t>
      </w:r>
      <w:r w:rsidRPr="00BB7375">
        <w:rPr>
          <w:rFonts w:ascii="Arial" w:hAnsi="Arial" w:cs="Arial"/>
          <w:sz w:val="24"/>
          <w:szCs w:val="24"/>
          <w:vertAlign w:val="superscript"/>
        </w:rPr>
        <w:footnoteReference w:id="395"/>
      </w:r>
      <w:r w:rsidRPr="00BB7375">
        <w:rPr>
          <w:rFonts w:ascii="Arial" w:hAnsi="Arial" w:cs="Arial"/>
          <w:sz w:val="24"/>
          <w:szCs w:val="24"/>
        </w:rPr>
        <w:t xml:space="preserve"> Subsequently, the investigation must determine whether the practice, in a real-world setting, mitigates or intensifies group disadvantage. </w:t>
      </w:r>
    </w:p>
    <w:p w14:paraId="71A2806B" w14:textId="08D07921" w:rsidR="00BB7375" w:rsidRPr="00BB7375" w:rsidRDefault="00BB7375" w:rsidP="005D2E01">
      <w:pPr>
        <w:pStyle w:val="Subtitle"/>
        <w:numPr>
          <w:ilvl w:val="3"/>
          <w:numId w:val="5"/>
        </w:numPr>
      </w:pPr>
      <w:bookmarkStart w:id="208" w:name="_Toc189739364"/>
      <w:r w:rsidRPr="00BB7375">
        <w:t>Judicial application of fairness</w:t>
      </w:r>
      <w:bookmarkEnd w:id="208"/>
    </w:p>
    <w:p w14:paraId="02258F3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the </w:t>
      </w:r>
      <w:r w:rsidRPr="00BB7375">
        <w:rPr>
          <w:rFonts w:ascii="Arial" w:hAnsi="Arial" w:cs="Arial"/>
          <w:i/>
          <w:iCs/>
          <w:sz w:val="24"/>
          <w:szCs w:val="24"/>
        </w:rPr>
        <w:t>Barnard case</w:t>
      </w:r>
      <w:r w:rsidRPr="00BB7375">
        <w:rPr>
          <w:rFonts w:ascii="Arial" w:hAnsi="Arial" w:cs="Arial"/>
          <w:sz w:val="24"/>
          <w:szCs w:val="24"/>
        </w:rPr>
        <w:t>, the court upheld the idea that in order to create a society that is genuinely non-racial, non-sexist, and socially inclusive, corrective actions must respect human dignity.</w:t>
      </w:r>
      <w:r w:rsidRPr="00BB7375">
        <w:rPr>
          <w:rFonts w:ascii="Arial" w:hAnsi="Arial" w:cs="Arial"/>
          <w:sz w:val="24"/>
          <w:szCs w:val="24"/>
          <w:vertAlign w:val="superscript"/>
        </w:rPr>
        <w:footnoteReference w:id="396"/>
      </w:r>
      <w:r w:rsidRPr="00BB7375">
        <w:rPr>
          <w:rFonts w:ascii="Arial" w:hAnsi="Arial" w:cs="Arial"/>
          <w:sz w:val="24"/>
          <w:szCs w:val="24"/>
        </w:rPr>
        <w:t xml:space="preserve"> The court disagreed with the main judgment's assessment of the proper criterion for determining whether a corrective remedy successfully strikes </w:t>
      </w:r>
      <w:r w:rsidRPr="00BB7375">
        <w:rPr>
          <w:rFonts w:ascii="Arial" w:hAnsi="Arial" w:cs="Arial"/>
          <w:sz w:val="24"/>
          <w:szCs w:val="24"/>
        </w:rPr>
        <w:lastRenderedPageBreak/>
        <w:t>a balance between substantive equality and the dignity of those negatively impacted, even while it accepted the significance of exercising caution when putting these measures into practice.</w:t>
      </w:r>
      <w:r w:rsidRPr="00BB7375">
        <w:rPr>
          <w:rFonts w:ascii="Arial" w:hAnsi="Arial" w:cs="Arial"/>
          <w:sz w:val="24"/>
          <w:szCs w:val="24"/>
          <w:vertAlign w:val="superscript"/>
        </w:rPr>
        <w:footnoteReference w:id="397"/>
      </w:r>
      <w:r w:rsidRPr="00BB7375">
        <w:rPr>
          <w:rFonts w:ascii="Arial" w:hAnsi="Arial" w:cs="Arial"/>
          <w:sz w:val="24"/>
          <w:szCs w:val="24"/>
        </w:rPr>
        <w:t xml:space="preserve"> Although the main verdict suggested that the conditions and purposes of corrective measures should be logically tied to their implementation, the court pointed out that rationality is merely the "bare minimum" requirement, even though it is crucial.</w:t>
      </w:r>
      <w:r w:rsidRPr="00BB7375">
        <w:rPr>
          <w:rFonts w:ascii="Arial" w:hAnsi="Arial" w:cs="Arial"/>
          <w:sz w:val="24"/>
          <w:szCs w:val="24"/>
          <w:vertAlign w:val="superscript"/>
        </w:rPr>
        <w:footnoteReference w:id="398"/>
      </w:r>
      <w:r w:rsidRPr="00BB7375">
        <w:rPr>
          <w:rFonts w:ascii="Arial" w:hAnsi="Arial" w:cs="Arial"/>
          <w:sz w:val="24"/>
          <w:szCs w:val="24"/>
        </w:rPr>
        <w:t xml:space="preserve"> The rationality criterion is a fundamental legal concept that must be met by all uses of public power. The court contended, however, that reason is not a sufficient criterion for determining whether corrective actions are constitutional.</w:t>
      </w:r>
    </w:p>
    <w:p w14:paraId="75F43BF8"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w:t>
      </w:r>
      <w:r w:rsidRPr="00BB7375">
        <w:rPr>
          <w:rFonts w:ascii="Arial" w:hAnsi="Arial" w:cs="Arial"/>
          <w:i/>
          <w:iCs/>
          <w:sz w:val="24"/>
          <w:szCs w:val="24"/>
        </w:rPr>
        <w:t>Harksen</w:t>
      </w:r>
      <w:r w:rsidRPr="00BB7375">
        <w:rPr>
          <w:rFonts w:ascii="Arial" w:hAnsi="Arial" w:cs="Arial"/>
          <w:sz w:val="24"/>
          <w:szCs w:val="24"/>
        </w:rPr>
        <w:t>, the Constitutional Court underlined that the effect of affirmative action measures on the complainant and others in a similar situation is the primary focus of the test for unfairness in equality cases.</w:t>
      </w:r>
      <w:r w:rsidRPr="00BB7375">
        <w:rPr>
          <w:rFonts w:ascii="Arial" w:hAnsi="Arial" w:cs="Arial"/>
          <w:sz w:val="24"/>
          <w:szCs w:val="24"/>
          <w:vertAlign w:val="superscript"/>
        </w:rPr>
        <w:footnoteReference w:id="399"/>
      </w:r>
      <w:r w:rsidRPr="00BB7375">
        <w:rPr>
          <w:rFonts w:ascii="Arial" w:hAnsi="Arial" w:cs="Arial"/>
          <w:sz w:val="24"/>
          <w:szCs w:val="24"/>
        </w:rPr>
        <w:t xml:space="preserve"> This viewpoint emphasizes that fairness, not just rationality, should be the criterion used to assess constitutionally mandated policies. In contrast to rationality, fairness is a more encompassing and expansive criterion that allows judges to determine whether a course of conduct is consistent with the goals and provisions of the applicable laws, especially the pledge to provide "fair treatment in employment." </w:t>
      </w:r>
      <w:r w:rsidRPr="00BB7375">
        <w:rPr>
          <w:rFonts w:ascii="Arial" w:hAnsi="Arial" w:cs="Arial"/>
          <w:sz w:val="24"/>
          <w:szCs w:val="24"/>
          <w:vertAlign w:val="superscript"/>
        </w:rPr>
        <w:footnoteReference w:id="400"/>
      </w:r>
      <w:r w:rsidRPr="00BB7375">
        <w:rPr>
          <w:rFonts w:ascii="Arial" w:hAnsi="Arial" w:cs="Arial"/>
          <w:sz w:val="24"/>
          <w:szCs w:val="24"/>
        </w:rPr>
        <w:t xml:space="preserve"> Fairness is a fundamental constitutional value that is reflected in a number of rights and obligations, including the prohibition of discrimination under section 9, the regulation of labour practices under section 23, the administration of decisions under section 33, and the judicial system under sections 34 and 35, as O'Regan J. reiterated in </w:t>
      </w:r>
      <w:proofErr w:type="spellStart"/>
      <w:r w:rsidRPr="00BB7375">
        <w:rPr>
          <w:rFonts w:ascii="Arial" w:hAnsi="Arial" w:cs="Arial"/>
          <w:sz w:val="24"/>
          <w:szCs w:val="24"/>
        </w:rPr>
        <w:t>Mphaphuli</w:t>
      </w:r>
      <w:proofErr w:type="spellEnd"/>
      <w:r w:rsidRPr="00BB7375">
        <w:rPr>
          <w:rFonts w:ascii="Arial" w:hAnsi="Arial" w:cs="Arial"/>
          <w:sz w:val="24"/>
          <w:szCs w:val="24"/>
        </w:rPr>
        <w:t>.</w:t>
      </w:r>
      <w:r w:rsidRPr="00BB7375">
        <w:rPr>
          <w:rFonts w:ascii="Arial" w:hAnsi="Arial" w:cs="Arial"/>
          <w:sz w:val="24"/>
          <w:szCs w:val="24"/>
          <w:vertAlign w:val="superscript"/>
        </w:rPr>
        <w:footnoteReference w:id="401"/>
      </w:r>
      <w:r w:rsidRPr="00BB7375">
        <w:rPr>
          <w:rFonts w:ascii="Arial" w:hAnsi="Arial" w:cs="Arial"/>
          <w:sz w:val="24"/>
          <w:szCs w:val="24"/>
        </w:rPr>
        <w:t xml:space="preserve"> </w:t>
      </w:r>
      <w:proofErr w:type="spellStart"/>
      <w:r w:rsidRPr="00BB7375">
        <w:rPr>
          <w:rFonts w:ascii="Arial" w:hAnsi="Arial" w:cs="Arial"/>
          <w:sz w:val="24"/>
          <w:szCs w:val="24"/>
        </w:rPr>
        <w:t>Smalberger</w:t>
      </w:r>
      <w:proofErr w:type="spellEnd"/>
      <w:r w:rsidRPr="00BB7375">
        <w:rPr>
          <w:rFonts w:ascii="Arial" w:hAnsi="Arial" w:cs="Arial"/>
          <w:sz w:val="24"/>
          <w:szCs w:val="24"/>
        </w:rPr>
        <w:t xml:space="preserve"> JA concisely summed up the approach to fairness in the </w:t>
      </w:r>
      <w:r w:rsidRPr="00BB7375">
        <w:rPr>
          <w:rFonts w:ascii="Arial" w:hAnsi="Arial" w:cs="Arial"/>
          <w:i/>
          <w:iCs/>
          <w:sz w:val="24"/>
          <w:szCs w:val="24"/>
        </w:rPr>
        <w:t>National Union of Metalworkers of South Africa</w:t>
      </w:r>
      <w:r w:rsidRPr="00BB7375">
        <w:rPr>
          <w:rFonts w:ascii="Arial" w:hAnsi="Arial" w:cs="Arial"/>
          <w:sz w:val="24"/>
          <w:szCs w:val="24"/>
        </w:rPr>
        <w:t>,</w:t>
      </w:r>
      <w:r w:rsidRPr="00BB7375">
        <w:rPr>
          <w:rFonts w:ascii="Arial" w:hAnsi="Arial" w:cs="Arial"/>
          <w:sz w:val="24"/>
          <w:szCs w:val="24"/>
          <w:vertAlign w:val="superscript"/>
        </w:rPr>
        <w:footnoteReference w:id="402"/>
      </w:r>
      <w:r w:rsidRPr="00BB7375">
        <w:rPr>
          <w:rFonts w:ascii="Arial" w:hAnsi="Arial" w:cs="Arial"/>
          <w:sz w:val="24"/>
          <w:szCs w:val="24"/>
        </w:rPr>
        <w:t xml:space="preserve"> stating that it necessitates a balanced evaluation of the interests of employers and employees. </w:t>
      </w:r>
      <w:proofErr w:type="gramStart"/>
      <w:r w:rsidRPr="00BB7375">
        <w:rPr>
          <w:rFonts w:ascii="Arial" w:hAnsi="Arial" w:cs="Arial"/>
          <w:sz w:val="24"/>
          <w:szCs w:val="24"/>
        </w:rPr>
        <w:t>A number of</w:t>
      </w:r>
      <w:proofErr w:type="gramEnd"/>
      <w:r w:rsidRPr="00BB7375">
        <w:rPr>
          <w:rFonts w:ascii="Arial" w:hAnsi="Arial" w:cs="Arial"/>
          <w:sz w:val="24"/>
          <w:szCs w:val="24"/>
        </w:rPr>
        <w:t xml:space="preserve"> important considerations need to be taken into account when evaluating fairness within the constitutional framework of substantive equality. According to </w:t>
      </w:r>
      <w:r w:rsidRPr="00BB7375">
        <w:rPr>
          <w:rFonts w:ascii="Arial" w:hAnsi="Arial" w:cs="Arial"/>
          <w:i/>
          <w:iCs/>
          <w:sz w:val="24"/>
          <w:szCs w:val="24"/>
        </w:rPr>
        <w:t>Manitoba Rice Farmers Association v Human Rights Commission</w:t>
      </w:r>
      <w:r w:rsidRPr="00BB7375">
        <w:rPr>
          <w:rFonts w:ascii="Arial" w:hAnsi="Arial" w:cs="Arial"/>
          <w:sz w:val="24"/>
          <w:szCs w:val="24"/>
        </w:rPr>
        <w:t>,</w:t>
      </w:r>
      <w:r w:rsidRPr="00BB7375">
        <w:rPr>
          <w:rFonts w:ascii="Arial" w:hAnsi="Arial" w:cs="Arial"/>
          <w:sz w:val="24"/>
          <w:szCs w:val="24"/>
          <w:vertAlign w:val="superscript"/>
        </w:rPr>
        <w:footnoteReference w:id="403"/>
      </w:r>
      <w:r w:rsidRPr="00BB7375">
        <w:rPr>
          <w:rFonts w:ascii="Arial" w:hAnsi="Arial" w:cs="Arial"/>
          <w:sz w:val="24"/>
          <w:szCs w:val="24"/>
        </w:rPr>
        <w:t xml:space="preserve"> these include the complainant's social standing, the nature of the relevant provision, the goal it seeks to accomplish, and the degree to which the </w:t>
      </w:r>
      <w:r w:rsidRPr="00BB7375">
        <w:rPr>
          <w:rFonts w:ascii="Arial" w:hAnsi="Arial" w:cs="Arial"/>
          <w:sz w:val="24"/>
          <w:szCs w:val="24"/>
        </w:rPr>
        <w:lastRenderedPageBreak/>
        <w:t xml:space="preserve">discriminatory measure affects the complainant's rights and interests. A court must, therefore, consider the legislative goals at risk while determining moral value about fairness based on the case's facts and circumstances. </w:t>
      </w:r>
    </w:p>
    <w:p w14:paraId="35AD9720" w14:textId="703FA6B5" w:rsidR="00BB7375" w:rsidRPr="00BB7375" w:rsidRDefault="00BB7375" w:rsidP="005D2E01">
      <w:pPr>
        <w:pStyle w:val="Subtitle"/>
        <w:numPr>
          <w:ilvl w:val="3"/>
          <w:numId w:val="5"/>
        </w:numPr>
      </w:pPr>
      <w:bookmarkStart w:id="212" w:name="_Toc189739365"/>
      <w:r w:rsidRPr="00BB7375">
        <w:t>Criticism against the fairness standard</w:t>
      </w:r>
      <w:bookmarkEnd w:id="212"/>
    </w:p>
    <w:p w14:paraId="5F8B851C"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In his separate ruling in </w:t>
      </w:r>
      <w:r w:rsidRPr="00BB7375">
        <w:rPr>
          <w:rFonts w:ascii="Arial" w:hAnsi="Arial" w:cs="Arial"/>
          <w:i/>
          <w:iCs/>
          <w:sz w:val="24"/>
          <w:szCs w:val="24"/>
        </w:rPr>
        <w:t>Solidarity obo Barnard v SA Police Service</w:t>
      </w:r>
      <w:r w:rsidRPr="00BB7375">
        <w:rPr>
          <w:rFonts w:ascii="Arial" w:hAnsi="Arial" w:cs="Arial"/>
          <w:sz w:val="24"/>
          <w:szCs w:val="24"/>
        </w:rPr>
        <w:t>, Van der Westhuizen J. rejected Cameron J.'s argument that fairness ought to be the criterion used to determine whether affirmative action policies are lawful.</w:t>
      </w:r>
      <w:r w:rsidRPr="00BB7375">
        <w:rPr>
          <w:rFonts w:ascii="Arial" w:hAnsi="Arial" w:cs="Arial"/>
          <w:sz w:val="24"/>
          <w:szCs w:val="24"/>
          <w:vertAlign w:val="superscript"/>
        </w:rPr>
        <w:footnoteReference w:id="404"/>
      </w:r>
      <w:r w:rsidRPr="00BB7375">
        <w:rPr>
          <w:rFonts w:ascii="Arial" w:hAnsi="Arial" w:cs="Arial"/>
          <w:sz w:val="24"/>
          <w:szCs w:val="24"/>
        </w:rPr>
        <w:t xml:space="preserve"> He contended that section 9 might become internally inconsistent if fairness were connected to the section 9(3) ban on unfair discrimination.</w:t>
      </w:r>
      <w:r w:rsidRPr="00BB7375">
        <w:rPr>
          <w:rFonts w:ascii="Arial" w:hAnsi="Arial" w:cs="Arial"/>
          <w:sz w:val="24"/>
          <w:szCs w:val="24"/>
          <w:vertAlign w:val="superscript"/>
        </w:rPr>
        <w:footnoteReference w:id="405"/>
      </w:r>
      <w:r w:rsidRPr="00BB7375">
        <w:rPr>
          <w:rFonts w:ascii="Arial" w:hAnsi="Arial" w:cs="Arial"/>
          <w:sz w:val="24"/>
          <w:szCs w:val="24"/>
        </w:rPr>
        <w:t xml:space="preserve"> According to Van der Westhuizen J., actions that comply with section 9(2) do not automatically constitute unjust discrimination. Therefore, it would be of little practical significance to subject such measures to a second fairness inquiry, informed by section 9(3) considerations.</w:t>
      </w:r>
      <w:r w:rsidRPr="00BB7375">
        <w:rPr>
          <w:rFonts w:ascii="Arial" w:hAnsi="Arial" w:cs="Arial"/>
          <w:sz w:val="24"/>
          <w:szCs w:val="24"/>
          <w:vertAlign w:val="superscript"/>
        </w:rPr>
        <w:footnoteReference w:id="406"/>
      </w:r>
      <w:r w:rsidRPr="00BB7375">
        <w:rPr>
          <w:rFonts w:ascii="Arial" w:hAnsi="Arial" w:cs="Arial"/>
          <w:sz w:val="24"/>
          <w:szCs w:val="24"/>
        </w:rPr>
        <w:t xml:space="preserve"> He opposed fairness as being too vague, even when seen in a more generic, wide sense.</w:t>
      </w:r>
      <w:r w:rsidRPr="00BB7375">
        <w:rPr>
          <w:rFonts w:ascii="Arial" w:hAnsi="Arial" w:cs="Arial"/>
          <w:sz w:val="24"/>
          <w:szCs w:val="24"/>
          <w:vertAlign w:val="superscript"/>
        </w:rPr>
        <w:footnoteReference w:id="407"/>
      </w:r>
      <w:r w:rsidRPr="00BB7375">
        <w:rPr>
          <w:rFonts w:ascii="Arial" w:hAnsi="Arial" w:cs="Arial"/>
          <w:sz w:val="24"/>
          <w:szCs w:val="24"/>
        </w:rPr>
        <w:t xml:space="preserve"> He also stressed that because of its intense scrutiny, the fairness test runs the risk of applying an unreasonably strict standard of review to affirmative action policies, which could compromise their constitutional goals.</w:t>
      </w:r>
      <w:r w:rsidRPr="00BB7375">
        <w:rPr>
          <w:rFonts w:ascii="Arial" w:hAnsi="Arial" w:cs="Arial"/>
          <w:sz w:val="24"/>
          <w:szCs w:val="24"/>
          <w:vertAlign w:val="superscript"/>
        </w:rPr>
        <w:footnoteReference w:id="408"/>
      </w:r>
    </w:p>
    <w:p w14:paraId="067E5EE3" w14:textId="77777777" w:rsidR="00BB7375" w:rsidRPr="00BB7375" w:rsidRDefault="00BB7375" w:rsidP="00BB7375">
      <w:pPr>
        <w:spacing w:line="360" w:lineRule="auto"/>
        <w:jc w:val="both"/>
        <w:rPr>
          <w:rFonts w:ascii="Arial" w:hAnsi="Arial" w:cs="Arial"/>
          <w:sz w:val="24"/>
          <w:szCs w:val="24"/>
        </w:rPr>
      </w:pPr>
      <w:proofErr w:type="spellStart"/>
      <w:r w:rsidRPr="00BB7375">
        <w:rPr>
          <w:rFonts w:ascii="Arial" w:hAnsi="Arial" w:cs="Arial"/>
          <w:sz w:val="24"/>
          <w:szCs w:val="24"/>
        </w:rPr>
        <w:t>Mokgoro</w:t>
      </w:r>
      <w:proofErr w:type="spellEnd"/>
      <w:r w:rsidRPr="00BB7375">
        <w:rPr>
          <w:rFonts w:ascii="Arial" w:hAnsi="Arial" w:cs="Arial"/>
          <w:sz w:val="24"/>
          <w:szCs w:val="24"/>
        </w:rPr>
        <w:t xml:space="preserve"> J. faulted the fairness test in </w:t>
      </w:r>
      <w:r w:rsidRPr="00BB7375">
        <w:rPr>
          <w:rFonts w:ascii="Arial" w:hAnsi="Arial" w:cs="Arial"/>
          <w:i/>
          <w:iCs/>
          <w:sz w:val="24"/>
          <w:szCs w:val="24"/>
        </w:rPr>
        <w:t>Van Heerden</w:t>
      </w:r>
      <w:r w:rsidRPr="00BB7375">
        <w:rPr>
          <w:rFonts w:ascii="Arial" w:hAnsi="Arial" w:cs="Arial"/>
          <w:sz w:val="24"/>
          <w:szCs w:val="24"/>
        </w:rPr>
        <w:t xml:space="preserve"> for giving the complainant too much weight.</w:t>
      </w:r>
      <w:r w:rsidRPr="00BB7375">
        <w:rPr>
          <w:rFonts w:ascii="Arial" w:hAnsi="Arial" w:cs="Arial"/>
          <w:sz w:val="24"/>
          <w:szCs w:val="24"/>
          <w:vertAlign w:val="superscript"/>
        </w:rPr>
        <w:footnoteReference w:id="409"/>
      </w:r>
      <w:r w:rsidRPr="00BB7375">
        <w:rPr>
          <w:rFonts w:ascii="Arial" w:hAnsi="Arial" w:cs="Arial"/>
          <w:sz w:val="24"/>
          <w:szCs w:val="24"/>
        </w:rPr>
        <w:t xml:space="preserve"> According to her, section 9(2)'s objective of attaining substantive equality may be undermined if it places an undue emphasis on individuals who are negatively impacted by restitutive measures.</w:t>
      </w:r>
      <w:r w:rsidRPr="00BB7375">
        <w:rPr>
          <w:rFonts w:ascii="Arial" w:hAnsi="Arial" w:cs="Arial"/>
          <w:sz w:val="24"/>
          <w:szCs w:val="24"/>
          <w:vertAlign w:val="superscript"/>
        </w:rPr>
        <w:footnoteReference w:id="410"/>
      </w:r>
      <w:r w:rsidRPr="00BB7375">
        <w:rPr>
          <w:rFonts w:ascii="Arial" w:hAnsi="Arial" w:cs="Arial"/>
          <w:sz w:val="24"/>
          <w:szCs w:val="24"/>
        </w:rPr>
        <w:t xml:space="preserve"> Pretorius responded by arguing that a measure's fairness cannot be assessed only by looking at how it affects the complaint separately. Rather, it is also necessary to evaluate the measure's larger context and goal. Pretorius therefore did not find </w:t>
      </w:r>
      <w:proofErr w:type="spellStart"/>
      <w:r w:rsidRPr="00BB7375">
        <w:rPr>
          <w:rFonts w:ascii="Arial" w:hAnsi="Arial" w:cs="Arial"/>
          <w:sz w:val="24"/>
          <w:szCs w:val="24"/>
        </w:rPr>
        <w:t>Mokgoro</w:t>
      </w:r>
      <w:proofErr w:type="spellEnd"/>
      <w:r w:rsidRPr="00BB7375">
        <w:rPr>
          <w:rFonts w:ascii="Arial" w:hAnsi="Arial" w:cs="Arial"/>
          <w:sz w:val="24"/>
          <w:szCs w:val="24"/>
        </w:rPr>
        <w:t xml:space="preserve"> J's criticism persuasive, highlighting the need for a comprehensive assessment rather than a limited, complainant-focused strategy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ensure fairness.</w:t>
      </w:r>
      <w:r w:rsidRPr="00BB7375">
        <w:rPr>
          <w:rFonts w:ascii="Arial" w:hAnsi="Arial" w:cs="Arial"/>
          <w:sz w:val="24"/>
          <w:szCs w:val="24"/>
          <w:vertAlign w:val="superscript"/>
        </w:rPr>
        <w:footnoteReference w:id="411"/>
      </w:r>
    </w:p>
    <w:p w14:paraId="390AEA87"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Fergus points out that although fairness may appear to be more objective than rational, it inevitably entails judges making moral decisions, including determining how much </w:t>
      </w:r>
      <w:r w:rsidRPr="00BB7375">
        <w:rPr>
          <w:rFonts w:ascii="Arial" w:hAnsi="Arial" w:cs="Arial"/>
          <w:sz w:val="24"/>
          <w:szCs w:val="24"/>
        </w:rPr>
        <w:lastRenderedPageBreak/>
        <w:t>someone's dignity has been violated. Because of its reliance on subjective assessment, the fairness requirement is more vulnerable to judicial discretion than reason.</w:t>
      </w:r>
      <w:r w:rsidRPr="00BB7375">
        <w:rPr>
          <w:rFonts w:ascii="Arial" w:hAnsi="Arial" w:cs="Arial"/>
          <w:sz w:val="24"/>
          <w:szCs w:val="24"/>
          <w:vertAlign w:val="superscript"/>
        </w:rPr>
        <w:footnoteReference w:id="412"/>
      </w:r>
      <w:r w:rsidRPr="00BB7375">
        <w:rPr>
          <w:rFonts w:ascii="Arial" w:hAnsi="Arial" w:cs="Arial"/>
          <w:sz w:val="24"/>
          <w:szCs w:val="24"/>
        </w:rPr>
        <w:t xml:space="preserve"> According to her, rationality is more appropriate for determining whether affirmative action policies are constitutional since it is less susceptible to personal interpretation. Despite admitting that both standards have shortcomings, Fergus contends that the difficulties presented by reason are easier to handle and more acceptable when it comes to seeking restitution.</w:t>
      </w:r>
      <w:r w:rsidRPr="00BB7375">
        <w:rPr>
          <w:rFonts w:ascii="Arial" w:hAnsi="Arial" w:cs="Arial"/>
          <w:sz w:val="24"/>
          <w:szCs w:val="24"/>
          <w:vertAlign w:val="superscript"/>
        </w:rPr>
        <w:footnoteReference w:id="413"/>
      </w:r>
      <w:r w:rsidRPr="00BB7375">
        <w:rPr>
          <w:rFonts w:ascii="Arial" w:hAnsi="Arial" w:cs="Arial"/>
          <w:sz w:val="24"/>
          <w:szCs w:val="24"/>
        </w:rPr>
        <w:t xml:space="preserve"> She </w:t>
      </w:r>
      <w:proofErr w:type="gramStart"/>
      <w:r w:rsidRPr="00BB7375">
        <w:rPr>
          <w:rFonts w:ascii="Arial" w:hAnsi="Arial" w:cs="Arial"/>
          <w:sz w:val="24"/>
          <w:szCs w:val="24"/>
        </w:rPr>
        <w:t>comes to the conclusion</w:t>
      </w:r>
      <w:proofErr w:type="gramEnd"/>
      <w:r w:rsidRPr="00BB7375">
        <w:rPr>
          <w:rFonts w:ascii="Arial" w:hAnsi="Arial" w:cs="Arial"/>
          <w:sz w:val="24"/>
          <w:szCs w:val="24"/>
        </w:rPr>
        <w:t xml:space="preserve"> that rationality, with its more straightforward framework, provides a more balanced assessment of the constitutionality of such policies than fairness.</w:t>
      </w:r>
      <w:r w:rsidRPr="00BB7375">
        <w:rPr>
          <w:rFonts w:ascii="Arial" w:hAnsi="Arial" w:cs="Arial"/>
          <w:sz w:val="24"/>
          <w:szCs w:val="24"/>
          <w:vertAlign w:val="superscript"/>
        </w:rPr>
        <w:footnoteReference w:id="414"/>
      </w:r>
      <w:r w:rsidRPr="00BB7375">
        <w:rPr>
          <w:rFonts w:ascii="Arial" w:hAnsi="Arial" w:cs="Arial"/>
          <w:sz w:val="24"/>
          <w:szCs w:val="24"/>
        </w:rPr>
        <w:t xml:space="preserve"> </w:t>
      </w:r>
    </w:p>
    <w:p w14:paraId="4F3C39BA" w14:textId="30D90B41" w:rsidR="00BB7375" w:rsidRPr="00452249" w:rsidRDefault="00BB7375" w:rsidP="005D2E01">
      <w:pPr>
        <w:pStyle w:val="Heading2"/>
        <w:numPr>
          <w:ilvl w:val="2"/>
          <w:numId w:val="5"/>
        </w:numPr>
      </w:pPr>
      <w:bookmarkStart w:id="213" w:name="_Toc189739366"/>
      <w:r w:rsidRPr="00BB7375">
        <w:t>The “proportionality” standard in Affirmative Action</w:t>
      </w:r>
      <w:bookmarkEnd w:id="213"/>
    </w:p>
    <w:p w14:paraId="547F7B72" w14:textId="69D8C991" w:rsidR="00BB7375" w:rsidRPr="00BB7375" w:rsidRDefault="00BB7375" w:rsidP="005D2E01">
      <w:pPr>
        <w:pStyle w:val="Subtitle"/>
        <w:numPr>
          <w:ilvl w:val="3"/>
          <w:numId w:val="5"/>
        </w:numPr>
      </w:pPr>
      <w:bookmarkStart w:id="214" w:name="_Hlk183575106"/>
      <w:bookmarkStart w:id="215" w:name="_Toc189739367"/>
      <w:r w:rsidRPr="00BB7375">
        <w:t>Constitutional definition of proportionality</w:t>
      </w:r>
      <w:bookmarkEnd w:id="215"/>
    </w:p>
    <w:bookmarkEnd w:id="214"/>
    <w:p w14:paraId="39AFAD50"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According to the </w:t>
      </w:r>
      <w:r w:rsidRPr="00BB7375">
        <w:rPr>
          <w:rFonts w:ascii="Arial" w:hAnsi="Arial" w:cs="Arial"/>
          <w:i/>
          <w:iCs/>
          <w:sz w:val="24"/>
          <w:szCs w:val="24"/>
        </w:rPr>
        <w:t>Constitution</w:t>
      </w:r>
      <w:r w:rsidRPr="00BB7375">
        <w:rPr>
          <w:rFonts w:ascii="Arial" w:hAnsi="Arial" w:cs="Arial"/>
          <w:sz w:val="24"/>
          <w:szCs w:val="24"/>
        </w:rPr>
        <w:t xml:space="preserve">, an employer may still use section 36 to defend the use of an affirmative action policy even if it is determined to be unjust discrimination. Therefore, the </w:t>
      </w:r>
      <w:r w:rsidRPr="00BB7375">
        <w:rPr>
          <w:rFonts w:ascii="Arial" w:hAnsi="Arial" w:cs="Arial"/>
          <w:i/>
          <w:iCs/>
          <w:sz w:val="24"/>
          <w:szCs w:val="24"/>
        </w:rPr>
        <w:t>Constitution</w:t>
      </w:r>
      <w:r w:rsidRPr="00BB7375">
        <w:rPr>
          <w:rFonts w:ascii="Arial" w:hAnsi="Arial" w:cs="Arial"/>
          <w:sz w:val="24"/>
          <w:szCs w:val="24"/>
        </w:rPr>
        <w:t xml:space="preserve"> does not specifically define the proportionality requirement, but it is a key concept in the interpretation and application of section 36, which deals with the limitation of rights. When constitutional rights are restricted, proportionality guarantees that these restrictions are reasonable and justified in a free and democratic society founded on the fundamental principles of equality, freedom, and human dignity.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ensure that actions performed do not unnecessarily violate people's constitutional rights while accomplishing justifiable governmental goals, this approach strikes a balance between conflicting rights and interests. Sections 7(2) and 36 of the </w:t>
      </w:r>
      <w:r w:rsidRPr="00BB7375">
        <w:rPr>
          <w:rFonts w:ascii="Arial" w:hAnsi="Arial" w:cs="Arial"/>
          <w:i/>
          <w:iCs/>
          <w:sz w:val="24"/>
          <w:szCs w:val="24"/>
        </w:rPr>
        <w:t>Constitution</w:t>
      </w:r>
      <w:r w:rsidRPr="00BB7375">
        <w:rPr>
          <w:rFonts w:ascii="Arial" w:hAnsi="Arial" w:cs="Arial"/>
          <w:sz w:val="24"/>
          <w:szCs w:val="24"/>
        </w:rPr>
        <w:t xml:space="preserve"> deal with the limitation of rights. The state is required by section 7(2) to uphold, defend, advance, and carry out the rights outlined in the Bill of Rights. The section emphasizes the government's proactive responsibility in defending constitutional rights while also acknowledging that, within the guidelines set forth in section 36, these rights may occasionally be restricted justifiably. </w:t>
      </w:r>
    </w:p>
    <w:p w14:paraId="2398BB4B"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limitations clause, found in section 36, establishes the constitutional criterion for judging whether any restriction on rights is lawful. According to this section, rights can only be restricted by a law of general application and only to the extent that doing so is reasonable and justified in a free, democratic society that values equality, freedom, </w:t>
      </w:r>
      <w:r w:rsidRPr="00BB7375">
        <w:rPr>
          <w:rFonts w:ascii="Arial" w:hAnsi="Arial" w:cs="Arial"/>
          <w:sz w:val="24"/>
          <w:szCs w:val="24"/>
        </w:rPr>
        <w:lastRenderedPageBreak/>
        <w:t>and dignity. Additionally, the clause also outlines the criteria to be used in determining the justification of a limitation: (</w:t>
      </w:r>
      <w:proofErr w:type="spellStart"/>
      <w:r w:rsidRPr="00BB7375">
        <w:rPr>
          <w:rFonts w:ascii="Arial" w:hAnsi="Arial" w:cs="Arial"/>
          <w:sz w:val="24"/>
          <w:szCs w:val="24"/>
        </w:rPr>
        <w:t>i</w:t>
      </w:r>
      <w:proofErr w:type="spellEnd"/>
      <w:r w:rsidRPr="00BB7375">
        <w:rPr>
          <w:rFonts w:ascii="Arial" w:hAnsi="Arial" w:cs="Arial"/>
          <w:sz w:val="24"/>
          <w:szCs w:val="24"/>
        </w:rPr>
        <w:t>)the nature of the right being restricted, (ii)the significance of the limitation's goal,(iii) the type and scope of the restriction, (iv)the connection between the restriction and its goal, (v) and if less restrictive methods exist to accomplish the same goal are some of these elements.</w:t>
      </w:r>
      <w:r w:rsidRPr="00BB7375">
        <w:rPr>
          <w:rFonts w:ascii="Arial" w:hAnsi="Arial" w:cs="Arial"/>
          <w:sz w:val="24"/>
          <w:szCs w:val="24"/>
          <w:vertAlign w:val="superscript"/>
        </w:rPr>
        <w:footnoteReference w:id="415"/>
      </w:r>
    </w:p>
    <w:p w14:paraId="3555EEEF"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According to section 36(1) of the </w:t>
      </w:r>
      <w:r w:rsidRPr="00BB7375">
        <w:rPr>
          <w:rFonts w:ascii="Arial" w:hAnsi="Arial" w:cs="Arial"/>
          <w:i/>
          <w:iCs/>
          <w:sz w:val="24"/>
          <w:szCs w:val="24"/>
        </w:rPr>
        <w:t>Constitution</w:t>
      </w:r>
      <w:r w:rsidRPr="00BB7375">
        <w:rPr>
          <w:rFonts w:ascii="Arial" w:hAnsi="Arial" w:cs="Arial"/>
          <w:sz w:val="24"/>
          <w:szCs w:val="24"/>
        </w:rPr>
        <w:t xml:space="preserve">, "the relation between the limitation and its purpose" is one of the elements to be </w:t>
      </w:r>
      <w:proofErr w:type="gramStart"/>
      <w:r w:rsidRPr="00BB7375">
        <w:rPr>
          <w:rFonts w:ascii="Arial" w:hAnsi="Arial" w:cs="Arial"/>
          <w:sz w:val="24"/>
          <w:szCs w:val="24"/>
        </w:rPr>
        <w:t>taken into account</w:t>
      </w:r>
      <w:proofErr w:type="gramEnd"/>
      <w:r w:rsidRPr="00BB7375">
        <w:rPr>
          <w:rFonts w:ascii="Arial" w:hAnsi="Arial" w:cs="Arial"/>
          <w:sz w:val="24"/>
          <w:szCs w:val="24"/>
        </w:rPr>
        <w:t xml:space="preserve"> when evaluating the legitimacy of a policy that restricts the right to equality. When construed rigidly, this component is consistent with the rational relationship test, which looks at whether the measure and its intended purpose have coherency. However, this requirement has been interpreted more broadly by the Constitutional Court by determining whether the discriminating action is too expansive or too exclusive in accomplishing its goal.</w:t>
      </w:r>
      <w:r w:rsidRPr="00BB7375">
        <w:rPr>
          <w:rFonts w:ascii="Arial" w:hAnsi="Arial" w:cs="Arial"/>
          <w:sz w:val="24"/>
          <w:szCs w:val="24"/>
          <w:vertAlign w:val="superscript"/>
        </w:rPr>
        <w:footnoteReference w:id="416"/>
      </w:r>
    </w:p>
    <w:p w14:paraId="3CBC13A0" w14:textId="46CC6444" w:rsidR="00BB7375" w:rsidRPr="00BB7375" w:rsidRDefault="00BB7375" w:rsidP="005D2E01">
      <w:pPr>
        <w:pStyle w:val="Subtitle"/>
        <w:numPr>
          <w:ilvl w:val="3"/>
          <w:numId w:val="5"/>
        </w:numPr>
      </w:pPr>
      <w:bookmarkStart w:id="217" w:name="_Toc189739368"/>
      <w:r w:rsidRPr="00BB7375">
        <w:t>Judicial application of proportionality</w:t>
      </w:r>
      <w:bookmarkEnd w:id="217"/>
    </w:p>
    <w:p w14:paraId="1649C1EF"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Constitutional Court underlined the importance of proportionality in determining the boundaries of constitutional rights in the seminal decision of S v </w:t>
      </w:r>
      <w:proofErr w:type="spellStart"/>
      <w:r w:rsidRPr="00BB7375">
        <w:rPr>
          <w:rFonts w:ascii="Arial" w:hAnsi="Arial" w:cs="Arial"/>
          <w:sz w:val="24"/>
          <w:szCs w:val="24"/>
        </w:rPr>
        <w:t>Makwanyane</w:t>
      </w:r>
      <w:proofErr w:type="spellEnd"/>
      <w:r w:rsidRPr="00BB7375">
        <w:rPr>
          <w:rFonts w:ascii="Arial" w:hAnsi="Arial" w:cs="Arial"/>
          <w:sz w:val="24"/>
          <w:szCs w:val="24"/>
        </w:rPr>
        <w:t>.</w:t>
      </w:r>
      <w:r w:rsidRPr="00BB7375">
        <w:rPr>
          <w:rFonts w:ascii="Arial" w:hAnsi="Arial" w:cs="Arial"/>
          <w:sz w:val="24"/>
          <w:szCs w:val="24"/>
          <w:vertAlign w:val="superscript"/>
        </w:rPr>
        <w:footnoteReference w:id="417"/>
      </w:r>
      <w:r w:rsidRPr="00BB7375">
        <w:rPr>
          <w:rFonts w:ascii="Arial" w:hAnsi="Arial" w:cs="Arial"/>
          <w:sz w:val="24"/>
          <w:szCs w:val="24"/>
        </w:rPr>
        <w:t xml:space="preserve"> According to the court, limiting constitutional rights in a way that is thought to be appropriate and required in a democracy necessitates weighing conflicting interests and performing a proportionality analysis.</w:t>
      </w:r>
      <w:r w:rsidRPr="00BB7375">
        <w:rPr>
          <w:rFonts w:ascii="Arial" w:hAnsi="Arial" w:cs="Arial"/>
          <w:sz w:val="24"/>
          <w:szCs w:val="24"/>
          <w:vertAlign w:val="superscript"/>
        </w:rPr>
        <w:footnoteReference w:id="418"/>
      </w:r>
      <w:r w:rsidRPr="00BB7375">
        <w:rPr>
          <w:rFonts w:ascii="Arial" w:hAnsi="Arial" w:cs="Arial"/>
          <w:sz w:val="24"/>
          <w:szCs w:val="24"/>
        </w:rPr>
        <w:t xml:space="preserve"> This strategy is ingrained in section 36 of the </w:t>
      </w:r>
      <w:r w:rsidRPr="00BB7375">
        <w:rPr>
          <w:rFonts w:ascii="Arial" w:hAnsi="Arial" w:cs="Arial"/>
          <w:i/>
          <w:iCs/>
          <w:sz w:val="24"/>
          <w:szCs w:val="24"/>
        </w:rPr>
        <w:t>Constitution</w:t>
      </w:r>
      <w:r w:rsidRPr="00BB7375">
        <w:rPr>
          <w:rFonts w:ascii="Arial" w:hAnsi="Arial" w:cs="Arial"/>
          <w:sz w:val="24"/>
          <w:szCs w:val="24"/>
        </w:rPr>
        <w:t>, which deals with the restriction of rights. The legislature or the party depending on the legislation have the duty of proving that the contested law satisfies the requirements listed in section 36. They must specifically demonstrate that the law is necessary, reasonable, and compliant with section 36's standards, which include proportionality.</w:t>
      </w:r>
    </w:p>
    <w:p w14:paraId="26A1BB60"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Affirmative action policies and their execution are susceptible to judicial scrutiny and cannot be presumed to be above review, as Van der Westhuizen J recognized in </w:t>
      </w:r>
      <w:r w:rsidRPr="00BB7375">
        <w:rPr>
          <w:rFonts w:ascii="Arial" w:hAnsi="Arial" w:cs="Arial"/>
          <w:i/>
          <w:iCs/>
          <w:sz w:val="24"/>
          <w:szCs w:val="24"/>
        </w:rPr>
        <w:t>Barnard CC</w:t>
      </w:r>
      <w:r w:rsidRPr="00BB7375">
        <w:rPr>
          <w:rFonts w:ascii="Arial" w:hAnsi="Arial" w:cs="Arial"/>
          <w:sz w:val="24"/>
          <w:szCs w:val="24"/>
        </w:rPr>
        <w:t>.</w:t>
      </w:r>
      <w:r w:rsidRPr="00BB7375">
        <w:rPr>
          <w:rFonts w:ascii="Arial" w:hAnsi="Arial" w:cs="Arial"/>
          <w:sz w:val="24"/>
          <w:szCs w:val="24"/>
          <w:vertAlign w:val="superscript"/>
        </w:rPr>
        <w:footnoteReference w:id="419"/>
      </w:r>
      <w:r w:rsidRPr="00BB7375">
        <w:rPr>
          <w:rFonts w:ascii="Arial" w:hAnsi="Arial" w:cs="Arial"/>
          <w:sz w:val="24"/>
          <w:szCs w:val="24"/>
        </w:rPr>
        <w:t xml:space="preserve"> He examined Van Heerden's three-pronged test and realized that, whereas the first two prongs assess the rationality of affirmative action policies, the third prong, which asks whether the policy advances equality, addresses a distinct aspect. This prong evaluates the measure itself as well as how it is </w:t>
      </w:r>
      <w:proofErr w:type="gramStart"/>
      <w:r w:rsidRPr="00BB7375">
        <w:rPr>
          <w:rFonts w:ascii="Arial" w:hAnsi="Arial" w:cs="Arial"/>
          <w:sz w:val="24"/>
          <w:szCs w:val="24"/>
        </w:rPr>
        <w:t>actually applied</w:t>
      </w:r>
      <w:proofErr w:type="gramEnd"/>
      <w:r w:rsidRPr="00BB7375">
        <w:rPr>
          <w:rFonts w:ascii="Arial" w:hAnsi="Arial" w:cs="Arial"/>
          <w:sz w:val="24"/>
          <w:szCs w:val="24"/>
        </w:rPr>
        <w:t xml:space="preserve"> in </w:t>
      </w:r>
      <w:r w:rsidRPr="00BB7375">
        <w:rPr>
          <w:rFonts w:ascii="Arial" w:hAnsi="Arial" w:cs="Arial"/>
          <w:sz w:val="24"/>
          <w:szCs w:val="24"/>
        </w:rPr>
        <w:lastRenderedPageBreak/>
        <w:t>everyday scenarios.</w:t>
      </w:r>
      <w:r w:rsidRPr="00BB7375">
        <w:rPr>
          <w:rFonts w:ascii="Arial" w:hAnsi="Arial" w:cs="Arial"/>
          <w:sz w:val="24"/>
          <w:szCs w:val="24"/>
          <w:vertAlign w:val="superscript"/>
        </w:rPr>
        <w:footnoteReference w:id="420"/>
      </w:r>
      <w:r w:rsidRPr="00BB7375">
        <w:rPr>
          <w:rFonts w:ascii="Arial" w:hAnsi="Arial" w:cs="Arial"/>
          <w:sz w:val="24"/>
          <w:szCs w:val="24"/>
        </w:rPr>
        <w:t xml:space="preserve"> The substantial distinction between the measure as intended and its practical implementation was underlined by Van der Westhuizen J. He contended that </w:t>
      </w:r>
      <w:r w:rsidRPr="00BB7375">
        <w:rPr>
          <w:rFonts w:ascii="Arial" w:hAnsi="Arial" w:cs="Arial"/>
          <w:i/>
          <w:iCs/>
          <w:sz w:val="24"/>
          <w:szCs w:val="24"/>
        </w:rPr>
        <w:t>Van Heerden</w:t>
      </w:r>
      <w:r w:rsidRPr="00BB7375">
        <w:rPr>
          <w:rFonts w:ascii="Arial" w:hAnsi="Arial" w:cs="Arial"/>
          <w:sz w:val="24"/>
          <w:szCs w:val="24"/>
        </w:rPr>
        <w:t xml:space="preserve"> establishes a clear distinction between the creation of a measure and how it is implemented, which highlights the significance of assessing the real-world effects of affirmative action.</w:t>
      </w:r>
      <w:r w:rsidRPr="00BB7375">
        <w:rPr>
          <w:rFonts w:ascii="Arial" w:hAnsi="Arial" w:cs="Arial"/>
          <w:sz w:val="24"/>
          <w:szCs w:val="24"/>
          <w:vertAlign w:val="superscript"/>
        </w:rPr>
        <w:footnoteReference w:id="421"/>
      </w:r>
      <w:r w:rsidRPr="00BB7375">
        <w:rPr>
          <w:rFonts w:ascii="Arial" w:hAnsi="Arial" w:cs="Arial"/>
          <w:sz w:val="24"/>
          <w:szCs w:val="24"/>
        </w:rPr>
        <w:t xml:space="preserve"> He argues that the third prong calls for a more thorough and contextually aware investigation of the measure's effects on the impacted persons or groups, rather than only an abstract or theoretical rationality test.</w:t>
      </w:r>
      <w:r w:rsidRPr="00BB7375">
        <w:rPr>
          <w:rFonts w:ascii="Arial" w:hAnsi="Arial" w:cs="Arial"/>
          <w:sz w:val="24"/>
          <w:szCs w:val="24"/>
          <w:vertAlign w:val="superscript"/>
        </w:rPr>
        <w:footnoteReference w:id="422"/>
      </w:r>
      <w:r w:rsidRPr="00BB7375">
        <w:rPr>
          <w:rFonts w:ascii="Arial" w:hAnsi="Arial" w:cs="Arial"/>
          <w:sz w:val="24"/>
          <w:szCs w:val="24"/>
        </w:rPr>
        <w:t xml:space="preserve"> This test necessitates a more thorough assessment of whether the measure, in practice, actually advances equality in a significant manner, going beyond its outlined or theoretical objectives.</w:t>
      </w:r>
      <w:r w:rsidRPr="00BB7375">
        <w:rPr>
          <w:rFonts w:ascii="Arial" w:hAnsi="Arial" w:cs="Arial"/>
          <w:sz w:val="24"/>
          <w:szCs w:val="24"/>
          <w:vertAlign w:val="superscript"/>
        </w:rPr>
        <w:footnoteReference w:id="423"/>
      </w:r>
      <w:r w:rsidRPr="00BB7375">
        <w:rPr>
          <w:rFonts w:ascii="Arial" w:hAnsi="Arial" w:cs="Arial"/>
          <w:sz w:val="24"/>
          <w:szCs w:val="24"/>
        </w:rPr>
        <w:t xml:space="preserve"> Furthermore, Van der Westhuizen J argued that a mere rational-based approach is insufficient to judge whether a measure actually improves equality. </w:t>
      </w:r>
    </w:p>
    <w:p w14:paraId="259E2BA4"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The need for a comprehensive and context-sensitive approach to constitutional interpretation was emphasized by Van der Westhuizen J., who rejected the fairness criteria since it might lead to internal inconsistencies. He emphasized that although courts seek to reconcile constitutional provisions, this does not oblige them to ignore the potential effects that the exercise of one right may have on specific circumstances.</w:t>
      </w:r>
      <w:r w:rsidRPr="00BB7375">
        <w:rPr>
          <w:rFonts w:ascii="Arial" w:hAnsi="Arial" w:cs="Arial"/>
          <w:sz w:val="24"/>
          <w:szCs w:val="24"/>
          <w:vertAlign w:val="superscript"/>
        </w:rPr>
        <w:footnoteReference w:id="424"/>
      </w:r>
      <w:r w:rsidRPr="00BB7375">
        <w:rPr>
          <w:rFonts w:ascii="Arial" w:hAnsi="Arial" w:cs="Arial"/>
          <w:sz w:val="24"/>
          <w:szCs w:val="24"/>
        </w:rPr>
        <w:t xml:space="preserve"> No constitutional provision should be construed in a vacuum, and no right should be upheld without taking into account how it interacts with other rights, he argued.</w:t>
      </w:r>
      <w:r w:rsidRPr="00BB7375">
        <w:rPr>
          <w:rFonts w:ascii="Arial" w:hAnsi="Arial" w:cs="Arial"/>
          <w:sz w:val="24"/>
          <w:szCs w:val="24"/>
          <w:vertAlign w:val="superscript"/>
        </w:rPr>
        <w:footnoteReference w:id="425"/>
      </w:r>
      <w:r w:rsidRPr="00BB7375">
        <w:rPr>
          <w:rFonts w:ascii="Arial" w:hAnsi="Arial" w:cs="Arial"/>
          <w:sz w:val="24"/>
          <w:szCs w:val="24"/>
        </w:rPr>
        <w:t xml:space="preserve"> Although he acknowledged that the general restrictions provision in section 36 of the </w:t>
      </w:r>
      <w:r w:rsidRPr="00BB7375">
        <w:rPr>
          <w:rFonts w:ascii="Arial" w:hAnsi="Arial" w:cs="Arial"/>
          <w:i/>
          <w:iCs/>
          <w:sz w:val="24"/>
          <w:szCs w:val="24"/>
        </w:rPr>
        <w:t>Constitution</w:t>
      </w:r>
      <w:r w:rsidRPr="00BB7375">
        <w:rPr>
          <w:rFonts w:ascii="Arial" w:hAnsi="Arial" w:cs="Arial"/>
          <w:sz w:val="24"/>
          <w:szCs w:val="24"/>
        </w:rPr>
        <w:t xml:space="preserve"> did not directly apply in this case, he thought its proportionality formula was helpful in determining how one right affected another.</w:t>
      </w:r>
      <w:r w:rsidRPr="00BB7375">
        <w:rPr>
          <w:rFonts w:ascii="Arial" w:hAnsi="Arial" w:cs="Arial"/>
          <w:sz w:val="24"/>
          <w:szCs w:val="24"/>
          <w:vertAlign w:val="superscript"/>
        </w:rPr>
        <w:footnoteReference w:id="426"/>
      </w:r>
      <w:r w:rsidRPr="00BB7375">
        <w:rPr>
          <w:rFonts w:ascii="Arial" w:hAnsi="Arial" w:cs="Arial"/>
          <w:sz w:val="24"/>
          <w:szCs w:val="24"/>
        </w:rPr>
        <w:t xml:space="preserve"> In summary, Van der Westhuizen J. argues that in addition to applying the </w:t>
      </w:r>
      <w:r w:rsidRPr="00BB7375">
        <w:rPr>
          <w:rFonts w:ascii="Arial" w:hAnsi="Arial" w:cs="Arial"/>
          <w:i/>
          <w:iCs/>
          <w:sz w:val="24"/>
          <w:szCs w:val="24"/>
        </w:rPr>
        <w:t>Van Heerden</w:t>
      </w:r>
      <w:r w:rsidRPr="00BB7375">
        <w:rPr>
          <w:rFonts w:ascii="Arial" w:hAnsi="Arial" w:cs="Arial"/>
          <w:sz w:val="24"/>
          <w:szCs w:val="24"/>
        </w:rPr>
        <w:t xml:space="preserve"> test, a proportionality analysis motivated by section 36 should be used to assess whether affirmative action policies are legally compliant given that "something more is required." </w:t>
      </w:r>
    </w:p>
    <w:p w14:paraId="3FFCFD48" w14:textId="2CAE989F" w:rsidR="00BB7375" w:rsidRPr="00BB7375" w:rsidRDefault="00BB7375" w:rsidP="005D2E01">
      <w:pPr>
        <w:pStyle w:val="Subtitle"/>
        <w:numPr>
          <w:ilvl w:val="3"/>
          <w:numId w:val="5"/>
        </w:numPr>
      </w:pPr>
      <w:bookmarkStart w:id="218" w:name="_Toc189739369"/>
      <w:r w:rsidRPr="00BB7375">
        <w:t>Criticism against the proportionality standard</w:t>
      </w:r>
      <w:bookmarkEnd w:id="218"/>
    </w:p>
    <w:p w14:paraId="678D90AA"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lastRenderedPageBreak/>
        <w:t xml:space="preserve">The judicial perspective on affirmative action policies is greatly influenced by Sachs J.'s remarks in </w:t>
      </w:r>
      <w:r w:rsidRPr="00BB7375">
        <w:rPr>
          <w:rFonts w:ascii="Arial" w:hAnsi="Arial" w:cs="Arial"/>
          <w:i/>
          <w:iCs/>
          <w:sz w:val="24"/>
          <w:szCs w:val="24"/>
        </w:rPr>
        <w:t>Van Heerden</w:t>
      </w:r>
      <w:r w:rsidRPr="00BB7375">
        <w:rPr>
          <w:rFonts w:ascii="Arial" w:hAnsi="Arial" w:cs="Arial"/>
          <w:sz w:val="24"/>
          <w:szCs w:val="24"/>
        </w:rPr>
        <w:t>.</w:t>
      </w:r>
      <w:r w:rsidRPr="00BB7375">
        <w:rPr>
          <w:rFonts w:ascii="Arial" w:hAnsi="Arial" w:cs="Arial"/>
          <w:sz w:val="24"/>
          <w:szCs w:val="24"/>
          <w:vertAlign w:val="superscript"/>
        </w:rPr>
        <w:footnoteReference w:id="427"/>
      </w:r>
      <w:r w:rsidRPr="00BB7375">
        <w:rPr>
          <w:rFonts w:ascii="Arial" w:hAnsi="Arial" w:cs="Arial"/>
          <w:sz w:val="24"/>
          <w:szCs w:val="24"/>
        </w:rPr>
        <w:t xml:space="preserve"> Given the significance of these measures in attaining substantive equality, Sachs J. stressed that courts should refrain from interfering with them. He warned against the inclination of courts to serve as arbitrators, deciding whether a more effective or less onerous solution could have been chosen. When a legislation is blatantly excessive, blatantly disregards the interests of privileged groups, and imposes disproportionate costs without reason, Sachs J. made it obvious that judicial action is necessary and that courts are required under the constitution to </w:t>
      </w:r>
      <w:proofErr w:type="gramStart"/>
      <w:r w:rsidRPr="00BB7375">
        <w:rPr>
          <w:rFonts w:ascii="Arial" w:hAnsi="Arial" w:cs="Arial"/>
          <w:sz w:val="24"/>
          <w:szCs w:val="24"/>
        </w:rPr>
        <w:t>take action</w:t>
      </w:r>
      <w:proofErr w:type="gramEnd"/>
      <w:r w:rsidRPr="00BB7375">
        <w:rPr>
          <w:rFonts w:ascii="Arial" w:hAnsi="Arial" w:cs="Arial"/>
          <w:sz w:val="24"/>
          <w:szCs w:val="24"/>
        </w:rPr>
        <w:t xml:space="preserve"> in these situations. </w:t>
      </w:r>
    </w:p>
    <w:p w14:paraId="3CF3BDF9"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It is noteworthy, however, that none of the other justices in </w:t>
      </w:r>
      <w:r w:rsidRPr="00BB7375">
        <w:rPr>
          <w:rFonts w:ascii="Arial" w:hAnsi="Arial" w:cs="Arial"/>
          <w:i/>
          <w:iCs/>
          <w:sz w:val="24"/>
          <w:szCs w:val="24"/>
        </w:rPr>
        <w:t>Van Heerden</w:t>
      </w:r>
      <w:r w:rsidRPr="00BB7375">
        <w:rPr>
          <w:rFonts w:ascii="Arial" w:hAnsi="Arial" w:cs="Arial"/>
          <w:sz w:val="24"/>
          <w:szCs w:val="24"/>
        </w:rPr>
        <w:t xml:space="preserve"> agreed with Van der Westhuizen J's ruling supporting proportionality as the sole criterion for evaluating affirmative action policies.</w:t>
      </w:r>
      <w:r w:rsidRPr="00BB7375">
        <w:rPr>
          <w:rFonts w:ascii="Arial" w:hAnsi="Arial" w:cs="Arial"/>
          <w:sz w:val="24"/>
          <w:szCs w:val="24"/>
          <w:vertAlign w:val="superscript"/>
        </w:rPr>
        <w:footnoteReference w:id="428"/>
      </w:r>
      <w:r w:rsidRPr="00BB7375">
        <w:rPr>
          <w:rFonts w:ascii="Arial" w:hAnsi="Arial" w:cs="Arial"/>
          <w:sz w:val="24"/>
          <w:szCs w:val="24"/>
        </w:rPr>
        <w:t xml:space="preserve"> In order to resolve this discrepancy, Cameron J. proposed that proportionality be incorporated into the general fairness criteria, with </w:t>
      </w:r>
      <w:proofErr w:type="spellStart"/>
      <w:r w:rsidRPr="00BB7375">
        <w:rPr>
          <w:rFonts w:ascii="Arial" w:hAnsi="Arial" w:cs="Arial"/>
          <w:sz w:val="24"/>
          <w:szCs w:val="24"/>
        </w:rPr>
        <w:t>Froneman</w:t>
      </w:r>
      <w:proofErr w:type="spellEnd"/>
      <w:r w:rsidRPr="00BB7375">
        <w:rPr>
          <w:rFonts w:ascii="Arial" w:hAnsi="Arial" w:cs="Arial"/>
          <w:sz w:val="24"/>
          <w:szCs w:val="24"/>
        </w:rPr>
        <w:t xml:space="preserve"> J. and </w:t>
      </w:r>
      <w:proofErr w:type="spellStart"/>
      <w:r w:rsidRPr="00BB7375">
        <w:rPr>
          <w:rFonts w:ascii="Arial" w:hAnsi="Arial" w:cs="Arial"/>
          <w:sz w:val="24"/>
          <w:szCs w:val="24"/>
        </w:rPr>
        <w:t>Majiedt</w:t>
      </w:r>
      <w:proofErr w:type="spellEnd"/>
      <w:r w:rsidRPr="00BB7375">
        <w:rPr>
          <w:rFonts w:ascii="Arial" w:hAnsi="Arial" w:cs="Arial"/>
          <w:sz w:val="24"/>
          <w:szCs w:val="24"/>
        </w:rPr>
        <w:t xml:space="preserve"> J. concurring.</w:t>
      </w:r>
      <w:r w:rsidRPr="00BB7375">
        <w:rPr>
          <w:rFonts w:ascii="Arial" w:hAnsi="Arial" w:cs="Arial"/>
          <w:sz w:val="24"/>
          <w:szCs w:val="24"/>
          <w:vertAlign w:val="superscript"/>
        </w:rPr>
        <w:footnoteReference w:id="429"/>
      </w:r>
      <w:r w:rsidRPr="00BB7375">
        <w:rPr>
          <w:rFonts w:ascii="Arial" w:hAnsi="Arial" w:cs="Arial"/>
          <w:sz w:val="24"/>
          <w:szCs w:val="24"/>
        </w:rPr>
        <w:t xml:space="preserve"> They contend that fairness has the further benefit of taking into account circumstances in which proportionality may not be crucial in assessing the purportedly unjust application of an affirmative action policy.</w:t>
      </w:r>
      <w:r w:rsidRPr="00BB7375">
        <w:rPr>
          <w:rFonts w:ascii="Arial" w:hAnsi="Arial" w:cs="Arial"/>
          <w:sz w:val="24"/>
          <w:szCs w:val="24"/>
          <w:vertAlign w:val="superscript"/>
        </w:rPr>
        <w:footnoteReference w:id="430"/>
      </w:r>
      <w:r w:rsidRPr="00BB7375">
        <w:rPr>
          <w:rFonts w:ascii="Arial" w:hAnsi="Arial" w:cs="Arial"/>
          <w:sz w:val="24"/>
          <w:szCs w:val="24"/>
        </w:rPr>
        <w:t xml:space="preserve"> This viewpoint emphasizes fairness as a broader criterion that goes beyond proportionality.</w:t>
      </w:r>
    </w:p>
    <w:p w14:paraId="3DE08E84" w14:textId="14A68B21" w:rsidR="00BB7375" w:rsidRPr="00452249" w:rsidRDefault="00BB7375" w:rsidP="00452249">
      <w:pPr>
        <w:spacing w:line="360" w:lineRule="auto"/>
        <w:jc w:val="both"/>
        <w:rPr>
          <w:rFonts w:ascii="Arial" w:hAnsi="Arial" w:cs="Arial"/>
          <w:sz w:val="24"/>
          <w:szCs w:val="24"/>
        </w:rPr>
      </w:pPr>
      <w:r w:rsidRPr="00BB7375">
        <w:rPr>
          <w:rFonts w:ascii="Arial" w:hAnsi="Arial" w:cs="Arial"/>
          <w:sz w:val="24"/>
          <w:szCs w:val="24"/>
        </w:rPr>
        <w:t>Fergus contributes to this discussion by recognizing the significance of proportionality in striking a balance between conflicting constitutional rights and ideals.</w:t>
      </w:r>
      <w:r w:rsidRPr="00BB7375">
        <w:rPr>
          <w:rFonts w:ascii="Arial" w:hAnsi="Arial" w:cs="Arial"/>
          <w:sz w:val="24"/>
          <w:szCs w:val="24"/>
          <w:vertAlign w:val="superscript"/>
        </w:rPr>
        <w:footnoteReference w:id="431"/>
      </w:r>
      <w:r w:rsidRPr="00BB7375">
        <w:rPr>
          <w:rFonts w:ascii="Arial" w:hAnsi="Arial" w:cs="Arial"/>
          <w:sz w:val="24"/>
          <w:szCs w:val="24"/>
        </w:rPr>
        <w:t xml:space="preserve"> She is doubtful that a full-scale proportionality analysis in the context of affirmative action would be applicable. According to Fergus, urging judges to balance the equality mandate with a wide variety of constitutional rights and principles brought up by litigants may expose affirmative action policies to excessively extensive judicial assessment. She points out that requiring measures to pass the "least restrictive means" criteria carries a risk of unnecessarily imposing unrealistic standards of evaluation, which could impede the transformative goals of restitutive measures.</w:t>
      </w:r>
    </w:p>
    <w:p w14:paraId="6AC83D09" w14:textId="3ADDB7B9" w:rsidR="00BB7375" w:rsidRPr="00BB7375" w:rsidRDefault="005D2E01" w:rsidP="00452249">
      <w:pPr>
        <w:pStyle w:val="Heading1"/>
        <w:rPr>
          <w:bCs/>
        </w:rPr>
      </w:pPr>
      <w:bookmarkStart w:id="219" w:name="_Toc189739370"/>
      <w:r>
        <w:rPr>
          <w:bCs/>
        </w:rPr>
        <w:lastRenderedPageBreak/>
        <w:t>3</w:t>
      </w:r>
      <w:r w:rsidR="00BB7375" w:rsidRPr="00BB7375">
        <w:rPr>
          <w:bCs/>
        </w:rPr>
        <w:t>.</w:t>
      </w:r>
      <w:r>
        <w:rPr>
          <w:bCs/>
        </w:rPr>
        <w:t>7</w:t>
      </w:r>
      <w:r w:rsidR="00BB7375" w:rsidRPr="00BB7375">
        <w:rPr>
          <w:bCs/>
        </w:rPr>
        <w:t xml:space="preserve"> The appropriate standard for assessing Affirmative Action measures</w:t>
      </w:r>
      <w:bookmarkEnd w:id="219"/>
    </w:p>
    <w:p w14:paraId="1EDA6F5E" w14:textId="4DB1EA38"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A key component of South African equality jurisprudence has been identifying the proper criterion for assessing the constitutionality of affirmative action policies. The Constitutional Court confirmed that the reasonableness requirement is the controlling norm for evaluating such measures in the case of </w:t>
      </w:r>
      <w:r w:rsidRPr="00BB7375">
        <w:rPr>
          <w:rFonts w:ascii="Arial" w:hAnsi="Arial" w:cs="Arial"/>
          <w:i/>
          <w:iCs/>
          <w:sz w:val="24"/>
          <w:szCs w:val="24"/>
        </w:rPr>
        <w:t>South African Police Service v Solidarity obo Barnard</w:t>
      </w:r>
      <w:r w:rsidRPr="00BB7375">
        <w:rPr>
          <w:rFonts w:ascii="Arial" w:hAnsi="Arial" w:cs="Arial"/>
          <w:sz w:val="24"/>
          <w:szCs w:val="24"/>
        </w:rPr>
        <w:t xml:space="preserve">. Despite this clarity, the question of whether proportionality or fairness would be a better substitute is still up for debate in both academics and juridical forums. The positive aspects and limitations of each standard are unique. Although rationality offers a reasonable and unambiguous foundation that </w:t>
      </w:r>
      <w:r w:rsidR="00226F8F" w:rsidRPr="00BB7375">
        <w:rPr>
          <w:rFonts w:ascii="Arial" w:hAnsi="Arial" w:cs="Arial"/>
          <w:sz w:val="24"/>
          <w:szCs w:val="24"/>
        </w:rPr>
        <w:t>honours</w:t>
      </w:r>
      <w:r w:rsidRPr="00BB7375">
        <w:rPr>
          <w:rFonts w:ascii="Arial" w:hAnsi="Arial" w:cs="Arial"/>
          <w:sz w:val="24"/>
          <w:szCs w:val="24"/>
        </w:rPr>
        <w:t xml:space="preserve"> the legislature's responsibility in formulating policy, its limited scope can leave out the more significant effects of affirmative action policies. While fairness promotes a more humane and inclusive approach, it also runs the risk of compromising legal certainty and the transformative objectives of reparation. Although proportionality offers a sophisticated framework for juggling conflicting interests, it may unduly scrutinize affirmative action policies.</w:t>
      </w:r>
    </w:p>
    <w:p w14:paraId="3CEF2E9C"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The most suitable and long-lasting method for assessing the constitutionality of affirmative action policies in South Africa is the rationality standard. The Constitutional Court's case law, specifically </w:t>
      </w:r>
      <w:r w:rsidRPr="00BB7375">
        <w:rPr>
          <w:rFonts w:ascii="Arial" w:hAnsi="Arial" w:cs="Arial"/>
          <w:i/>
          <w:iCs/>
          <w:sz w:val="24"/>
          <w:szCs w:val="24"/>
        </w:rPr>
        <w:t>in Minister of Finance v Van Heerden</w:t>
      </w:r>
      <w:r w:rsidRPr="00BB7375">
        <w:rPr>
          <w:rFonts w:ascii="Arial" w:hAnsi="Arial" w:cs="Arial"/>
          <w:sz w:val="24"/>
          <w:szCs w:val="24"/>
        </w:rPr>
        <w:t xml:space="preserve"> and </w:t>
      </w:r>
      <w:r w:rsidRPr="00BB7375">
        <w:rPr>
          <w:rFonts w:ascii="Arial" w:hAnsi="Arial" w:cs="Arial"/>
          <w:i/>
          <w:iCs/>
          <w:sz w:val="24"/>
          <w:szCs w:val="24"/>
        </w:rPr>
        <w:t>South African Police Service v Solidarity obo Barnard</w:t>
      </w:r>
      <w:r w:rsidRPr="00BB7375">
        <w:rPr>
          <w:rFonts w:ascii="Arial" w:hAnsi="Arial" w:cs="Arial"/>
          <w:sz w:val="24"/>
          <w:szCs w:val="24"/>
        </w:rPr>
        <w:t xml:space="preserve">, provides strong support for this finding. As required by section 9(2) of the </w:t>
      </w:r>
      <w:r w:rsidRPr="00BB7375">
        <w:rPr>
          <w:rFonts w:ascii="Arial" w:hAnsi="Arial" w:cs="Arial"/>
          <w:i/>
          <w:iCs/>
          <w:sz w:val="24"/>
          <w:szCs w:val="24"/>
        </w:rPr>
        <w:t>Constitution</w:t>
      </w:r>
      <w:r w:rsidRPr="00BB7375">
        <w:rPr>
          <w:rFonts w:ascii="Arial" w:hAnsi="Arial" w:cs="Arial"/>
          <w:sz w:val="24"/>
          <w:szCs w:val="24"/>
        </w:rPr>
        <w:t xml:space="preserve">, these seminal cases confirm that rationality offers a framework that is legally sound, predictable, and administratively feasible for determining whether a legislation accomplishes the transformative purposes of substantive equality. The criterion of rationality is especially persuasive since it is consistent with the fundamental tenets of constitutional democracy, such as the separation of powers and respect for the authority of the legislative and executive branches. The rationality requirement guarantees that affirmative action policies are not arbitrary or capricious but instead stay true to their justifiable goal of resolving systemic inequalities and promoting people who have been harmed by past prejudice, as stated in </w:t>
      </w:r>
      <w:r w:rsidRPr="00BB7375">
        <w:rPr>
          <w:rFonts w:ascii="Arial" w:hAnsi="Arial" w:cs="Arial"/>
          <w:i/>
          <w:iCs/>
          <w:sz w:val="24"/>
          <w:szCs w:val="24"/>
        </w:rPr>
        <w:t>Van Heerden</w:t>
      </w:r>
      <w:r w:rsidRPr="00BB7375">
        <w:rPr>
          <w:rFonts w:ascii="Arial" w:hAnsi="Arial" w:cs="Arial"/>
          <w:sz w:val="24"/>
          <w:szCs w:val="24"/>
        </w:rPr>
        <w:t xml:space="preserve">. Rationality maintains this focus </w:t>
      </w:r>
      <w:proofErr w:type="gramStart"/>
      <w:r w:rsidRPr="00BB7375">
        <w:rPr>
          <w:rFonts w:ascii="Arial" w:hAnsi="Arial" w:cs="Arial"/>
          <w:sz w:val="24"/>
          <w:szCs w:val="24"/>
        </w:rPr>
        <w:t>in order to</w:t>
      </w:r>
      <w:proofErr w:type="gramEnd"/>
      <w:r w:rsidRPr="00BB7375">
        <w:rPr>
          <w:rFonts w:ascii="Arial" w:hAnsi="Arial" w:cs="Arial"/>
          <w:sz w:val="24"/>
          <w:szCs w:val="24"/>
        </w:rPr>
        <w:t xml:space="preserve"> balance the necessity of judicial scrutiny with the requirement that elected branches of government be given the freedom to enact revolutionary reforms.</w:t>
      </w:r>
    </w:p>
    <w:p w14:paraId="3EDBD8C2" w14:textId="77777777" w:rsidR="00BB7375" w:rsidRPr="00BB7375" w:rsidRDefault="00BB7375" w:rsidP="00BB7375">
      <w:pPr>
        <w:spacing w:line="360" w:lineRule="auto"/>
        <w:jc w:val="both"/>
        <w:rPr>
          <w:rFonts w:ascii="Arial" w:hAnsi="Arial" w:cs="Arial"/>
          <w:sz w:val="24"/>
          <w:szCs w:val="24"/>
        </w:rPr>
      </w:pPr>
      <w:r w:rsidRPr="00BB7375">
        <w:rPr>
          <w:rFonts w:ascii="Arial" w:hAnsi="Arial" w:cs="Arial"/>
          <w:sz w:val="24"/>
          <w:szCs w:val="24"/>
        </w:rPr>
        <w:t xml:space="preserve">Those who criticize rationality frequently claim that it fails to adequately consider the personal implications of affirmative action policies, which could leave certain people </w:t>
      </w:r>
      <w:r w:rsidRPr="00BB7375">
        <w:rPr>
          <w:rFonts w:ascii="Arial" w:hAnsi="Arial" w:cs="Arial"/>
          <w:sz w:val="24"/>
          <w:szCs w:val="24"/>
        </w:rPr>
        <w:lastRenderedPageBreak/>
        <w:t xml:space="preserve">without proper redress for whichever injustices they may suffer. This criticism ignores the larger constitutional framework which rationality functions within. Subsequently, reasoning is a tool to determine if a measure is consistent with the broader constitutional concept of equality, not an end in and of itself. Reason guarantees that affirmative action policies stay true to their transformational intent without overburdening courts with judgments that are laden with values and may jeopardize legal clarity, as emphasized in </w:t>
      </w:r>
      <w:r w:rsidRPr="00BB7375">
        <w:rPr>
          <w:rFonts w:ascii="Arial" w:hAnsi="Arial" w:cs="Arial"/>
          <w:i/>
          <w:iCs/>
          <w:sz w:val="24"/>
          <w:szCs w:val="24"/>
        </w:rPr>
        <w:t>Barnard</w:t>
      </w:r>
      <w:r w:rsidRPr="00BB7375">
        <w:rPr>
          <w:rFonts w:ascii="Arial" w:hAnsi="Arial" w:cs="Arial"/>
          <w:sz w:val="24"/>
          <w:szCs w:val="24"/>
        </w:rPr>
        <w:t>. The strength of the rationality standard ultimately resides in its capacity to offer an understandable, impartial, and practically applicable administrative framework for assessing affirmative action policies. Since the legislature and executive branch are better equipped to carry out policies that address systematic inequality, it respects the difficult balance between judicial supervision and deference to authorities. Rationality reduces the possibility of capricious court intervention while guaranteeing that affirmative action policies stay firmly grounded in the values of justice and equality by emphasizing the relationship between a measure and its justifiable aim.</w:t>
      </w:r>
    </w:p>
    <w:p w14:paraId="30D5BE9C" w14:textId="16B851F4" w:rsidR="00DF6BC2" w:rsidRPr="009F38E3" w:rsidRDefault="00BB7375" w:rsidP="008F51BA">
      <w:pPr>
        <w:spacing w:line="360" w:lineRule="auto"/>
        <w:jc w:val="both"/>
        <w:rPr>
          <w:rFonts w:ascii="Arial" w:hAnsi="Arial" w:cs="Arial"/>
          <w:sz w:val="24"/>
          <w:szCs w:val="24"/>
        </w:rPr>
      </w:pPr>
      <w:r w:rsidRPr="00BB7375">
        <w:rPr>
          <w:rFonts w:ascii="Arial" w:hAnsi="Arial" w:cs="Arial"/>
          <w:sz w:val="24"/>
          <w:szCs w:val="24"/>
        </w:rPr>
        <w:t xml:space="preserve">Despite its limits, rationality can be addressed by the courts through deliberate application and improvement. For example, the third prong of the </w:t>
      </w:r>
      <w:r w:rsidRPr="00BB7375">
        <w:rPr>
          <w:rFonts w:ascii="Arial" w:hAnsi="Arial" w:cs="Arial"/>
          <w:i/>
          <w:iCs/>
          <w:sz w:val="24"/>
          <w:szCs w:val="24"/>
        </w:rPr>
        <w:t>Van Heerden</w:t>
      </w:r>
      <w:r w:rsidRPr="00BB7375">
        <w:rPr>
          <w:rFonts w:ascii="Arial" w:hAnsi="Arial" w:cs="Arial"/>
          <w:sz w:val="24"/>
          <w:szCs w:val="24"/>
        </w:rPr>
        <w:t xml:space="preserve"> test, which asks if the measure encourages the attainment of equality, enables a more thorough analysis of the policy's effects and implementation. With the support of this element, courts are guaranteed to closely evaluate whether affirmative action policies </w:t>
      </w:r>
      <w:proofErr w:type="gramStart"/>
      <w:r w:rsidRPr="00BB7375">
        <w:rPr>
          <w:rFonts w:ascii="Arial" w:hAnsi="Arial" w:cs="Arial"/>
          <w:sz w:val="24"/>
          <w:szCs w:val="24"/>
        </w:rPr>
        <w:t>actually promote</w:t>
      </w:r>
      <w:proofErr w:type="gramEnd"/>
      <w:r w:rsidRPr="00BB7375">
        <w:rPr>
          <w:rFonts w:ascii="Arial" w:hAnsi="Arial" w:cs="Arial"/>
          <w:sz w:val="24"/>
          <w:szCs w:val="24"/>
        </w:rPr>
        <w:t xml:space="preserve"> substantive equality rather than just endorsing them. Rationality is therefore still the best criterion for weighing the conflicting interests present in affirmative action policies. The constitutional commitment to substantive equality is protected, the separation of powers is respected, and a stable legal framework that promotes change while upholding justice and consistency in the administration of the law is offered.</w:t>
      </w:r>
    </w:p>
    <w:p w14:paraId="0C61F41B" w14:textId="6C4A95C0" w:rsidR="00DF6BC2" w:rsidRPr="009F38E3" w:rsidRDefault="00FF401C" w:rsidP="00452249">
      <w:pPr>
        <w:pStyle w:val="Heading1"/>
      </w:pPr>
      <w:bookmarkStart w:id="220" w:name="_Toc189739371"/>
      <w:r>
        <w:t>3.8</w:t>
      </w:r>
      <w:r w:rsidR="00DF6BC2" w:rsidRPr="009F38E3">
        <w:t xml:space="preserve"> </w:t>
      </w:r>
      <w:r w:rsidRPr="00FF401C">
        <w:t>Whether affirmative action creates an automatic right to appointment or promotion</w:t>
      </w:r>
      <w:bookmarkEnd w:id="220"/>
    </w:p>
    <w:p w14:paraId="3F184C0E" w14:textId="77777777" w:rsidR="00A775FD" w:rsidRPr="00A775FD" w:rsidRDefault="00A775FD" w:rsidP="00A775FD">
      <w:pPr>
        <w:spacing w:line="360" w:lineRule="auto"/>
        <w:jc w:val="both"/>
        <w:rPr>
          <w:rFonts w:ascii="Arial" w:hAnsi="Arial" w:cs="Arial"/>
          <w:sz w:val="24"/>
          <w:szCs w:val="24"/>
          <w:lang w:val="en-ZA"/>
        </w:rPr>
      </w:pPr>
      <w:r w:rsidRPr="00A775FD">
        <w:rPr>
          <w:rFonts w:ascii="Arial" w:hAnsi="Arial" w:cs="Arial"/>
          <w:sz w:val="24"/>
          <w:szCs w:val="24"/>
          <w:lang w:val="en-ZA"/>
        </w:rPr>
        <w:t xml:space="preserve">Affirmative action having been originally intended as a corrective action to rectify historical injustices has generated a great deal of discussion on whether it acts as a facilitator or a hindrance in the exercise of democracy. A crucial topic at the heart of this continuing discussion is whether affirmative action grants an automatic right to be </w:t>
      </w:r>
      <w:r w:rsidRPr="00A775FD">
        <w:rPr>
          <w:rFonts w:ascii="Arial" w:hAnsi="Arial" w:cs="Arial"/>
          <w:sz w:val="24"/>
          <w:szCs w:val="24"/>
          <w:lang w:val="en-ZA"/>
        </w:rPr>
        <w:lastRenderedPageBreak/>
        <w:t xml:space="preserve">appointed or promoted, or if it is conditional and dependent on </w:t>
      </w:r>
      <w:proofErr w:type="gramStart"/>
      <w:r w:rsidRPr="00A775FD">
        <w:rPr>
          <w:rFonts w:ascii="Arial" w:hAnsi="Arial" w:cs="Arial"/>
          <w:sz w:val="24"/>
          <w:szCs w:val="24"/>
          <w:lang w:val="en-ZA"/>
        </w:rPr>
        <w:t>particular needs</w:t>
      </w:r>
      <w:proofErr w:type="gramEnd"/>
      <w:r w:rsidRPr="00A775FD">
        <w:rPr>
          <w:rFonts w:ascii="Arial" w:hAnsi="Arial" w:cs="Arial"/>
          <w:sz w:val="24"/>
          <w:szCs w:val="24"/>
          <w:lang w:val="en-ZA"/>
        </w:rPr>
        <w:t>, circumstances, and qualifications. Redressing historical injustices and advancing substantive equality are the main goals of affirmative action, which guarantees fair competition in areas where discrimination formerly predominated. However, there have been valid concerns about the execution of affirmative action rules as they have become more widespread.</w:t>
      </w:r>
    </w:p>
    <w:p w14:paraId="0B77890C" w14:textId="6143D830" w:rsidR="00DF6BC2" w:rsidRPr="00965D37" w:rsidRDefault="00A775FD" w:rsidP="00016E59">
      <w:pPr>
        <w:spacing w:line="360" w:lineRule="auto"/>
        <w:jc w:val="both"/>
        <w:rPr>
          <w:rFonts w:ascii="Arial" w:hAnsi="Arial" w:cs="Arial"/>
          <w:sz w:val="24"/>
          <w:szCs w:val="24"/>
        </w:rPr>
      </w:pPr>
      <w:r w:rsidRPr="00A775FD">
        <w:rPr>
          <w:rFonts w:ascii="Arial" w:hAnsi="Arial" w:cs="Arial"/>
          <w:sz w:val="24"/>
          <w:szCs w:val="24"/>
        </w:rPr>
        <w:t xml:space="preserve">Therefore, the conflict between affirmative action as a presumed right and as a tool to achieve substantive equality needs to be examined </w:t>
      </w:r>
      <w:proofErr w:type="gramStart"/>
      <w:r w:rsidRPr="00A775FD">
        <w:rPr>
          <w:rFonts w:ascii="Arial" w:hAnsi="Arial" w:cs="Arial"/>
          <w:sz w:val="24"/>
          <w:szCs w:val="24"/>
        </w:rPr>
        <w:t>in order to</w:t>
      </w:r>
      <w:proofErr w:type="gramEnd"/>
      <w:r w:rsidRPr="00A775FD">
        <w:rPr>
          <w:rFonts w:ascii="Arial" w:hAnsi="Arial" w:cs="Arial"/>
          <w:sz w:val="24"/>
          <w:szCs w:val="24"/>
        </w:rPr>
        <w:t xml:space="preserve"> ensure an in-depth understanding of the legal implications of a lawful implementation or a justifiable non-implementation of affirmative action.</w:t>
      </w:r>
      <w:r w:rsidRPr="00A775FD">
        <w:t xml:space="preserve"> </w:t>
      </w:r>
      <w:r w:rsidRPr="00A775FD">
        <w:rPr>
          <w:rFonts w:ascii="Arial" w:hAnsi="Arial" w:cs="Arial"/>
          <w:sz w:val="24"/>
          <w:szCs w:val="24"/>
        </w:rPr>
        <w:t xml:space="preserve">By drawing on South African case law, employment equity frameworks, and international perspectives, the analysis will focus on the criteria employers must adhere to </w:t>
      </w:r>
      <w:proofErr w:type="gramStart"/>
      <w:r w:rsidRPr="00A775FD">
        <w:rPr>
          <w:rFonts w:ascii="Arial" w:hAnsi="Arial" w:cs="Arial"/>
          <w:sz w:val="24"/>
          <w:szCs w:val="24"/>
        </w:rPr>
        <w:t>in order to</w:t>
      </w:r>
      <w:proofErr w:type="gramEnd"/>
      <w:r w:rsidRPr="00A775FD">
        <w:rPr>
          <w:rFonts w:ascii="Arial" w:hAnsi="Arial" w:cs="Arial"/>
          <w:sz w:val="24"/>
          <w:szCs w:val="24"/>
        </w:rPr>
        <w:t xml:space="preserve"> ensure that affirmative action, whether implemented or not, remains valid and lawful. Ultimately, this examination seeks to clarify whether affirmative action can be viewed as a prospective opportunity, an absolute right, or a hybrid of both, and how these perspectives influence the legal obligations of employers.</w:t>
      </w:r>
    </w:p>
    <w:p w14:paraId="60A59811" w14:textId="539475BA" w:rsidR="00DF6BC2" w:rsidRPr="009F38E3" w:rsidRDefault="00A775FD" w:rsidP="00A775FD">
      <w:pPr>
        <w:pStyle w:val="Heading1"/>
      </w:pPr>
      <w:bookmarkStart w:id="221" w:name="_Toc189739372"/>
      <w:r>
        <w:t>3.8.1</w:t>
      </w:r>
      <w:r w:rsidR="00DF6BC2" w:rsidRPr="009F38E3">
        <w:t xml:space="preserve"> The obligation of designated employers of implementing Affirmative Action</w:t>
      </w:r>
      <w:bookmarkEnd w:id="221"/>
    </w:p>
    <w:p w14:paraId="4BC7ADE6"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Affirmative action under the </w:t>
      </w:r>
      <w:r w:rsidRPr="009F38E3">
        <w:rPr>
          <w:rFonts w:ascii="Arial" w:hAnsi="Arial" w:cs="Arial"/>
          <w:i/>
          <w:iCs/>
          <w:sz w:val="24"/>
          <w:szCs w:val="24"/>
        </w:rPr>
        <w:t>EEA</w:t>
      </w:r>
      <w:r w:rsidRPr="009F38E3">
        <w:rPr>
          <w:rFonts w:ascii="Arial" w:hAnsi="Arial" w:cs="Arial"/>
          <w:sz w:val="24"/>
          <w:szCs w:val="24"/>
        </w:rPr>
        <w:t xml:space="preserve"> is not an automatic privilege that applies to all sectors or individuals indiscriminately, as the </w:t>
      </w:r>
      <w:r w:rsidRPr="009F38E3">
        <w:rPr>
          <w:rFonts w:ascii="Arial" w:hAnsi="Arial" w:cs="Arial"/>
          <w:i/>
          <w:iCs/>
          <w:sz w:val="24"/>
          <w:szCs w:val="24"/>
        </w:rPr>
        <w:t>EEA</w:t>
      </w:r>
      <w:r w:rsidRPr="009F38E3">
        <w:rPr>
          <w:rFonts w:ascii="Arial" w:hAnsi="Arial" w:cs="Arial"/>
          <w:sz w:val="24"/>
          <w:szCs w:val="24"/>
        </w:rPr>
        <w:t>'s structure is peculiar rather than universal. As part of their employment equity plans, which are created in collaboration with unions and employee groups, designated employers are legally required to apply affirmative action policies.</w:t>
      </w:r>
      <w:r w:rsidRPr="009F38E3">
        <w:rPr>
          <w:rFonts w:ascii="Arial" w:hAnsi="Arial" w:cs="Arial"/>
          <w:sz w:val="24"/>
          <w:szCs w:val="24"/>
          <w:vertAlign w:val="superscript"/>
        </w:rPr>
        <w:footnoteReference w:id="432"/>
      </w:r>
      <w:r w:rsidRPr="009F38E3">
        <w:rPr>
          <w:rFonts w:ascii="Arial" w:hAnsi="Arial" w:cs="Arial"/>
          <w:sz w:val="24"/>
          <w:szCs w:val="24"/>
        </w:rPr>
        <w:t xml:space="preserve"> Although the </w:t>
      </w:r>
      <w:r w:rsidRPr="009F38E3">
        <w:rPr>
          <w:rFonts w:ascii="Arial" w:hAnsi="Arial" w:cs="Arial"/>
          <w:i/>
          <w:iCs/>
          <w:sz w:val="24"/>
          <w:szCs w:val="24"/>
        </w:rPr>
        <w:t>EEA</w:t>
      </w:r>
      <w:r w:rsidRPr="009F38E3">
        <w:rPr>
          <w:rFonts w:ascii="Arial" w:hAnsi="Arial" w:cs="Arial"/>
          <w:sz w:val="24"/>
          <w:szCs w:val="24"/>
        </w:rPr>
        <w:t xml:space="preserve"> requires these employers to take proactive steps to promote employment equity, the standards are flexible and particular to the setting, thereby giving the employer the freedom to choose the extent and focus of affirmative action initiatives in accordance with national and regional demographics and organizational needs. Section 1 of the </w:t>
      </w:r>
      <w:r w:rsidRPr="009F38E3">
        <w:rPr>
          <w:rFonts w:ascii="Arial" w:hAnsi="Arial" w:cs="Arial"/>
          <w:i/>
          <w:iCs/>
          <w:sz w:val="24"/>
          <w:szCs w:val="24"/>
        </w:rPr>
        <w:t>EEA</w:t>
      </w:r>
      <w:r w:rsidRPr="009F38E3">
        <w:rPr>
          <w:rFonts w:ascii="Arial" w:hAnsi="Arial" w:cs="Arial"/>
          <w:sz w:val="24"/>
          <w:szCs w:val="24"/>
        </w:rPr>
        <w:t xml:space="preserve"> defines a "designated employer" as one who employs 50 people or more, or less but has an annual turnover that exceeds certain sectoral thresholds. Nevertheless, the term "designated employer" encompasses more than these requirements. As the </w:t>
      </w:r>
      <w:r w:rsidRPr="009F38E3">
        <w:rPr>
          <w:rFonts w:ascii="Arial" w:hAnsi="Arial" w:cs="Arial"/>
          <w:i/>
          <w:iCs/>
          <w:sz w:val="24"/>
          <w:szCs w:val="24"/>
        </w:rPr>
        <w:t>EEA</w:t>
      </w:r>
      <w:r w:rsidRPr="009F38E3">
        <w:rPr>
          <w:rFonts w:ascii="Arial" w:hAnsi="Arial" w:cs="Arial"/>
          <w:sz w:val="24"/>
          <w:szCs w:val="24"/>
        </w:rPr>
        <w:t xml:space="preserve"> makes clear, it also covers municipalities and state agencies. Significant modifications to this term are also introduced by the </w:t>
      </w:r>
      <w:bookmarkStart w:id="222" w:name="_Hlk183634062"/>
      <w:r w:rsidRPr="009F38E3">
        <w:rPr>
          <w:rFonts w:ascii="Arial" w:hAnsi="Arial" w:cs="Arial"/>
          <w:i/>
          <w:iCs/>
          <w:sz w:val="24"/>
          <w:szCs w:val="24"/>
        </w:rPr>
        <w:t>Employment Equity Amendment Act</w:t>
      </w:r>
      <w:r w:rsidRPr="009F38E3">
        <w:rPr>
          <w:rFonts w:ascii="Arial" w:hAnsi="Arial" w:cs="Arial"/>
          <w:sz w:val="24"/>
          <w:szCs w:val="24"/>
        </w:rPr>
        <w:t xml:space="preserve"> of 2022 (hereinafter </w:t>
      </w:r>
      <w:r w:rsidRPr="009F38E3">
        <w:rPr>
          <w:rFonts w:ascii="Arial" w:hAnsi="Arial" w:cs="Arial"/>
          <w:sz w:val="24"/>
          <w:szCs w:val="24"/>
        </w:rPr>
        <w:lastRenderedPageBreak/>
        <w:t xml:space="preserve">referred to as the </w:t>
      </w:r>
      <w:r w:rsidRPr="009F38E3">
        <w:rPr>
          <w:rFonts w:ascii="Arial" w:hAnsi="Arial" w:cs="Arial"/>
          <w:i/>
          <w:iCs/>
          <w:sz w:val="24"/>
          <w:szCs w:val="24"/>
        </w:rPr>
        <w:t>Amendment Act</w:t>
      </w:r>
      <w:r w:rsidRPr="009F38E3">
        <w:rPr>
          <w:rFonts w:ascii="Arial" w:hAnsi="Arial" w:cs="Arial"/>
          <w:sz w:val="24"/>
          <w:szCs w:val="24"/>
        </w:rPr>
        <w:t xml:space="preserve">), </w:t>
      </w:r>
      <w:bookmarkEnd w:id="222"/>
      <w:r w:rsidRPr="009F38E3">
        <w:rPr>
          <w:rFonts w:ascii="Arial" w:hAnsi="Arial" w:cs="Arial"/>
          <w:sz w:val="24"/>
          <w:szCs w:val="24"/>
        </w:rPr>
        <w:t xml:space="preserve">which has been signed into law but has not yet been put into effect.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limit the number of recognized employers to those with 50 or more workers, the </w:t>
      </w:r>
      <w:r w:rsidRPr="009F38E3">
        <w:rPr>
          <w:rFonts w:ascii="Arial" w:hAnsi="Arial" w:cs="Arial"/>
          <w:i/>
          <w:iCs/>
          <w:sz w:val="24"/>
          <w:szCs w:val="24"/>
        </w:rPr>
        <w:t>Amendment Act</w:t>
      </w:r>
      <w:r w:rsidRPr="009F38E3">
        <w:rPr>
          <w:rFonts w:ascii="Arial" w:hAnsi="Arial" w:cs="Arial"/>
          <w:sz w:val="24"/>
          <w:szCs w:val="24"/>
        </w:rPr>
        <w:t xml:space="preserve"> aims to eliminate the turnover threshold. This change will have a significant effect, especially on smaller businesses that were previously considered designated employers because of high employee turnover but will no longer be held to the same standards after the </w:t>
      </w:r>
      <w:r w:rsidRPr="009F38E3">
        <w:rPr>
          <w:rFonts w:ascii="Arial" w:hAnsi="Arial" w:cs="Arial"/>
          <w:i/>
          <w:iCs/>
          <w:sz w:val="24"/>
          <w:szCs w:val="24"/>
        </w:rPr>
        <w:t>Amendment Act</w:t>
      </w:r>
      <w:r w:rsidRPr="009F38E3">
        <w:rPr>
          <w:rFonts w:ascii="Arial" w:hAnsi="Arial" w:cs="Arial"/>
          <w:sz w:val="24"/>
          <w:szCs w:val="24"/>
        </w:rPr>
        <w:t xml:space="preserve"> takes effect.</w:t>
      </w:r>
    </w:p>
    <w:p w14:paraId="466735B5"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According to section 15(2) of the </w:t>
      </w:r>
      <w:r w:rsidRPr="009F38E3">
        <w:rPr>
          <w:rFonts w:ascii="Arial" w:hAnsi="Arial" w:cs="Arial"/>
          <w:i/>
          <w:iCs/>
          <w:sz w:val="24"/>
          <w:szCs w:val="24"/>
        </w:rPr>
        <w:t>EEA</w:t>
      </w:r>
      <w:r w:rsidRPr="009F38E3">
        <w:rPr>
          <w:rFonts w:ascii="Arial" w:hAnsi="Arial" w:cs="Arial"/>
          <w:sz w:val="24"/>
          <w:szCs w:val="24"/>
        </w:rPr>
        <w:t xml:space="preserve">, affirmative action policies put in place by a designated employer must have </w:t>
      </w:r>
      <w:proofErr w:type="gramStart"/>
      <w:r w:rsidRPr="009F38E3">
        <w:rPr>
          <w:rFonts w:ascii="Arial" w:hAnsi="Arial" w:cs="Arial"/>
          <w:sz w:val="24"/>
          <w:szCs w:val="24"/>
        </w:rPr>
        <w:t>a number of</w:t>
      </w:r>
      <w:proofErr w:type="gramEnd"/>
      <w:r w:rsidRPr="009F38E3">
        <w:rPr>
          <w:rFonts w:ascii="Arial" w:hAnsi="Arial" w:cs="Arial"/>
          <w:sz w:val="24"/>
          <w:szCs w:val="24"/>
        </w:rPr>
        <w:t xml:space="preserve"> essential elements in order to eradicate obstacles to equitable employment opportunities and representation for designated groups and they must make reasonable accommodations for members of designated groups in order to guarantee that they have equal possibilities and have equitable representation in employment. Additionally, they </w:t>
      </w:r>
      <w:proofErr w:type="gramStart"/>
      <w:r w:rsidRPr="009F38E3">
        <w:rPr>
          <w:rFonts w:ascii="Arial" w:hAnsi="Arial" w:cs="Arial"/>
          <w:sz w:val="24"/>
          <w:szCs w:val="24"/>
        </w:rPr>
        <w:t>have to</w:t>
      </w:r>
      <w:proofErr w:type="gramEnd"/>
      <w:r w:rsidRPr="009F38E3">
        <w:rPr>
          <w:rFonts w:ascii="Arial" w:hAnsi="Arial" w:cs="Arial"/>
          <w:sz w:val="24"/>
          <w:szCs w:val="24"/>
        </w:rPr>
        <w:t xml:space="preserve"> put procedures in effect to ensure that suitably qualified members of designated groups are fairly represented across all occupational levels in the workforce. These guidelines should further promote workplace diversity and eliminate employment barriers that negatively affect members of designated groups, including those resulting from unfair discrimination. Therefore, in accordance with section 15(2) of the </w:t>
      </w:r>
      <w:r w:rsidRPr="009F38E3">
        <w:rPr>
          <w:rFonts w:ascii="Arial" w:hAnsi="Arial" w:cs="Arial"/>
          <w:i/>
          <w:iCs/>
          <w:sz w:val="24"/>
          <w:szCs w:val="24"/>
        </w:rPr>
        <w:t>EEA</w:t>
      </w:r>
      <w:r w:rsidRPr="009F38E3">
        <w:rPr>
          <w:rFonts w:ascii="Arial" w:hAnsi="Arial" w:cs="Arial"/>
          <w:sz w:val="24"/>
          <w:szCs w:val="24"/>
        </w:rPr>
        <w:t xml:space="preserve">, designated employers are required to adopt and carry out affirmative action policies tasked with addressing past injustices and advancing real equality in the workplace. However, if AA measures are to be regarded as a "right," their execution is not unqualified;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guarantee adherence to both the </w:t>
      </w:r>
      <w:r w:rsidRPr="009F38E3">
        <w:rPr>
          <w:rFonts w:ascii="Arial" w:hAnsi="Arial" w:cs="Arial"/>
          <w:i/>
          <w:iCs/>
          <w:sz w:val="24"/>
          <w:szCs w:val="24"/>
        </w:rPr>
        <w:t xml:space="preserve">EEA </w:t>
      </w:r>
      <w:r w:rsidRPr="009F38E3">
        <w:rPr>
          <w:rFonts w:ascii="Arial" w:hAnsi="Arial" w:cs="Arial"/>
          <w:sz w:val="24"/>
          <w:szCs w:val="24"/>
        </w:rPr>
        <w:t xml:space="preserve">and constitutional principles, certain legislative conditions must be met. Two key measures listed in section 15(2) of the </w:t>
      </w:r>
      <w:r w:rsidRPr="009F38E3">
        <w:rPr>
          <w:rFonts w:ascii="Arial" w:hAnsi="Arial" w:cs="Arial"/>
          <w:i/>
          <w:iCs/>
          <w:sz w:val="24"/>
          <w:szCs w:val="24"/>
        </w:rPr>
        <w:t>EEA</w:t>
      </w:r>
      <w:r w:rsidRPr="009F38E3">
        <w:rPr>
          <w:rFonts w:ascii="Arial" w:hAnsi="Arial" w:cs="Arial"/>
          <w:sz w:val="24"/>
          <w:szCs w:val="24"/>
        </w:rPr>
        <w:t xml:space="preserve"> become especially important when deciding whether an employee can assert a right to affirmative action. These steps include making sure that appropriately qualified members of designated groups,</w:t>
      </w:r>
      <w:r w:rsidRPr="009F38E3">
        <w:rPr>
          <w:rFonts w:ascii="Arial" w:hAnsi="Arial" w:cs="Arial"/>
          <w:sz w:val="24"/>
          <w:szCs w:val="24"/>
          <w:vertAlign w:val="superscript"/>
        </w:rPr>
        <w:footnoteReference w:id="433"/>
      </w:r>
      <w:r w:rsidRPr="009F38E3">
        <w:rPr>
          <w:rFonts w:ascii="Arial" w:hAnsi="Arial" w:cs="Arial"/>
          <w:sz w:val="24"/>
          <w:szCs w:val="24"/>
        </w:rPr>
        <w:t xml:space="preserve"> are fairly represented in all occupational levels of the workforce as well as the requirement to establish and implement strategies for the retention and advancement of members of designated groups, including suitable training programs in accordance with skills development laws.</w:t>
      </w:r>
      <w:r w:rsidRPr="009F38E3">
        <w:rPr>
          <w:rFonts w:ascii="Arial" w:hAnsi="Arial" w:cs="Arial"/>
          <w:sz w:val="24"/>
          <w:szCs w:val="24"/>
          <w:vertAlign w:val="superscript"/>
        </w:rPr>
        <w:footnoteReference w:id="434"/>
      </w:r>
    </w:p>
    <w:p w14:paraId="008442D7" w14:textId="11790D18" w:rsidR="00DF6BC2" w:rsidRPr="009F38E3" w:rsidRDefault="00A775FD" w:rsidP="00965D37">
      <w:pPr>
        <w:pStyle w:val="Subtitle"/>
        <w:numPr>
          <w:ilvl w:val="0"/>
          <w:numId w:val="0"/>
        </w:numPr>
        <w:ind w:left="792"/>
      </w:pPr>
      <w:bookmarkStart w:id="223" w:name="_Toc189739373"/>
      <w:r>
        <w:t>3</w:t>
      </w:r>
      <w:r w:rsidR="00DF6BC2" w:rsidRPr="009F38E3">
        <w:t>.</w:t>
      </w:r>
      <w:r>
        <w:t>8</w:t>
      </w:r>
      <w:r w:rsidR="00DF6BC2" w:rsidRPr="009F38E3">
        <w:t>.1.1 Equitable representation in terms of section15(2)(d)(</w:t>
      </w:r>
      <w:proofErr w:type="spellStart"/>
      <w:r w:rsidR="00DF6BC2" w:rsidRPr="009F38E3">
        <w:t>i</w:t>
      </w:r>
      <w:proofErr w:type="spellEnd"/>
      <w:r w:rsidR="00DF6BC2" w:rsidRPr="009F38E3">
        <w:t>)</w:t>
      </w:r>
      <w:bookmarkEnd w:id="223"/>
    </w:p>
    <w:p w14:paraId="6D04DCAA"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idea of equitable representation emphasizes how critical it is to correct past injustices that have led to the underrepresentation of specific populations in particular </w:t>
      </w:r>
      <w:r w:rsidRPr="009F38E3">
        <w:rPr>
          <w:rFonts w:ascii="Arial" w:hAnsi="Arial" w:cs="Arial"/>
          <w:sz w:val="24"/>
          <w:szCs w:val="24"/>
        </w:rPr>
        <w:lastRenderedPageBreak/>
        <w:t>fields, businesses, and occupational levels. According to section 15(2)(d)(</w:t>
      </w:r>
      <w:proofErr w:type="spellStart"/>
      <w:r w:rsidRPr="009F38E3">
        <w:rPr>
          <w:rFonts w:ascii="Arial" w:hAnsi="Arial" w:cs="Arial"/>
          <w:sz w:val="24"/>
          <w:szCs w:val="24"/>
        </w:rPr>
        <w:t>i</w:t>
      </w:r>
      <w:proofErr w:type="spellEnd"/>
      <w:r w:rsidRPr="009F38E3">
        <w:rPr>
          <w:rFonts w:ascii="Arial" w:hAnsi="Arial" w:cs="Arial"/>
          <w:sz w:val="24"/>
          <w:szCs w:val="24"/>
        </w:rPr>
        <w:t xml:space="preserve">), employers are required to examine the demographics of their personnel and find any discrepancies in representation. For this analysis to determine if certain groups are underrepresented, national and regional demographics as well as sectoral targets specified in regulations must be </w:t>
      </w:r>
      <w:proofErr w:type="gramStart"/>
      <w:r w:rsidRPr="009F38E3">
        <w:rPr>
          <w:rFonts w:ascii="Arial" w:hAnsi="Arial" w:cs="Arial"/>
          <w:sz w:val="24"/>
          <w:szCs w:val="24"/>
        </w:rPr>
        <w:t>taken into account</w:t>
      </w:r>
      <w:proofErr w:type="gramEnd"/>
      <w:r w:rsidRPr="009F38E3">
        <w:rPr>
          <w:rFonts w:ascii="Arial" w:hAnsi="Arial" w:cs="Arial"/>
          <w:sz w:val="24"/>
          <w:szCs w:val="24"/>
        </w:rPr>
        <w:t xml:space="preserve">. Employers are expected to have policies in place that give priority to including adequately qualified members of the underrepresented group whenever a lack of equitable representation has been uncovered. This measure is in line with the </w:t>
      </w:r>
      <w:r w:rsidRPr="009F38E3">
        <w:rPr>
          <w:rFonts w:ascii="Arial" w:hAnsi="Arial" w:cs="Arial"/>
          <w:i/>
          <w:iCs/>
          <w:sz w:val="24"/>
          <w:szCs w:val="24"/>
        </w:rPr>
        <w:t>Constitution</w:t>
      </w:r>
      <w:r w:rsidRPr="009F38E3">
        <w:rPr>
          <w:rFonts w:ascii="Arial" w:hAnsi="Arial" w:cs="Arial"/>
          <w:sz w:val="24"/>
          <w:szCs w:val="24"/>
        </w:rPr>
        <w:t xml:space="preserve">'s transformative objectives, which prioritize substantive equality and righting historical wrongs. It also reaffirms that affirmative action must function within a methodical, empirically supported framework that guarantees equity and inclusivity. To legally and successfully carry out such measures, designated employers must first determine </w:t>
      </w:r>
      <w:proofErr w:type="gramStart"/>
      <w:r w:rsidRPr="009F38E3">
        <w:rPr>
          <w:rFonts w:ascii="Arial" w:hAnsi="Arial" w:cs="Arial"/>
          <w:sz w:val="24"/>
          <w:szCs w:val="24"/>
        </w:rPr>
        <w:t>whether or not</w:t>
      </w:r>
      <w:proofErr w:type="gramEnd"/>
      <w:r w:rsidRPr="009F38E3">
        <w:rPr>
          <w:rFonts w:ascii="Arial" w:hAnsi="Arial" w:cs="Arial"/>
          <w:sz w:val="24"/>
          <w:szCs w:val="24"/>
        </w:rPr>
        <w:t xml:space="preserve"> there is in fact a lack of equitable representation in order to assess the necessity of affirmative action measures is this obligation. As such, the </w:t>
      </w:r>
      <w:r w:rsidRPr="009F38E3">
        <w:rPr>
          <w:rFonts w:ascii="Arial" w:hAnsi="Arial" w:cs="Arial"/>
          <w:i/>
          <w:iCs/>
          <w:sz w:val="24"/>
          <w:szCs w:val="24"/>
        </w:rPr>
        <w:t>EEA</w:t>
      </w:r>
      <w:r w:rsidRPr="009F38E3">
        <w:rPr>
          <w:rFonts w:ascii="Arial" w:hAnsi="Arial" w:cs="Arial"/>
          <w:sz w:val="24"/>
          <w:szCs w:val="24"/>
        </w:rPr>
        <w:t xml:space="preserve"> states that an extensive employment equity examination by the designated employer is the initial step in this procedure.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uncover racial, gender, and disability discrepancies, employers are required by section 19 of the </w:t>
      </w:r>
      <w:r w:rsidRPr="009F38E3">
        <w:rPr>
          <w:rFonts w:ascii="Arial" w:hAnsi="Arial" w:cs="Arial"/>
          <w:i/>
          <w:iCs/>
          <w:sz w:val="24"/>
          <w:szCs w:val="24"/>
        </w:rPr>
        <w:t>EEA</w:t>
      </w:r>
      <w:r w:rsidRPr="009F38E3">
        <w:rPr>
          <w:rFonts w:ascii="Arial" w:hAnsi="Arial" w:cs="Arial"/>
          <w:sz w:val="24"/>
          <w:szCs w:val="24"/>
        </w:rPr>
        <w:t xml:space="preserve"> to gather and examine workforce demographic data and compare it to sectoral, regional, and national standards. Every occupational level and category, from entry-level jobs to senior management positions, must be included in this investigation. </w:t>
      </w:r>
    </w:p>
    <w:p w14:paraId="6E924630"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Constitutional Court established the precedent in the seminal case of </w:t>
      </w:r>
      <w:r w:rsidRPr="009F38E3">
        <w:rPr>
          <w:rFonts w:ascii="Arial" w:hAnsi="Arial" w:cs="Arial"/>
          <w:i/>
          <w:iCs/>
          <w:sz w:val="24"/>
          <w:szCs w:val="24"/>
        </w:rPr>
        <w:t>Solidarity v South African Police Service</w:t>
      </w:r>
      <w:r w:rsidRPr="009F38E3">
        <w:rPr>
          <w:rFonts w:ascii="Arial" w:hAnsi="Arial" w:cs="Arial"/>
          <w:sz w:val="24"/>
          <w:szCs w:val="24"/>
        </w:rPr>
        <w:t xml:space="preserve"> that affirmative action policies should primarily address systemic and historical discrimination, which may involve initiatives to level the playing field for underrepresented groups in the workforce. In this instance, the main question was whether the employer had conducted a sufficient assessment of the workforce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identify areas of underrepresentation, which is a critical first step in putting affirmative action policies into place. The court upheld in its ruling that, especially when considering the demography of the relevant labour market, such affirmative action measures ought to be motivated by empirical evidence proving the degree of underrepresentation. This is the initial step in any affirmative action program, and that employers are not allowed to use affirmative action unless they can show that their workforce does not represent the equal representation needed by law. This case </w:t>
      </w:r>
      <w:r w:rsidRPr="009F38E3">
        <w:rPr>
          <w:rFonts w:ascii="Arial" w:hAnsi="Arial" w:cs="Arial"/>
          <w:sz w:val="24"/>
          <w:szCs w:val="24"/>
        </w:rPr>
        <w:lastRenderedPageBreak/>
        <w:t xml:space="preserve">serves as further evidence that employers' duties are procedural in nature and cannot be circumvented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comply with affirmative action requirements.</w:t>
      </w:r>
    </w:p>
    <w:p w14:paraId="7C9BA27C"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As stated in section 16 of the </w:t>
      </w:r>
      <w:r w:rsidRPr="009F38E3">
        <w:rPr>
          <w:rFonts w:ascii="Arial" w:hAnsi="Arial" w:cs="Arial"/>
          <w:i/>
          <w:iCs/>
          <w:sz w:val="24"/>
          <w:szCs w:val="24"/>
        </w:rPr>
        <w:t>EEA</w:t>
      </w:r>
      <w:r w:rsidRPr="009F38E3">
        <w:rPr>
          <w:rFonts w:ascii="Arial" w:hAnsi="Arial" w:cs="Arial"/>
          <w:sz w:val="24"/>
          <w:szCs w:val="24"/>
        </w:rPr>
        <w:t xml:space="preserve">, consultation is an essential part of the procedure.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establish and carry out their employment equality plans, DERs must consult with workers, trade unions, and other stakeholders. This partnership guarantees that the affirmative action policies are both legally sound and operationally sound. Du Toit and others stress that consultation offers the chance to develop customized solutions that meet the particular difficulties faced by the workforce and permits a more comprehensive understanding of potential obstacles in achieving equal representation.</w:t>
      </w:r>
      <w:r w:rsidRPr="009F38E3">
        <w:rPr>
          <w:rFonts w:ascii="Arial" w:hAnsi="Arial" w:cs="Arial"/>
          <w:sz w:val="24"/>
          <w:szCs w:val="24"/>
          <w:vertAlign w:val="superscript"/>
        </w:rPr>
        <w:footnoteReference w:id="435"/>
      </w:r>
      <w:r w:rsidRPr="009F38E3">
        <w:rPr>
          <w:rFonts w:ascii="Arial" w:hAnsi="Arial" w:cs="Arial"/>
          <w:sz w:val="24"/>
          <w:szCs w:val="24"/>
        </w:rPr>
        <w:t xml:space="preserve"> Therefore, the employer can identify areas of underrepresentation and implement targeted retention and development strategies aimed at promoting the equitable representation of designated groups by collecting detailed workforce data and comparing it to national or regional demographic profiles.</w:t>
      </w:r>
      <w:r w:rsidRPr="009F38E3">
        <w:rPr>
          <w:rFonts w:ascii="Arial" w:hAnsi="Arial" w:cs="Arial"/>
          <w:sz w:val="24"/>
          <w:szCs w:val="24"/>
          <w:vertAlign w:val="superscript"/>
        </w:rPr>
        <w:footnoteReference w:id="436"/>
      </w:r>
      <w:r w:rsidRPr="009F38E3">
        <w:rPr>
          <w:rFonts w:ascii="Arial" w:hAnsi="Arial" w:cs="Arial"/>
          <w:sz w:val="24"/>
          <w:szCs w:val="24"/>
        </w:rPr>
        <w:t xml:space="preserve"> This is essential to meeting the requirements of section 15(2)(d)(ii), which stipulates that members of specified groups must be retained and developed through suitable training programs and encouraging work environments.</w:t>
      </w:r>
    </w:p>
    <w:p w14:paraId="79B56368" w14:textId="2C8269F7" w:rsidR="00DF6BC2" w:rsidRPr="009F38E3" w:rsidRDefault="00A775FD" w:rsidP="00965D37">
      <w:pPr>
        <w:pStyle w:val="Subtitle"/>
        <w:numPr>
          <w:ilvl w:val="0"/>
          <w:numId w:val="0"/>
        </w:numPr>
        <w:ind w:left="1701" w:hanging="907"/>
      </w:pPr>
      <w:bookmarkStart w:id="224" w:name="_Toc189739374"/>
      <w:r>
        <w:t>3</w:t>
      </w:r>
      <w:r w:rsidR="00DF6BC2" w:rsidRPr="009F38E3">
        <w:t>.</w:t>
      </w:r>
      <w:r>
        <w:t>8</w:t>
      </w:r>
      <w:r w:rsidR="00DF6BC2" w:rsidRPr="009F38E3">
        <w:t>.1.2 Advancement of designated groups in terms of section 15(2)(d)(ii)</w:t>
      </w:r>
      <w:bookmarkEnd w:id="224"/>
    </w:p>
    <w:p w14:paraId="3EB3906E"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Section 15(2)(d)(ii) of the </w:t>
      </w:r>
      <w:r w:rsidRPr="009F38E3">
        <w:rPr>
          <w:rFonts w:ascii="Arial" w:hAnsi="Arial" w:cs="Arial"/>
          <w:i/>
          <w:iCs/>
          <w:sz w:val="24"/>
          <w:szCs w:val="24"/>
        </w:rPr>
        <w:t>EEA</w:t>
      </w:r>
      <w:r w:rsidRPr="009F38E3">
        <w:rPr>
          <w:rFonts w:ascii="Arial" w:hAnsi="Arial" w:cs="Arial"/>
          <w:sz w:val="24"/>
          <w:szCs w:val="24"/>
        </w:rPr>
        <w:t xml:space="preserve">, mandates that when employers locate underrepresentation in their workforce, they must accord preference to "suitably qualified" members of designated groups. This clause, which is essential to affirmative action, gives the employer an obligation to proactively address deficiencies in the representation of </w:t>
      </w:r>
      <w:proofErr w:type="gramStart"/>
      <w:r w:rsidRPr="009F38E3">
        <w:rPr>
          <w:rFonts w:ascii="Arial" w:hAnsi="Arial" w:cs="Arial"/>
          <w:sz w:val="24"/>
          <w:szCs w:val="24"/>
        </w:rPr>
        <w:t>particular groups</w:t>
      </w:r>
      <w:proofErr w:type="gramEnd"/>
      <w:r w:rsidRPr="009F38E3">
        <w:rPr>
          <w:rFonts w:ascii="Arial" w:hAnsi="Arial" w:cs="Arial"/>
          <w:sz w:val="24"/>
          <w:szCs w:val="24"/>
        </w:rPr>
        <w:t>, like women, people with disabilities, and Black people.</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 xml:space="preserve">The meaning of "suitably qualified" is crucial in guaranteeing that preference is granted to candidates who fulfil the requirements for the function without compromising the standard of eligibility. Therefore, employers need to make sure that their affirmative action policies are based on building employment competencies and abilities rather than discriminating against members of specific groups. </w:t>
      </w:r>
    </w:p>
    <w:p w14:paraId="09B8AB59"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In addition, section 15(2)(d)(ii) mandates that priority be given to members of a designated group (Black people, women, and people with disabilities); more precisely, </w:t>
      </w:r>
      <w:r w:rsidRPr="009F38E3">
        <w:rPr>
          <w:rFonts w:ascii="Arial" w:hAnsi="Arial" w:cs="Arial"/>
          <w:sz w:val="24"/>
          <w:szCs w:val="24"/>
        </w:rPr>
        <w:lastRenderedPageBreak/>
        <w:t xml:space="preserve">the group must be underrepresented in the workforce at the relevant occupational level. Instead of implementing affirmative action uniformly across the workforce, this clause aims to target individuals who have historically been most marginalized in particular industries. In </w:t>
      </w:r>
      <w:r w:rsidRPr="009F38E3">
        <w:rPr>
          <w:rFonts w:ascii="Arial" w:hAnsi="Arial" w:cs="Arial"/>
          <w:i/>
          <w:iCs/>
          <w:sz w:val="24"/>
          <w:szCs w:val="24"/>
        </w:rPr>
        <w:t>Solidarity v Department of Correctional Services</w:t>
      </w:r>
      <w:r w:rsidRPr="009F38E3">
        <w:rPr>
          <w:rFonts w:ascii="Arial" w:hAnsi="Arial" w:cs="Arial"/>
          <w:sz w:val="24"/>
          <w:szCs w:val="24"/>
        </w:rPr>
        <w:t>,</w:t>
      </w:r>
      <w:r w:rsidRPr="009F38E3">
        <w:rPr>
          <w:rFonts w:ascii="Arial" w:hAnsi="Arial" w:cs="Arial"/>
          <w:sz w:val="24"/>
          <w:szCs w:val="24"/>
          <w:vertAlign w:val="superscript"/>
        </w:rPr>
        <w:footnoteReference w:id="437"/>
      </w:r>
      <w:r w:rsidRPr="009F38E3">
        <w:rPr>
          <w:rFonts w:ascii="Arial" w:hAnsi="Arial" w:cs="Arial"/>
          <w:sz w:val="24"/>
          <w:szCs w:val="24"/>
        </w:rPr>
        <w:t xml:space="preserve"> the Labour Appeal Court underscored the need to address underrepresentation by ruling that priority must be given to members of designated groups who are underrepresented </w:t>
      </w:r>
      <w:proofErr w:type="gramStart"/>
      <w:r w:rsidRPr="009F38E3">
        <w:rPr>
          <w:rFonts w:ascii="Arial" w:hAnsi="Arial" w:cs="Arial"/>
          <w:sz w:val="24"/>
          <w:szCs w:val="24"/>
        </w:rPr>
        <w:t>in particular employment</w:t>
      </w:r>
      <w:proofErr w:type="gramEnd"/>
      <w:r w:rsidRPr="009F38E3">
        <w:rPr>
          <w:rFonts w:ascii="Arial" w:hAnsi="Arial" w:cs="Arial"/>
          <w:sz w:val="24"/>
          <w:szCs w:val="24"/>
        </w:rPr>
        <w:t xml:space="preserve"> categories.</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In addition to giving members of designated groups chances generally, the employer has a responsibility to prioritize those areas where such groups are underrepresented.</w:t>
      </w:r>
    </w:p>
    <w:p w14:paraId="0C923194"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 The idea of being "suitably qualified" would serve as a fundamental prerequisite if affirmative action were a right. According to section 20(3) of the </w:t>
      </w:r>
      <w:r w:rsidRPr="009F38E3">
        <w:rPr>
          <w:rFonts w:ascii="Arial" w:hAnsi="Arial" w:cs="Arial"/>
          <w:i/>
          <w:iCs/>
          <w:sz w:val="24"/>
          <w:szCs w:val="24"/>
        </w:rPr>
        <w:t>Employment Equity Act,</w:t>
      </w:r>
      <w:r w:rsidRPr="009F38E3">
        <w:rPr>
          <w:rFonts w:ascii="Arial" w:hAnsi="Arial" w:cs="Arial"/>
          <w:sz w:val="24"/>
          <w:szCs w:val="24"/>
        </w:rPr>
        <w:t xml:space="preserve"> an individual is considered appropriately qualified if they fulfil one or more of the following requirements: formal education, relevant work experience, prior learning, or the ability to develop the skills necessary to perform the job in a reasonable amount of time. This extensive criterion is essential given that it guarantees that members of designated groups are prevented from being unjustly excluded because of past injustices, including limited access to formal education. The </w:t>
      </w:r>
      <w:r w:rsidRPr="009F38E3">
        <w:rPr>
          <w:rFonts w:ascii="Arial" w:hAnsi="Arial" w:cs="Arial"/>
          <w:i/>
          <w:iCs/>
          <w:sz w:val="24"/>
          <w:szCs w:val="24"/>
        </w:rPr>
        <w:t xml:space="preserve">Solidarity v Department of Correctional Services </w:t>
      </w:r>
      <w:r w:rsidRPr="009F38E3">
        <w:rPr>
          <w:rFonts w:ascii="Arial" w:hAnsi="Arial" w:cs="Arial"/>
          <w:sz w:val="24"/>
          <w:szCs w:val="24"/>
        </w:rPr>
        <w:t>ruling highlighted the need for employers to apply the definition of "suitably qualified" in a fair and open manner. Affirmative action programs may offer preference to people from designated groups but not to people who don't meet the requirements, according to the Labour Court's ruling.</w:t>
      </w:r>
      <w:r w:rsidRPr="009F38E3">
        <w:rPr>
          <w:rFonts w:ascii="Arial" w:hAnsi="Arial" w:cs="Arial"/>
          <w:sz w:val="24"/>
          <w:szCs w:val="24"/>
          <w:vertAlign w:val="superscript"/>
        </w:rPr>
        <w:footnoteReference w:id="438"/>
      </w:r>
      <w:r w:rsidRPr="009F38E3">
        <w:rPr>
          <w:rFonts w:ascii="Arial" w:hAnsi="Arial" w:cs="Arial"/>
          <w:sz w:val="24"/>
          <w:szCs w:val="24"/>
        </w:rPr>
        <w:t xml:space="preserve"> This ruling emphasizes that affirmative action aims to increase access to opportunities without sacrificing the ability necessary for efficient job performance, so as not to diminish benchmarks. However, employers must </w:t>
      </w:r>
      <w:proofErr w:type="gramStart"/>
      <w:r w:rsidRPr="009F38E3">
        <w:rPr>
          <w:rFonts w:ascii="Arial" w:hAnsi="Arial" w:cs="Arial"/>
          <w:sz w:val="24"/>
          <w:szCs w:val="24"/>
        </w:rPr>
        <w:t>take into account</w:t>
      </w:r>
      <w:proofErr w:type="gramEnd"/>
      <w:r w:rsidRPr="009F38E3">
        <w:rPr>
          <w:rFonts w:ascii="Arial" w:hAnsi="Arial" w:cs="Arial"/>
          <w:sz w:val="24"/>
          <w:szCs w:val="24"/>
        </w:rPr>
        <w:t xml:space="preserve"> the potential of applicants from designated groups as part of their duty to evaluate potential holistically. For instance, a candidate should not be disqualified if they have important transferable skills or real-world experience but no official qualifications. </w:t>
      </w:r>
    </w:p>
    <w:p w14:paraId="5F84AFBD"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Additionally, employers would be compelled to vigorously make accommodations for members of designated groups if affirmative action were acknowledged as a right. Employers are required by the </w:t>
      </w:r>
      <w:r w:rsidRPr="009F38E3">
        <w:rPr>
          <w:rFonts w:ascii="Arial" w:hAnsi="Arial" w:cs="Arial"/>
          <w:i/>
          <w:iCs/>
          <w:sz w:val="24"/>
          <w:szCs w:val="24"/>
        </w:rPr>
        <w:t>EEA</w:t>
      </w:r>
      <w:r w:rsidRPr="009F38E3">
        <w:rPr>
          <w:rFonts w:ascii="Arial" w:hAnsi="Arial" w:cs="Arial"/>
          <w:sz w:val="24"/>
          <w:szCs w:val="24"/>
        </w:rPr>
        <w:t xml:space="preserve">'s section 15(2)(c) to provide reasonable accommodations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remove obstacles and guarantee that designated </w:t>
      </w:r>
      <w:r w:rsidRPr="009F38E3">
        <w:rPr>
          <w:rFonts w:ascii="Arial" w:hAnsi="Arial" w:cs="Arial"/>
          <w:sz w:val="24"/>
          <w:szCs w:val="24"/>
        </w:rPr>
        <w:lastRenderedPageBreak/>
        <w:t xml:space="preserve">members can engage fully in the workplace. Subsequently, adapting workplace requirements, putting in place training and development initiatives, and changing the physical workspace to promote accessibility are a few examples of accommodations. For example, the employer must offer the required training to close the skills gap if a suitably qualified candidate from a designated groups </w:t>
      </w:r>
      <w:proofErr w:type="gramStart"/>
      <w:r w:rsidRPr="009F38E3">
        <w:rPr>
          <w:rFonts w:ascii="Arial" w:hAnsi="Arial" w:cs="Arial"/>
          <w:sz w:val="24"/>
          <w:szCs w:val="24"/>
        </w:rPr>
        <w:t>has the ability to</w:t>
      </w:r>
      <w:proofErr w:type="gramEnd"/>
      <w:r w:rsidRPr="009F38E3">
        <w:rPr>
          <w:rFonts w:ascii="Arial" w:hAnsi="Arial" w:cs="Arial"/>
          <w:sz w:val="24"/>
          <w:szCs w:val="24"/>
        </w:rPr>
        <w:t xml:space="preserve"> learn job-specific abilities in a fair amount of time. </w:t>
      </w:r>
    </w:p>
    <w:p w14:paraId="0056CF9D"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Lastly, businesses must have policies in place to retain and develop members from designated groups in accordance with section 15(2)(d)(ii). This clause guarantees that affirmative action covers more than just hiring; it also promotes career advancement and fills in skills shortages. To empower workers from designated groups, employers must offer training courses, mentorship programs, and other developmental activities.</w:t>
      </w:r>
    </w:p>
    <w:p w14:paraId="1D67675F"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Employers would have to meet certain requirements to guarantee the successful implementation of affirmative action if it were an inalienable right. These include carrying out a comprehensive workforce study under section 19, providing preference to underrepresented minorities under section 15(2)(d)(ii), accommodating members of designated groups under section 15(2)(c), and broadly defining appropriateness under section 20(3). Employers also need to make investments in training and development programs to help retain and advance employees from designated groups. </w:t>
      </w:r>
    </w:p>
    <w:p w14:paraId="22F556DF" w14:textId="13253E93" w:rsidR="00DF6BC2" w:rsidRPr="009F38E3" w:rsidRDefault="00A775FD" w:rsidP="00965D37">
      <w:pPr>
        <w:pStyle w:val="Subtitle"/>
        <w:numPr>
          <w:ilvl w:val="0"/>
          <w:numId w:val="0"/>
        </w:numPr>
        <w:ind w:left="1701" w:hanging="907"/>
      </w:pPr>
      <w:bookmarkStart w:id="225" w:name="_Toc189739375"/>
      <w:r>
        <w:t>3</w:t>
      </w:r>
      <w:r w:rsidR="00DF6BC2" w:rsidRPr="009F38E3">
        <w:t>.</w:t>
      </w:r>
      <w:r>
        <w:t>8</w:t>
      </w:r>
      <w:r w:rsidR="00DF6BC2" w:rsidRPr="009F38E3">
        <w:t>.1.3 Implementing an employment equity plan in terms of section 20</w:t>
      </w:r>
      <w:bookmarkEnd w:id="225"/>
      <w:r w:rsidR="00DF6BC2" w:rsidRPr="009F38E3">
        <w:t xml:space="preserve"> </w:t>
      </w:r>
    </w:p>
    <w:p w14:paraId="116FEDB4" w14:textId="6B2A29BC" w:rsidR="00DF6BC2" w:rsidRPr="00965D37" w:rsidRDefault="00DF6BC2" w:rsidP="00965D37">
      <w:pPr>
        <w:spacing w:line="360" w:lineRule="auto"/>
        <w:jc w:val="both"/>
        <w:rPr>
          <w:rFonts w:ascii="Arial" w:hAnsi="Arial" w:cs="Arial"/>
          <w:sz w:val="24"/>
          <w:szCs w:val="24"/>
        </w:rPr>
      </w:pPr>
      <w:r w:rsidRPr="009F38E3">
        <w:rPr>
          <w:rFonts w:ascii="Arial" w:hAnsi="Arial" w:cs="Arial"/>
          <w:sz w:val="24"/>
          <w:szCs w:val="24"/>
        </w:rPr>
        <w:t>A legitimate Employment Equity Plan would be necessary for the legal execution of affirmative action if it were regarded as an inalienable right. The plan must be created and implemented by designated employers in accordance with section 20 of the </w:t>
      </w:r>
      <w:r w:rsidRPr="009F38E3">
        <w:rPr>
          <w:rFonts w:ascii="Arial" w:hAnsi="Arial" w:cs="Arial"/>
          <w:i/>
          <w:iCs/>
          <w:sz w:val="24"/>
          <w:szCs w:val="24"/>
        </w:rPr>
        <w:t>EEA</w:t>
      </w:r>
      <w:r w:rsidRPr="009F38E3">
        <w:rPr>
          <w:rFonts w:ascii="Arial" w:hAnsi="Arial" w:cs="Arial"/>
          <w:sz w:val="24"/>
          <w:szCs w:val="24"/>
        </w:rPr>
        <w:t xml:space="preserve">. The steps the employer plans to take to address underrepresentation and advance the fair representation of designated groups at all occupational levels must be outlined in this plan of action. The goal of the strategy is to offer an organized, open, and constitutional framework for carrying out affirmative action policies. Section 20(2) mandates that the strategy must include methods to remove employment barriers, as well as specified targets, numerical goals, and a timeline for attaining fair representation. The three constitutional requirements that were stated in </w:t>
      </w:r>
      <w:r w:rsidRPr="009F38E3">
        <w:rPr>
          <w:rFonts w:ascii="Arial" w:hAnsi="Arial" w:cs="Arial"/>
          <w:i/>
          <w:iCs/>
          <w:sz w:val="24"/>
          <w:szCs w:val="24"/>
        </w:rPr>
        <w:t>Minister of Finance v Van Heerden</w:t>
      </w:r>
      <w:r w:rsidRPr="009F38E3">
        <w:rPr>
          <w:rFonts w:ascii="Arial" w:hAnsi="Arial" w:cs="Arial"/>
          <w:sz w:val="24"/>
          <w:szCs w:val="24"/>
        </w:rPr>
        <w:t>,</w:t>
      </w:r>
      <w:r w:rsidRPr="009F38E3">
        <w:rPr>
          <w:rFonts w:ascii="Arial" w:hAnsi="Arial" w:cs="Arial"/>
          <w:sz w:val="24"/>
          <w:szCs w:val="24"/>
          <w:vertAlign w:val="superscript"/>
        </w:rPr>
        <w:footnoteReference w:id="439"/>
      </w:r>
      <w:r w:rsidRPr="009F38E3">
        <w:rPr>
          <w:rFonts w:ascii="Arial" w:hAnsi="Arial" w:cs="Arial"/>
          <w:sz w:val="24"/>
          <w:szCs w:val="24"/>
        </w:rPr>
        <w:t xml:space="preserve"> which created a three-prong test for evaluating the </w:t>
      </w:r>
      <w:r w:rsidRPr="009F38E3">
        <w:rPr>
          <w:rFonts w:ascii="Arial" w:hAnsi="Arial" w:cs="Arial"/>
          <w:sz w:val="24"/>
          <w:szCs w:val="24"/>
        </w:rPr>
        <w:lastRenderedPageBreak/>
        <w:t>legitimacy of affirmative action policies, must also be met by the plan. Whether the measure targets individuals or groups of individuals who have been disadvantaged by unfair discrimination is the first criterion; whether the measure is intended to protect or advance those individuals or groups is the second; and whether the measure advances the attainment of equality is the third. Therefore, if affirmative action constituted a right which was inalienable, then Employment Equity Plan’s would act as the operational and legal framework for the realization of affirmative action rights. In the effort to improve the representation of designated employees, it would offer the framework for recognizing obstacles, establishing objectives, and implementing initiatives.</w:t>
      </w:r>
    </w:p>
    <w:p w14:paraId="0DFEDA66" w14:textId="149AAB84" w:rsidR="00DF6BC2" w:rsidRPr="009F38E3" w:rsidRDefault="00226F8F" w:rsidP="00965D37">
      <w:pPr>
        <w:pStyle w:val="Heading1"/>
        <w:rPr>
          <w:bCs/>
        </w:rPr>
      </w:pPr>
      <w:bookmarkStart w:id="226" w:name="_Toc189739376"/>
      <w:r>
        <w:rPr>
          <w:bCs/>
        </w:rPr>
        <w:t>3.8</w:t>
      </w:r>
      <w:r w:rsidR="00DF6BC2" w:rsidRPr="009F38E3">
        <w:rPr>
          <w:bCs/>
        </w:rPr>
        <w:t>.</w:t>
      </w:r>
      <w:r>
        <w:rPr>
          <w:bCs/>
        </w:rPr>
        <w:t>2</w:t>
      </w:r>
      <w:r w:rsidR="00DF6BC2" w:rsidRPr="009F38E3">
        <w:rPr>
          <w:bCs/>
        </w:rPr>
        <w:t xml:space="preserve"> Judicial review of whether Affirmative Action confers an individual right</w:t>
      </w:r>
      <w:bookmarkEnd w:id="226"/>
    </w:p>
    <w:p w14:paraId="050D43E4"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One of the most important tools for attaining substantive equality in South Africa is affirmative action, which is protected by the </w:t>
      </w:r>
      <w:r w:rsidRPr="009F38E3">
        <w:rPr>
          <w:rFonts w:ascii="Arial" w:hAnsi="Arial" w:cs="Arial"/>
          <w:i/>
          <w:iCs/>
          <w:sz w:val="24"/>
          <w:szCs w:val="24"/>
        </w:rPr>
        <w:t>Constitution</w:t>
      </w:r>
      <w:r w:rsidRPr="009F38E3">
        <w:rPr>
          <w:rFonts w:ascii="Arial" w:hAnsi="Arial" w:cs="Arial"/>
          <w:sz w:val="24"/>
          <w:szCs w:val="24"/>
        </w:rPr>
        <w:t>. Section 9(2) gives the state the express authority to take "legislative and other measures" to correct systematic injustices and elevate the status of people and groups who have been unfairly discriminated against in the past. This mandate from the constitution has played a crucial role in forming the legal and policy environment because it emphasizes the dual roles of affirmative action as an administrative tool to address injustices and as a topic of legal scrutiny regarding whether it should be classified as a right or a discretionary policy measure.</w:t>
      </w:r>
    </w:p>
    <w:p w14:paraId="68F22438"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At the junction of constitutional concepts and actual application is the controversy concerning whether affirmative action confers an individual right. Although it is indisputable that affirmative action seeks to promote equality, there are still concerns over its legality, namely whether it establishes definitive legal rights for individuals rather that it functions as a legislative decision to promote societal fairness. Courts, especially the Constitutional Court, have been wrestling with these issues as they frequently attempt to strike a balance between individual claims to affirmative action advantages and the group objectives associated with transformation.</w:t>
      </w:r>
    </w:p>
    <w:p w14:paraId="2C64607F"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Well-known decisions, like </w:t>
      </w:r>
      <w:r w:rsidRPr="009F38E3">
        <w:rPr>
          <w:rFonts w:ascii="Arial" w:hAnsi="Arial" w:cs="Arial"/>
          <w:i/>
          <w:iCs/>
          <w:sz w:val="24"/>
          <w:szCs w:val="24"/>
        </w:rPr>
        <w:t>Minister of Finance v Van Heerden</w:t>
      </w:r>
      <w:r w:rsidRPr="009F38E3">
        <w:rPr>
          <w:rFonts w:ascii="Arial" w:hAnsi="Arial" w:cs="Arial"/>
          <w:sz w:val="24"/>
          <w:szCs w:val="24"/>
        </w:rPr>
        <w:t>,</w:t>
      </w:r>
      <w:r w:rsidRPr="009F38E3">
        <w:rPr>
          <w:rFonts w:ascii="Arial" w:hAnsi="Arial" w:cs="Arial"/>
          <w:sz w:val="24"/>
          <w:szCs w:val="24"/>
          <w:vertAlign w:val="superscript"/>
        </w:rPr>
        <w:footnoteReference w:id="440"/>
      </w:r>
      <w:r w:rsidRPr="009F38E3">
        <w:rPr>
          <w:rFonts w:ascii="Arial" w:hAnsi="Arial" w:cs="Arial"/>
          <w:sz w:val="24"/>
          <w:szCs w:val="24"/>
        </w:rPr>
        <w:t xml:space="preserve"> provide important context for assessing affirmative action policies. The Van Heerden three-pronged test </w:t>
      </w:r>
      <w:r w:rsidRPr="009F38E3">
        <w:rPr>
          <w:rFonts w:ascii="Arial" w:hAnsi="Arial" w:cs="Arial"/>
          <w:sz w:val="24"/>
          <w:szCs w:val="24"/>
        </w:rPr>
        <w:lastRenderedPageBreak/>
        <w:t>evaluates whether such policies target underprivileged populations, advance substantive equality, and have a reasonable chance of succeeding. However, this test leaves opportunity for interpretation and future legal evolution because it does not specifically address whether individuals within certain groups can assert affirmative action as a right.</w:t>
      </w:r>
    </w:p>
    <w:p w14:paraId="21D6AE0C" w14:textId="77777777" w:rsidR="00DF6BC2" w:rsidRPr="009F38E3" w:rsidRDefault="00DF6BC2" w:rsidP="00DF6BC2">
      <w:pPr>
        <w:spacing w:line="360" w:lineRule="auto"/>
        <w:jc w:val="both"/>
        <w:rPr>
          <w:rFonts w:ascii="Arial" w:hAnsi="Arial" w:cs="Arial"/>
          <w:sz w:val="24"/>
          <w:szCs w:val="24"/>
        </w:rPr>
      </w:pP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address the controversial topic of individual entitlement, this section aims to clarify the limits and implications of affirmative action in promoting equality by </w:t>
      </w:r>
      <w:proofErr w:type="spellStart"/>
      <w:r w:rsidRPr="009F38E3">
        <w:rPr>
          <w:rFonts w:ascii="Arial" w:hAnsi="Arial" w:cs="Arial"/>
          <w:sz w:val="24"/>
          <w:szCs w:val="24"/>
        </w:rPr>
        <w:t>analyzing</w:t>
      </w:r>
      <w:proofErr w:type="spellEnd"/>
      <w:r w:rsidRPr="009F38E3">
        <w:rPr>
          <w:rFonts w:ascii="Arial" w:hAnsi="Arial" w:cs="Arial"/>
          <w:sz w:val="24"/>
          <w:szCs w:val="24"/>
        </w:rPr>
        <w:t xml:space="preserve"> whether it has been conceived as a discretionary mechanism driven by broader equality imperatives or as a right that guarantees individuals certain opportunities based on their membership in disadvantaged groups.</w:t>
      </w:r>
    </w:p>
    <w:p w14:paraId="43DFC7E5" w14:textId="7ACBDEBC" w:rsidR="00DF6BC2" w:rsidRPr="009F38E3" w:rsidRDefault="00226F8F" w:rsidP="00965D37">
      <w:pPr>
        <w:pStyle w:val="Heading2"/>
        <w:ind w:left="360"/>
      </w:pPr>
      <w:bookmarkStart w:id="227" w:name="_Toc189739377"/>
      <w:r>
        <w:t>3.8.2</w:t>
      </w:r>
      <w:r w:rsidR="00DF6BC2" w:rsidRPr="009F38E3">
        <w:t>.1 Harmse v City of Cape Town (2003) 24 ILJ 1130</w:t>
      </w:r>
      <w:bookmarkEnd w:id="227"/>
    </w:p>
    <w:p w14:paraId="7B04653E" w14:textId="77777777" w:rsidR="00DF6BC2" w:rsidRPr="009F38E3" w:rsidRDefault="00DF6BC2" w:rsidP="00DF6BC2">
      <w:pPr>
        <w:spacing w:line="360" w:lineRule="auto"/>
        <w:jc w:val="both"/>
        <w:rPr>
          <w:rFonts w:ascii="Times New Roman" w:eastAsia="Times New Roman" w:hAnsi="Times New Roman" w:cs="Times New Roman"/>
          <w:kern w:val="0"/>
          <w:sz w:val="24"/>
          <w:szCs w:val="24"/>
          <w:lang w:eastAsia="en-ZA"/>
          <w14:ligatures w14:val="none"/>
        </w:rPr>
      </w:pPr>
      <w:r w:rsidRPr="009F38E3">
        <w:rPr>
          <w:rFonts w:ascii="Arial" w:hAnsi="Arial" w:cs="Arial"/>
          <w:sz w:val="24"/>
          <w:szCs w:val="24"/>
        </w:rPr>
        <w:t xml:space="preserve">The Labour Court tackled the controversial question of whether affirmative action is a right for members of specific groups under the </w:t>
      </w:r>
      <w:r w:rsidRPr="009F38E3">
        <w:rPr>
          <w:rFonts w:ascii="Arial" w:hAnsi="Arial" w:cs="Arial"/>
          <w:i/>
          <w:iCs/>
          <w:sz w:val="24"/>
          <w:szCs w:val="24"/>
        </w:rPr>
        <w:t>EEA</w:t>
      </w:r>
      <w:r w:rsidRPr="009F38E3">
        <w:rPr>
          <w:rFonts w:ascii="Arial" w:hAnsi="Arial" w:cs="Arial"/>
          <w:sz w:val="24"/>
          <w:szCs w:val="24"/>
        </w:rPr>
        <w:t xml:space="preserve"> in the case of </w:t>
      </w:r>
      <w:r w:rsidRPr="009F38E3">
        <w:rPr>
          <w:rFonts w:ascii="Arial" w:hAnsi="Arial" w:cs="Arial"/>
          <w:i/>
          <w:iCs/>
          <w:sz w:val="24"/>
          <w:szCs w:val="24"/>
        </w:rPr>
        <w:t>Harmse v City of Cape Town</w:t>
      </w:r>
      <w:r w:rsidRPr="009F38E3">
        <w:rPr>
          <w:rFonts w:ascii="Arial" w:hAnsi="Arial" w:cs="Arial"/>
          <w:sz w:val="24"/>
          <w:szCs w:val="24"/>
        </w:rPr>
        <w:t>. The applicant claimed that the respondent had violated the EEA, specifically section 6, which forbids unjust discrimination, by failing to shortlist him for three posts for which he sought.</w:t>
      </w:r>
      <w:r w:rsidRPr="009F38E3">
        <w:rPr>
          <w:rFonts w:ascii="Arial" w:hAnsi="Arial" w:cs="Arial"/>
          <w:sz w:val="24"/>
          <w:szCs w:val="24"/>
          <w:vertAlign w:val="superscript"/>
        </w:rPr>
        <w:footnoteReference w:id="441"/>
      </w:r>
      <w:r w:rsidRPr="009F38E3">
        <w:rPr>
          <w:rFonts w:ascii="Arial" w:hAnsi="Arial" w:cs="Arial"/>
          <w:sz w:val="24"/>
          <w:szCs w:val="24"/>
        </w:rPr>
        <w:t xml:space="preserve"> Sections 20(3)</w:t>
      </w:r>
      <w:proofErr w:type="gramStart"/>
      <w:r w:rsidRPr="009F38E3">
        <w:rPr>
          <w:rFonts w:ascii="Arial" w:hAnsi="Arial" w:cs="Arial"/>
          <w:sz w:val="24"/>
          <w:szCs w:val="24"/>
        </w:rPr>
        <w:t>–(</w:t>
      </w:r>
      <w:proofErr w:type="gramEnd"/>
      <w:r w:rsidRPr="009F38E3">
        <w:rPr>
          <w:rFonts w:ascii="Arial" w:hAnsi="Arial" w:cs="Arial"/>
          <w:sz w:val="24"/>
          <w:szCs w:val="24"/>
        </w:rPr>
        <w:t xml:space="preserve">5) of the </w:t>
      </w:r>
      <w:r w:rsidRPr="009F38E3">
        <w:rPr>
          <w:rFonts w:ascii="Arial" w:hAnsi="Arial" w:cs="Arial"/>
          <w:i/>
          <w:iCs/>
          <w:sz w:val="24"/>
          <w:szCs w:val="24"/>
        </w:rPr>
        <w:t>EEA</w:t>
      </w:r>
      <w:r w:rsidRPr="009F38E3">
        <w:rPr>
          <w:rFonts w:ascii="Arial" w:hAnsi="Arial" w:cs="Arial"/>
          <w:sz w:val="24"/>
          <w:szCs w:val="24"/>
        </w:rPr>
        <w:t xml:space="preserve">, which provide a thorough framework for assessing whether an applicant is "suitably qualified" for a position, were given prominence by the court as being of extreme significance. In accordance herewith, employers are required by legislation to evaluate applicants in their entirety, </w:t>
      </w:r>
      <w:proofErr w:type="gramStart"/>
      <w:r w:rsidRPr="009F38E3">
        <w:rPr>
          <w:rFonts w:ascii="Arial" w:hAnsi="Arial" w:cs="Arial"/>
          <w:sz w:val="24"/>
          <w:szCs w:val="24"/>
        </w:rPr>
        <w:t>taking into account</w:t>
      </w:r>
      <w:proofErr w:type="gramEnd"/>
      <w:r w:rsidRPr="009F38E3">
        <w:rPr>
          <w:rFonts w:ascii="Arial" w:hAnsi="Arial" w:cs="Arial"/>
          <w:sz w:val="24"/>
          <w:szCs w:val="24"/>
        </w:rPr>
        <w:t xml:space="preserve"> a number of characteristics other than just formal qualifications.</w:t>
      </w:r>
      <w:r w:rsidRPr="009F38E3">
        <w:rPr>
          <w:rFonts w:ascii="Arial" w:hAnsi="Arial" w:cs="Arial"/>
          <w:sz w:val="24"/>
          <w:szCs w:val="24"/>
          <w:vertAlign w:val="superscript"/>
        </w:rPr>
        <w:footnoteReference w:id="442"/>
      </w:r>
      <w:r w:rsidRPr="009F38E3">
        <w:rPr>
          <w:rFonts w:ascii="Arial" w:hAnsi="Arial" w:cs="Arial"/>
          <w:sz w:val="24"/>
          <w:szCs w:val="24"/>
        </w:rPr>
        <w:t xml:space="preserve"> Formal qualifications, past learning, relevant experience, or the ability to execute the work with the right training can all be used to determine whether a person is appropriately qualified, according to section 20(3). This extensive approach was adopted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prevent candidates from historically underrepresented groups from being unfairly disqualified because of strict or capricious qualifying requirements.</w:t>
      </w:r>
      <w:r w:rsidRPr="009F38E3">
        <w:rPr>
          <w:rFonts w:ascii="Arial" w:hAnsi="Arial" w:cs="Arial"/>
          <w:sz w:val="24"/>
          <w:szCs w:val="24"/>
          <w:vertAlign w:val="superscript"/>
        </w:rPr>
        <w:footnoteReference w:id="443"/>
      </w:r>
      <w:r w:rsidRPr="009F38E3">
        <w:rPr>
          <w:rFonts w:ascii="Times New Roman" w:eastAsia="Times New Roman" w:hAnsi="Times New Roman" w:cs="Times New Roman"/>
          <w:kern w:val="0"/>
          <w:sz w:val="24"/>
          <w:szCs w:val="24"/>
          <w:lang w:eastAsia="en-ZA"/>
          <w14:ligatures w14:val="none"/>
        </w:rPr>
        <w:t xml:space="preserve"> </w:t>
      </w:r>
    </w:p>
    <w:p w14:paraId="72ACFF8B"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Furthermore, while determining whether an applicant is appropriately qualified, section 20(4) requires employers to </w:t>
      </w:r>
      <w:proofErr w:type="gramStart"/>
      <w:r w:rsidRPr="009F38E3">
        <w:rPr>
          <w:rFonts w:ascii="Arial" w:hAnsi="Arial" w:cs="Arial"/>
          <w:sz w:val="24"/>
          <w:szCs w:val="24"/>
        </w:rPr>
        <w:t>take into account</w:t>
      </w:r>
      <w:proofErr w:type="gramEnd"/>
      <w:r w:rsidRPr="009F38E3">
        <w:rPr>
          <w:rFonts w:ascii="Arial" w:hAnsi="Arial" w:cs="Arial"/>
          <w:sz w:val="24"/>
          <w:szCs w:val="24"/>
        </w:rPr>
        <w:t xml:space="preserve"> all pertinent circumstances, including the potential for training or development. This section highlights the growth-oriented responsibilities of employers by compelling them to determine if it is feasible to provide </w:t>
      </w:r>
      <w:r w:rsidRPr="009F38E3">
        <w:rPr>
          <w:rFonts w:ascii="Arial" w:hAnsi="Arial" w:cs="Arial"/>
          <w:sz w:val="24"/>
          <w:szCs w:val="24"/>
        </w:rPr>
        <w:lastRenderedPageBreak/>
        <w:t>candidates with the expertise that are required to succeed in the performance of their duties.</w:t>
      </w:r>
      <w:r w:rsidRPr="009F38E3">
        <w:rPr>
          <w:rFonts w:ascii="Arial" w:hAnsi="Arial" w:cs="Arial"/>
          <w:sz w:val="24"/>
          <w:szCs w:val="24"/>
          <w:vertAlign w:val="superscript"/>
        </w:rPr>
        <w:footnoteReference w:id="444"/>
      </w:r>
      <w:r w:rsidRPr="009F38E3">
        <w:rPr>
          <w:rFonts w:ascii="Arial" w:hAnsi="Arial" w:cs="Arial"/>
          <w:sz w:val="24"/>
          <w:szCs w:val="24"/>
        </w:rPr>
        <w:t xml:space="preserve"> This is further strengthened by section 20(5), which forbids choices based on qualifications that unfairly discriminate, especially where those decisions are based on capricious restrictions that disproportionately exclude members of specified categories.</w:t>
      </w:r>
      <w:r w:rsidRPr="009F38E3">
        <w:rPr>
          <w:rFonts w:ascii="Arial" w:hAnsi="Arial" w:cs="Arial"/>
          <w:sz w:val="24"/>
          <w:szCs w:val="24"/>
          <w:vertAlign w:val="superscript"/>
        </w:rPr>
        <w:footnoteReference w:id="445"/>
      </w:r>
      <w:r w:rsidRPr="009F38E3">
        <w:rPr>
          <w:rFonts w:ascii="Arial" w:hAnsi="Arial" w:cs="Arial"/>
          <w:sz w:val="24"/>
          <w:szCs w:val="24"/>
        </w:rPr>
        <w:t xml:space="preserve"> </w:t>
      </w:r>
    </w:p>
    <w:p w14:paraId="71D479CB"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This applicant's inadequate broad-based management competence and strategic management experience was referenced by the respondent as justification for not shortlisting him.</w:t>
      </w:r>
      <w:r w:rsidRPr="009F38E3">
        <w:rPr>
          <w:rFonts w:ascii="Arial" w:hAnsi="Arial" w:cs="Arial"/>
          <w:sz w:val="24"/>
          <w:szCs w:val="24"/>
          <w:vertAlign w:val="superscript"/>
        </w:rPr>
        <w:footnoteReference w:id="446"/>
      </w:r>
      <w:r w:rsidRPr="009F38E3">
        <w:rPr>
          <w:rFonts w:ascii="Arial" w:hAnsi="Arial" w:cs="Arial"/>
          <w:sz w:val="24"/>
          <w:szCs w:val="24"/>
        </w:rPr>
        <w:t xml:space="preserve"> The court emphasized that the respondent was compelled by section 20(4) to evaluate whether the applicant's abilities, with sufficient training, could fulfil the demands of the position. It became apparent that the respondent could have wrongfully complied with affirmative action requirements because of their disproportionate emphasis on prior achievements, which did not take into consideration the </w:t>
      </w:r>
      <w:r w:rsidRPr="009F38E3">
        <w:rPr>
          <w:rFonts w:ascii="Arial" w:hAnsi="Arial" w:cs="Arial"/>
          <w:i/>
          <w:iCs/>
          <w:sz w:val="24"/>
          <w:szCs w:val="24"/>
        </w:rPr>
        <w:t>EEA</w:t>
      </w:r>
      <w:r w:rsidRPr="009F38E3">
        <w:rPr>
          <w:rFonts w:ascii="Arial" w:hAnsi="Arial" w:cs="Arial"/>
          <w:sz w:val="24"/>
          <w:szCs w:val="24"/>
        </w:rPr>
        <w:t>'s requirements for development.</w:t>
      </w:r>
      <w:r w:rsidRPr="009F38E3">
        <w:rPr>
          <w:rFonts w:ascii="Arial" w:hAnsi="Arial" w:cs="Arial"/>
          <w:sz w:val="24"/>
          <w:szCs w:val="24"/>
          <w:vertAlign w:val="superscript"/>
        </w:rPr>
        <w:footnoteReference w:id="447"/>
      </w:r>
      <w:r w:rsidRPr="009F38E3">
        <w:rPr>
          <w:rFonts w:ascii="Arial" w:hAnsi="Arial" w:cs="Arial"/>
          <w:sz w:val="24"/>
          <w:szCs w:val="24"/>
        </w:rPr>
        <w:t xml:space="preserve"> </w:t>
      </w:r>
    </w:p>
    <w:p w14:paraId="7F515C26"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Affirmative action was viewed by the court as both a proactive duty placed on employers to promote equality and a defensive measure against allegations of unjust discrimination. Although affirmative action can be used as a defence against allegations of reverse discrimination, it additionally demands of employers to take proactive measures to eradicate discrimination and advance fair representation of specific groups. The </w:t>
      </w:r>
      <w:r w:rsidRPr="009F38E3">
        <w:rPr>
          <w:rFonts w:ascii="Arial" w:hAnsi="Arial" w:cs="Arial"/>
          <w:i/>
          <w:iCs/>
          <w:sz w:val="24"/>
          <w:szCs w:val="24"/>
        </w:rPr>
        <w:t>Constitution</w:t>
      </w:r>
      <w:r w:rsidRPr="009F38E3">
        <w:rPr>
          <w:rFonts w:ascii="Arial" w:hAnsi="Arial" w:cs="Arial"/>
          <w:sz w:val="24"/>
          <w:szCs w:val="24"/>
        </w:rPr>
        <w:t xml:space="preserve"> and the </w:t>
      </w:r>
      <w:r w:rsidRPr="009F38E3">
        <w:rPr>
          <w:rFonts w:ascii="Arial" w:hAnsi="Arial" w:cs="Arial"/>
          <w:i/>
          <w:iCs/>
          <w:sz w:val="24"/>
          <w:szCs w:val="24"/>
        </w:rPr>
        <w:t>EEA</w:t>
      </w:r>
      <w:r w:rsidRPr="009F38E3">
        <w:rPr>
          <w:rFonts w:ascii="Arial" w:hAnsi="Arial" w:cs="Arial"/>
          <w:sz w:val="24"/>
          <w:szCs w:val="24"/>
        </w:rPr>
        <w:t xml:space="preserve"> both support this dual position. Affirmative action is a constitutional requirement as opposed to a mere subjective practice.</w:t>
      </w:r>
      <w:r w:rsidRPr="009F38E3">
        <w:rPr>
          <w:rFonts w:ascii="Arial" w:hAnsi="Arial" w:cs="Arial"/>
          <w:sz w:val="24"/>
          <w:szCs w:val="24"/>
          <w:vertAlign w:val="superscript"/>
        </w:rPr>
        <w:footnoteReference w:id="448"/>
      </w:r>
    </w:p>
    <w:p w14:paraId="6F49244C" w14:textId="6D9727A6"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According to the court's deductive reasoning in the </w:t>
      </w:r>
      <w:r w:rsidRPr="009F38E3">
        <w:rPr>
          <w:rFonts w:ascii="Arial" w:hAnsi="Arial" w:cs="Arial"/>
          <w:i/>
          <w:iCs/>
          <w:sz w:val="24"/>
          <w:szCs w:val="24"/>
        </w:rPr>
        <w:t>Harmse</w:t>
      </w:r>
      <w:r w:rsidRPr="009F38E3">
        <w:rPr>
          <w:rFonts w:ascii="Arial" w:hAnsi="Arial" w:cs="Arial"/>
          <w:sz w:val="24"/>
          <w:szCs w:val="24"/>
        </w:rPr>
        <w:t xml:space="preserve"> case, affirmative action does grant members of specific groups rights. In addition to section 20(3)</w:t>
      </w:r>
      <w:r w:rsidR="00BC0FF1" w:rsidRPr="009F38E3">
        <w:rPr>
          <w:rFonts w:ascii="Arial" w:hAnsi="Arial" w:cs="Arial"/>
          <w:sz w:val="24"/>
          <w:szCs w:val="24"/>
        </w:rPr>
        <w:t>– (</w:t>
      </w:r>
      <w:r w:rsidRPr="009F38E3">
        <w:rPr>
          <w:rFonts w:ascii="Arial" w:hAnsi="Arial" w:cs="Arial"/>
          <w:sz w:val="24"/>
          <w:szCs w:val="24"/>
        </w:rPr>
        <w:t xml:space="preserve">5), the larger goals of the </w:t>
      </w:r>
      <w:r w:rsidRPr="009F38E3">
        <w:rPr>
          <w:rFonts w:ascii="Arial" w:hAnsi="Arial" w:cs="Arial"/>
          <w:i/>
          <w:iCs/>
          <w:sz w:val="24"/>
          <w:szCs w:val="24"/>
        </w:rPr>
        <w:t>EEA</w:t>
      </w:r>
      <w:r w:rsidRPr="009F38E3">
        <w:rPr>
          <w:rFonts w:ascii="Arial" w:hAnsi="Arial" w:cs="Arial"/>
          <w:sz w:val="24"/>
          <w:szCs w:val="24"/>
        </w:rPr>
        <w:t xml:space="preserve"> and the </w:t>
      </w:r>
      <w:r w:rsidRPr="009F38E3">
        <w:rPr>
          <w:rFonts w:ascii="Arial" w:hAnsi="Arial" w:cs="Arial"/>
          <w:i/>
          <w:iCs/>
          <w:sz w:val="24"/>
          <w:szCs w:val="24"/>
        </w:rPr>
        <w:t>Constitution</w:t>
      </w:r>
      <w:r w:rsidRPr="009F38E3">
        <w:rPr>
          <w:rFonts w:ascii="Arial" w:hAnsi="Arial" w:cs="Arial"/>
          <w:sz w:val="24"/>
          <w:szCs w:val="24"/>
        </w:rPr>
        <w:t xml:space="preserve"> also give conception to this entitlement.</w:t>
      </w:r>
      <w:r w:rsidRPr="009F38E3">
        <w:rPr>
          <w:rFonts w:ascii="Arial" w:hAnsi="Arial" w:cs="Arial"/>
          <w:sz w:val="24"/>
          <w:szCs w:val="24"/>
          <w:vertAlign w:val="superscript"/>
        </w:rPr>
        <w:footnoteReference w:id="449"/>
      </w:r>
      <w:r w:rsidRPr="009F38E3">
        <w:rPr>
          <w:rFonts w:ascii="Arial" w:hAnsi="Arial" w:cs="Arial"/>
          <w:sz w:val="24"/>
          <w:szCs w:val="24"/>
        </w:rPr>
        <w:t xml:space="preserve"> Therefore, in order to address historical injustices and advance equality, affirmative action is both a constitutional and statutory right and the specific parameters or extent of such a right will need to be determined based on the particular facts of each case.</w:t>
      </w:r>
      <w:r w:rsidRPr="009F38E3">
        <w:rPr>
          <w:rFonts w:ascii="Arial" w:hAnsi="Arial" w:cs="Arial"/>
          <w:sz w:val="24"/>
          <w:szCs w:val="24"/>
          <w:vertAlign w:val="superscript"/>
        </w:rPr>
        <w:footnoteReference w:id="450"/>
      </w:r>
      <w:r w:rsidRPr="009F38E3">
        <w:rPr>
          <w:rFonts w:ascii="Arial" w:hAnsi="Arial" w:cs="Arial"/>
          <w:sz w:val="24"/>
          <w:szCs w:val="24"/>
        </w:rPr>
        <w:t xml:space="preserve"> </w:t>
      </w:r>
    </w:p>
    <w:p w14:paraId="6402799C" w14:textId="4F379CCF" w:rsidR="00DF6BC2" w:rsidRPr="009F38E3" w:rsidRDefault="00226F8F" w:rsidP="00965D37">
      <w:pPr>
        <w:pStyle w:val="Heading2"/>
        <w:ind w:left="981" w:hanging="624"/>
      </w:pPr>
      <w:bookmarkStart w:id="228" w:name="_Hlk183713648"/>
      <w:bookmarkStart w:id="229" w:name="_Toc189739378"/>
      <w:r>
        <w:lastRenderedPageBreak/>
        <w:t>3.8</w:t>
      </w:r>
      <w:r w:rsidR="00DF6BC2" w:rsidRPr="009F38E3">
        <w:t>.2</w:t>
      </w:r>
      <w:r>
        <w:t>.2</w:t>
      </w:r>
      <w:r w:rsidR="00DF6BC2" w:rsidRPr="009F38E3">
        <w:t xml:space="preserve"> Minister of Finance and Other v Van Heerden (CCT 63/03) [2004] ZACC 3</w:t>
      </w:r>
      <w:bookmarkEnd w:id="229"/>
    </w:p>
    <w:bookmarkEnd w:id="228"/>
    <w:p w14:paraId="4E003534"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Constitutional Court adjudicated a landmark ruling in </w:t>
      </w:r>
      <w:r w:rsidRPr="009F38E3">
        <w:rPr>
          <w:rFonts w:ascii="Arial" w:hAnsi="Arial" w:cs="Arial"/>
          <w:i/>
          <w:iCs/>
          <w:sz w:val="24"/>
          <w:szCs w:val="24"/>
        </w:rPr>
        <w:t>Minister of Finance v Van Heerden</w:t>
      </w:r>
      <w:r w:rsidRPr="009F38E3">
        <w:rPr>
          <w:rFonts w:ascii="Arial" w:hAnsi="Arial" w:cs="Arial"/>
          <w:sz w:val="24"/>
          <w:szCs w:val="24"/>
        </w:rPr>
        <w:t xml:space="preserve"> that articulated the conceptual framework of affirmative action under section 9(2) of the </w:t>
      </w:r>
      <w:r w:rsidRPr="009F38E3">
        <w:rPr>
          <w:rFonts w:ascii="Arial" w:hAnsi="Arial" w:cs="Arial"/>
          <w:i/>
          <w:iCs/>
          <w:sz w:val="24"/>
          <w:szCs w:val="24"/>
        </w:rPr>
        <w:t>Constitution</w:t>
      </w:r>
      <w:r w:rsidRPr="009F38E3">
        <w:rPr>
          <w:rFonts w:ascii="Arial" w:hAnsi="Arial" w:cs="Arial"/>
          <w:sz w:val="24"/>
          <w:szCs w:val="24"/>
        </w:rPr>
        <w:t>. At the forefront of the ruling was the inquiry regarding whether affirmative action established legally binding individual privileges, whether it exists as a collective entitlement, or rather an administrative instrument dependent on larger democratic objectives.</w:t>
      </w:r>
    </w:p>
    <w:p w14:paraId="7905FC6E"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A three-pronged approach to establish whether a measure qualifies as affirmative action under section 9(2) was outlined by Justice Moseneke in her majority opinion. The court observed that it was not every new member who was classified as a previously disadvantaged person. It was underlined, therefore, that measurements do not have to be precise, but rather, their validity is determined by their overall influence rather than by inconsistencies or exceptions.</w:t>
      </w:r>
      <w:r w:rsidRPr="009F38E3">
        <w:rPr>
          <w:rFonts w:ascii="Arial" w:hAnsi="Arial" w:cs="Arial"/>
          <w:sz w:val="24"/>
          <w:szCs w:val="24"/>
          <w:vertAlign w:val="superscript"/>
        </w:rPr>
        <w:footnoteReference w:id="451"/>
      </w:r>
      <w:r w:rsidRPr="009F38E3">
        <w:rPr>
          <w:rFonts w:ascii="Arial" w:hAnsi="Arial" w:cs="Arial"/>
          <w:sz w:val="24"/>
          <w:szCs w:val="24"/>
        </w:rPr>
        <w:t xml:space="preserve"> In order to address the pension differences between new members of Parliament and their predecessors, the court stressed that the differentiated contributions had not been arbitrarily drawn but rather thoroughly structured. The court further stated that the High Court made an error in adopting a "necessity" evaluation, which required the applicants to prove that the measures were essential for the attainment of equality.  Justice Moseneke explained that section 9(2) merely required that measures be substantially capable of achieving their stated objective.</w:t>
      </w:r>
      <w:r w:rsidRPr="009F38E3">
        <w:rPr>
          <w:rFonts w:ascii="Arial" w:hAnsi="Arial" w:cs="Arial"/>
          <w:sz w:val="24"/>
          <w:szCs w:val="24"/>
          <w:vertAlign w:val="superscript"/>
        </w:rPr>
        <w:footnoteReference w:id="452"/>
      </w:r>
      <w:r w:rsidRPr="009F38E3">
        <w:rPr>
          <w:rFonts w:ascii="Arial" w:hAnsi="Arial" w:cs="Arial"/>
          <w:sz w:val="24"/>
          <w:szCs w:val="24"/>
        </w:rPr>
        <w:t xml:space="preserve"> Justice Moseneke further emphasized that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attain equity, previously advantaged groups are frequently required to make concessions due to the inherently redistributive and transformative nature of affirmative action. In this instance, the various contributions narrowed the disparity between privileged and underprivileged groups, thus, achieving the constitutional goal of advancing equality.</w:t>
      </w:r>
      <w:r w:rsidRPr="009F38E3">
        <w:rPr>
          <w:rFonts w:ascii="Arial" w:hAnsi="Arial" w:cs="Arial"/>
          <w:sz w:val="24"/>
          <w:szCs w:val="24"/>
          <w:vertAlign w:val="superscript"/>
        </w:rPr>
        <w:footnoteReference w:id="453"/>
      </w:r>
    </w:p>
    <w:p w14:paraId="75B2016B"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ensuing ruling offered significant new perspectives regarding how affirmative action should be conceived, thus, addressing the issue of whether it establishes individual rights, functions as a collective right, or nevertheless remains a tool of </w:t>
      </w:r>
      <w:r w:rsidRPr="009F38E3">
        <w:rPr>
          <w:rFonts w:ascii="Arial" w:hAnsi="Arial" w:cs="Arial"/>
          <w:sz w:val="24"/>
          <w:szCs w:val="24"/>
        </w:rPr>
        <w:lastRenderedPageBreak/>
        <w:t>discretionary governance. The court upheld that the primary function of affirmative action is to advance historically underprivileged groups as a collective right.</w:t>
      </w:r>
      <w:r w:rsidRPr="009F38E3">
        <w:rPr>
          <w:rFonts w:ascii="Arial" w:hAnsi="Arial" w:cs="Arial"/>
          <w:sz w:val="24"/>
          <w:szCs w:val="24"/>
          <w:vertAlign w:val="superscript"/>
        </w:rPr>
        <w:footnoteReference w:id="454"/>
      </w:r>
      <w:r w:rsidRPr="009F38E3">
        <w:rPr>
          <w:rFonts w:ascii="Arial" w:hAnsi="Arial" w:cs="Arial"/>
          <w:sz w:val="24"/>
          <w:szCs w:val="24"/>
        </w:rPr>
        <w:t xml:space="preserve"> </w:t>
      </w:r>
    </w:p>
    <w:p w14:paraId="48ED50A5"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In summarizing section 9(2), the court acknowledged the systemic aspect of apartheid-era discrimination, which favoured groups over individuals and allocated benefits or disadvantages based on group membership rather than individual circumstances.</w:t>
      </w:r>
      <w:r w:rsidRPr="009F38E3">
        <w:rPr>
          <w:rFonts w:ascii="Arial" w:hAnsi="Arial" w:cs="Arial"/>
          <w:sz w:val="24"/>
          <w:szCs w:val="24"/>
          <w:vertAlign w:val="superscript"/>
        </w:rPr>
        <w:footnoteReference w:id="455"/>
      </w:r>
      <w:r w:rsidRPr="009F38E3">
        <w:rPr>
          <w:rFonts w:ascii="Arial" w:hAnsi="Arial" w:cs="Arial"/>
          <w:sz w:val="24"/>
          <w:szCs w:val="24"/>
        </w:rPr>
        <w:t xml:space="preserve"> section 9(2) empowers actions targeted to improve entire categories of underprivileged individuals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address this. This suggests that people are prioritized and preferred by belonging to a group that has traditionally been the subject of unfair practices rather than from demonstrating personal experiences of discrimination and as such the state does not need to show that each beneficiary has suffered personal injury.</w:t>
      </w:r>
      <w:r w:rsidRPr="009F38E3">
        <w:rPr>
          <w:rFonts w:ascii="Arial" w:hAnsi="Arial" w:cs="Arial"/>
          <w:sz w:val="24"/>
          <w:szCs w:val="24"/>
          <w:vertAlign w:val="superscript"/>
        </w:rPr>
        <w:footnoteReference w:id="456"/>
      </w:r>
    </w:p>
    <w:p w14:paraId="533B9DA3"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While the </w:t>
      </w:r>
      <w:r w:rsidRPr="009F38E3">
        <w:rPr>
          <w:rFonts w:ascii="Arial" w:hAnsi="Arial" w:cs="Arial"/>
          <w:i/>
          <w:iCs/>
          <w:sz w:val="24"/>
          <w:szCs w:val="24"/>
        </w:rPr>
        <w:t>Van Heerden</w:t>
      </w:r>
      <w:r w:rsidRPr="009F38E3">
        <w:rPr>
          <w:rFonts w:ascii="Arial" w:hAnsi="Arial" w:cs="Arial"/>
          <w:sz w:val="24"/>
          <w:szCs w:val="24"/>
        </w:rPr>
        <w:t xml:space="preserve"> judgment clarified the nature and objective of affirmative action, it left some questions unresolved such as </w:t>
      </w:r>
      <w:proofErr w:type="gramStart"/>
      <w:r w:rsidRPr="009F38E3">
        <w:rPr>
          <w:rFonts w:ascii="Arial" w:hAnsi="Arial" w:cs="Arial"/>
          <w:sz w:val="24"/>
          <w:szCs w:val="24"/>
        </w:rPr>
        <w:t>whether or not</w:t>
      </w:r>
      <w:proofErr w:type="gramEnd"/>
      <w:r w:rsidRPr="009F38E3">
        <w:rPr>
          <w:rFonts w:ascii="Arial" w:hAnsi="Arial" w:cs="Arial"/>
          <w:sz w:val="24"/>
          <w:szCs w:val="24"/>
        </w:rPr>
        <w:t xml:space="preserve"> individuals within disadvantaged groups can claim specific benefits. Nevertheless, the court affirmed that affirmative action measures are tools to achieve substantive equality, prioritizing the collective advancement of disadvantaged groups. </w:t>
      </w:r>
    </w:p>
    <w:p w14:paraId="311B4BEF" w14:textId="2756F1DB" w:rsidR="00DF6BC2" w:rsidRPr="009F38E3" w:rsidRDefault="00226F8F" w:rsidP="00965D37">
      <w:pPr>
        <w:pStyle w:val="Heading2"/>
        <w:ind w:left="360"/>
      </w:pPr>
      <w:bookmarkStart w:id="230" w:name="_Toc189739379"/>
      <w:r>
        <w:t>3.8.2.</w:t>
      </w:r>
      <w:r w:rsidR="00DF6BC2" w:rsidRPr="009F38E3">
        <w:t>3 Dudley v City of Cape Town and Another (CA 1/05) [2008] ZALAC 10</w:t>
      </w:r>
      <w:bookmarkEnd w:id="230"/>
    </w:p>
    <w:p w14:paraId="7F3CE1DE"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Another significant turning point in South African labour law was the case of </w:t>
      </w:r>
      <w:r w:rsidRPr="009F38E3">
        <w:rPr>
          <w:rFonts w:ascii="Arial" w:hAnsi="Arial" w:cs="Arial"/>
          <w:i/>
          <w:iCs/>
          <w:sz w:val="24"/>
          <w:szCs w:val="24"/>
        </w:rPr>
        <w:t>Dudley v City of Cape Town</w:t>
      </w:r>
      <w:r w:rsidRPr="009F38E3">
        <w:rPr>
          <w:rFonts w:ascii="Arial" w:hAnsi="Arial" w:cs="Arial"/>
          <w:sz w:val="24"/>
          <w:szCs w:val="24"/>
        </w:rPr>
        <w:t xml:space="preserve">, which addressed whether affirmative action under the </w:t>
      </w:r>
      <w:r w:rsidRPr="009F38E3">
        <w:rPr>
          <w:rFonts w:ascii="Arial" w:hAnsi="Arial" w:cs="Arial"/>
          <w:i/>
          <w:iCs/>
          <w:sz w:val="24"/>
          <w:szCs w:val="24"/>
        </w:rPr>
        <w:t>EEA</w:t>
      </w:r>
      <w:r w:rsidRPr="009F38E3">
        <w:rPr>
          <w:rFonts w:ascii="Arial" w:hAnsi="Arial" w:cs="Arial"/>
          <w:sz w:val="24"/>
          <w:szCs w:val="24"/>
        </w:rPr>
        <w:t xml:space="preserve"> establishes enforceable individual or collective rights or serves just </w:t>
      </w:r>
      <w:proofErr w:type="gramStart"/>
      <w:r w:rsidRPr="009F38E3">
        <w:rPr>
          <w:rFonts w:ascii="Arial" w:hAnsi="Arial" w:cs="Arial"/>
          <w:sz w:val="24"/>
          <w:szCs w:val="24"/>
        </w:rPr>
        <w:t>as a means to</w:t>
      </w:r>
      <w:proofErr w:type="gramEnd"/>
      <w:r w:rsidRPr="009F38E3">
        <w:rPr>
          <w:rFonts w:ascii="Arial" w:hAnsi="Arial" w:cs="Arial"/>
          <w:sz w:val="24"/>
          <w:szCs w:val="24"/>
        </w:rPr>
        <w:t xml:space="preserve"> enforce organizational conformance. The case brought up important issues about the definition and implementation of affirmative action duties as well as the initiative's larger function in resolving structural injustice. The two primary issues that the </w:t>
      </w:r>
      <w:r w:rsidRPr="009F38E3">
        <w:rPr>
          <w:rFonts w:ascii="Arial" w:hAnsi="Arial" w:cs="Arial"/>
          <w:i/>
          <w:iCs/>
          <w:sz w:val="24"/>
          <w:szCs w:val="24"/>
        </w:rPr>
        <w:t>Labour Appeal Court (</w:t>
      </w:r>
      <w:r w:rsidRPr="009F38E3">
        <w:rPr>
          <w:rFonts w:ascii="Arial" w:hAnsi="Arial" w:cs="Arial"/>
          <w:sz w:val="24"/>
          <w:szCs w:val="24"/>
        </w:rPr>
        <w:t xml:space="preserve">hereinafter referred to as the </w:t>
      </w:r>
      <w:r w:rsidRPr="009F38E3">
        <w:rPr>
          <w:rFonts w:ascii="Arial" w:hAnsi="Arial" w:cs="Arial"/>
          <w:i/>
          <w:iCs/>
          <w:sz w:val="24"/>
          <w:szCs w:val="24"/>
        </w:rPr>
        <w:t>LAC)</w:t>
      </w:r>
      <w:r w:rsidRPr="009F38E3">
        <w:rPr>
          <w:rFonts w:ascii="Arial" w:hAnsi="Arial" w:cs="Arial"/>
          <w:sz w:val="24"/>
          <w:szCs w:val="24"/>
        </w:rPr>
        <w:t xml:space="preserve"> had to determine were whether affirmative action under Chapter III of the </w:t>
      </w:r>
      <w:r w:rsidRPr="009F38E3">
        <w:rPr>
          <w:rFonts w:ascii="Arial" w:hAnsi="Arial" w:cs="Arial"/>
          <w:i/>
          <w:iCs/>
          <w:sz w:val="24"/>
          <w:szCs w:val="24"/>
        </w:rPr>
        <w:t>EEA</w:t>
      </w:r>
      <w:r w:rsidRPr="009F38E3">
        <w:rPr>
          <w:rFonts w:ascii="Arial" w:hAnsi="Arial" w:cs="Arial"/>
          <w:sz w:val="24"/>
          <w:szCs w:val="24"/>
        </w:rPr>
        <w:t xml:space="preserve"> accords enforceable individual rights and whether employers can be held directly liable in court for alleged non-compliance with affirmative action obligations without utilizing </w:t>
      </w:r>
      <w:proofErr w:type="gramStart"/>
      <w:r w:rsidRPr="009F38E3">
        <w:rPr>
          <w:rFonts w:ascii="Arial" w:hAnsi="Arial" w:cs="Arial"/>
          <w:sz w:val="24"/>
          <w:szCs w:val="24"/>
        </w:rPr>
        <w:t>all of</w:t>
      </w:r>
      <w:proofErr w:type="gramEnd"/>
      <w:r w:rsidRPr="009F38E3">
        <w:rPr>
          <w:rFonts w:ascii="Arial" w:hAnsi="Arial" w:cs="Arial"/>
          <w:sz w:val="24"/>
          <w:szCs w:val="24"/>
        </w:rPr>
        <w:t xml:space="preserve"> the </w:t>
      </w:r>
      <w:r w:rsidRPr="009F38E3">
        <w:rPr>
          <w:rFonts w:ascii="Arial" w:hAnsi="Arial" w:cs="Arial"/>
          <w:i/>
          <w:iCs/>
          <w:sz w:val="24"/>
          <w:szCs w:val="24"/>
        </w:rPr>
        <w:t>EEA</w:t>
      </w:r>
      <w:r w:rsidRPr="009F38E3">
        <w:rPr>
          <w:rFonts w:ascii="Arial" w:hAnsi="Arial" w:cs="Arial"/>
          <w:sz w:val="24"/>
          <w:szCs w:val="24"/>
        </w:rPr>
        <w:t xml:space="preserve">'s enforcement tools. </w:t>
      </w:r>
    </w:p>
    <w:p w14:paraId="5DB1FDE1"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 xml:space="preserve">LAC </w:t>
      </w:r>
      <w:r w:rsidRPr="009F38E3">
        <w:rPr>
          <w:rFonts w:ascii="Arial" w:hAnsi="Arial" w:cs="Arial"/>
          <w:sz w:val="24"/>
          <w:szCs w:val="24"/>
        </w:rPr>
        <w:t xml:space="preserve">offered a thorough explanation of the purpose of affirmative action and the structure set up by the </w:t>
      </w:r>
      <w:r w:rsidRPr="009F38E3">
        <w:rPr>
          <w:rFonts w:ascii="Arial" w:hAnsi="Arial" w:cs="Arial"/>
          <w:i/>
          <w:iCs/>
          <w:sz w:val="24"/>
          <w:szCs w:val="24"/>
        </w:rPr>
        <w:t>EEA</w:t>
      </w:r>
      <w:r w:rsidRPr="009F38E3">
        <w:rPr>
          <w:rFonts w:ascii="Arial" w:hAnsi="Arial" w:cs="Arial"/>
          <w:sz w:val="24"/>
          <w:szCs w:val="24"/>
        </w:rPr>
        <w:t xml:space="preserve">. The differentiation between claims for individual </w:t>
      </w:r>
      <w:r w:rsidRPr="009F38E3">
        <w:rPr>
          <w:rFonts w:ascii="Arial" w:hAnsi="Arial" w:cs="Arial"/>
          <w:sz w:val="24"/>
          <w:szCs w:val="24"/>
        </w:rPr>
        <w:lastRenderedPageBreak/>
        <w:t xml:space="preserve">enforcement and the social nature of affirmative action stood at the centre of the ruling. The court underlined that affirmative action, under the </w:t>
      </w:r>
      <w:r w:rsidRPr="009F38E3">
        <w:rPr>
          <w:rFonts w:ascii="Arial" w:hAnsi="Arial" w:cs="Arial"/>
          <w:i/>
          <w:iCs/>
          <w:sz w:val="24"/>
          <w:szCs w:val="24"/>
        </w:rPr>
        <w:t>EEA</w:t>
      </w:r>
      <w:r w:rsidRPr="009F38E3">
        <w:rPr>
          <w:rFonts w:ascii="Arial" w:hAnsi="Arial" w:cs="Arial"/>
          <w:sz w:val="24"/>
          <w:szCs w:val="24"/>
        </w:rPr>
        <w:t>, does not grant individual members particular rights; rather, it benefits designated groups collectively.</w:t>
      </w:r>
      <w:r w:rsidRPr="009F38E3">
        <w:rPr>
          <w:rFonts w:ascii="Arial" w:hAnsi="Arial" w:cs="Arial"/>
          <w:sz w:val="24"/>
          <w:szCs w:val="24"/>
          <w:vertAlign w:val="superscript"/>
        </w:rPr>
        <w:footnoteReference w:id="457"/>
      </w:r>
      <w:r w:rsidRPr="009F38E3">
        <w:rPr>
          <w:rFonts w:ascii="Arial" w:hAnsi="Arial" w:cs="Arial"/>
          <w:sz w:val="24"/>
          <w:szCs w:val="24"/>
        </w:rPr>
        <w:t xml:space="preserve"> In order to address the underrepresentation of historically disadvantaged groups, designated employers are required by section 13(1) of the </w:t>
      </w:r>
      <w:r w:rsidRPr="009F38E3">
        <w:rPr>
          <w:rFonts w:ascii="Arial" w:hAnsi="Arial" w:cs="Arial"/>
          <w:i/>
          <w:iCs/>
          <w:sz w:val="24"/>
          <w:szCs w:val="24"/>
        </w:rPr>
        <w:t>EEA</w:t>
      </w:r>
      <w:r w:rsidRPr="009F38E3">
        <w:rPr>
          <w:rFonts w:ascii="Arial" w:hAnsi="Arial" w:cs="Arial"/>
          <w:sz w:val="24"/>
          <w:szCs w:val="24"/>
        </w:rPr>
        <w:t xml:space="preserve"> to develop affirmative action policies. Under section 20 of the </w:t>
      </w:r>
      <w:r w:rsidRPr="009F38E3">
        <w:rPr>
          <w:rFonts w:ascii="Arial" w:hAnsi="Arial" w:cs="Arial"/>
          <w:i/>
          <w:iCs/>
          <w:sz w:val="24"/>
          <w:szCs w:val="24"/>
        </w:rPr>
        <w:t>EEA</w:t>
      </w:r>
      <w:r w:rsidRPr="009F38E3">
        <w:rPr>
          <w:rFonts w:ascii="Arial" w:hAnsi="Arial" w:cs="Arial"/>
          <w:sz w:val="24"/>
          <w:szCs w:val="24"/>
        </w:rPr>
        <w:t>, this duty is articulated as a systemic necessity and is fulfilled by initiatives like employment equity plans and numerical goals.</w:t>
      </w:r>
    </w:p>
    <w:p w14:paraId="106580E0"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According to the court, even while affirmative action could benefit individuals, this is not an indication that they have an unalienable right to be appointed or promoted.</w:t>
      </w:r>
      <w:r w:rsidRPr="009F38E3">
        <w:rPr>
          <w:rFonts w:ascii="Arial" w:hAnsi="Arial" w:cs="Arial"/>
          <w:sz w:val="24"/>
          <w:szCs w:val="24"/>
          <w:vertAlign w:val="superscript"/>
        </w:rPr>
        <w:footnoteReference w:id="458"/>
      </w:r>
      <w:r w:rsidRPr="009F38E3">
        <w:rPr>
          <w:rFonts w:ascii="Arial" w:hAnsi="Arial" w:cs="Arial"/>
          <w:sz w:val="24"/>
          <w:szCs w:val="24"/>
        </w:rPr>
        <w:t xml:space="preserve"> The goal of affirmative action policies is to ensure fair representation throughout all organizational levels by providing opportunities for members of designated groups collectively. This interpretation is further supported by the fact that Chapter III lacks procedures for individual dispute settlement, in contrast to Chapter II's process for handling accusations of unjust treatment.</w:t>
      </w:r>
      <w:r w:rsidRPr="009F38E3">
        <w:rPr>
          <w:rFonts w:ascii="Arial" w:hAnsi="Arial" w:cs="Arial"/>
          <w:sz w:val="24"/>
          <w:szCs w:val="24"/>
          <w:vertAlign w:val="superscript"/>
        </w:rPr>
        <w:footnoteReference w:id="459"/>
      </w:r>
      <w:r w:rsidRPr="009F38E3">
        <w:rPr>
          <w:rFonts w:ascii="Arial" w:hAnsi="Arial" w:cs="Arial"/>
          <w:sz w:val="24"/>
          <w:szCs w:val="24"/>
        </w:rPr>
        <w:t xml:space="preserve"> </w:t>
      </w:r>
    </w:p>
    <w:p w14:paraId="210DC694"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enforcement of these duties was also discussed by the court. It ruled that employees are unable to directly challenge asserted violations of Chapter III obligations through circumventing the monitoring and compliance procedures outlined in Chapter V. These procedures, which include the Director-General, the </w:t>
      </w:r>
      <w:r w:rsidRPr="009F38E3">
        <w:rPr>
          <w:rFonts w:ascii="Arial" w:hAnsi="Arial" w:cs="Arial"/>
          <w:i/>
          <w:iCs/>
          <w:sz w:val="24"/>
          <w:szCs w:val="24"/>
        </w:rPr>
        <w:t>Labour Court</w:t>
      </w:r>
      <w:r w:rsidRPr="009F38E3">
        <w:rPr>
          <w:rFonts w:ascii="Arial" w:hAnsi="Arial" w:cs="Arial"/>
          <w:sz w:val="24"/>
          <w:szCs w:val="24"/>
        </w:rPr>
        <w:t>, and labour inspectors, are intended to guarantee that affirmative action requirements are carried out organizationally as opposed to being decided on an individual premise.</w:t>
      </w:r>
      <w:r w:rsidRPr="009F38E3">
        <w:rPr>
          <w:rFonts w:ascii="Arial" w:hAnsi="Arial" w:cs="Arial"/>
          <w:sz w:val="24"/>
          <w:szCs w:val="24"/>
          <w:vertAlign w:val="superscript"/>
        </w:rPr>
        <w:footnoteReference w:id="460"/>
      </w:r>
      <w:r w:rsidRPr="009F38E3">
        <w:rPr>
          <w:rFonts w:ascii="Arial" w:hAnsi="Arial" w:cs="Arial"/>
          <w:sz w:val="24"/>
          <w:szCs w:val="24"/>
        </w:rPr>
        <w:t xml:space="preserve"> The court went on to explain that Chapter III purposefully lacked a mechanism for resolving individual disputes. The </w:t>
      </w:r>
      <w:r w:rsidRPr="009F38E3">
        <w:rPr>
          <w:rFonts w:ascii="Arial" w:hAnsi="Arial" w:cs="Arial"/>
          <w:i/>
          <w:iCs/>
          <w:sz w:val="24"/>
          <w:szCs w:val="24"/>
        </w:rPr>
        <w:t>EEA</w:t>
      </w:r>
      <w:r w:rsidRPr="009F38E3">
        <w:rPr>
          <w:rFonts w:ascii="Arial" w:hAnsi="Arial" w:cs="Arial"/>
          <w:sz w:val="24"/>
          <w:szCs w:val="24"/>
        </w:rPr>
        <w:t>'s drafters purposefully made a distinction between the institutional enforcement procedures that apply under Chapter III and the individual-focused remedies that are available under Chapter II.</w:t>
      </w:r>
      <w:r w:rsidRPr="009F38E3">
        <w:rPr>
          <w:rFonts w:ascii="Arial" w:hAnsi="Arial" w:cs="Arial"/>
          <w:sz w:val="24"/>
          <w:szCs w:val="24"/>
          <w:vertAlign w:val="superscript"/>
        </w:rPr>
        <w:footnoteReference w:id="461"/>
      </w:r>
      <w:r w:rsidRPr="009F38E3">
        <w:rPr>
          <w:rFonts w:ascii="Arial" w:hAnsi="Arial" w:cs="Arial"/>
          <w:sz w:val="24"/>
          <w:szCs w:val="24"/>
        </w:rPr>
        <w:t xml:space="preserve"> By making this distinction, affirmative action stays committed to structural change, which is consistent with the Constitution's guarantee of substantive equality.</w:t>
      </w:r>
    </w:p>
    <w:p w14:paraId="2887CDE5"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Affirmative action as an individual right was categorically rejected by the court, which emphasized that being a member of a recognized group does not entitle one to preferential treatment. According to this understanding, affirmative action serves the </w:t>
      </w:r>
      <w:r w:rsidRPr="009F38E3">
        <w:rPr>
          <w:rFonts w:ascii="Arial" w:hAnsi="Arial" w:cs="Arial"/>
          <w:sz w:val="24"/>
          <w:szCs w:val="24"/>
        </w:rPr>
        <w:lastRenderedPageBreak/>
        <w:t xml:space="preserve">constitutional goal of promoting equality for everyone, not just for some. The court emphasized affirmative action's communal character by presenting it as a duty to serve designated groups rather than particular people. </w:t>
      </w:r>
    </w:p>
    <w:p w14:paraId="7CF29185"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ruling further emphasized how crucial the </w:t>
      </w:r>
      <w:r w:rsidRPr="009F38E3">
        <w:rPr>
          <w:rFonts w:ascii="Arial" w:hAnsi="Arial" w:cs="Arial"/>
          <w:i/>
          <w:iCs/>
          <w:sz w:val="24"/>
          <w:szCs w:val="24"/>
        </w:rPr>
        <w:t>EEA</w:t>
      </w:r>
      <w:r w:rsidRPr="009F38E3">
        <w:rPr>
          <w:rFonts w:ascii="Arial" w:hAnsi="Arial" w:cs="Arial"/>
          <w:sz w:val="24"/>
          <w:szCs w:val="24"/>
        </w:rPr>
        <w:t xml:space="preserve">'s enforcement mechanism has been in guaranteeing that affirmative action requirements are fulfilled in a fair and uniform way. This view supports the </w:t>
      </w:r>
      <w:r w:rsidRPr="009F38E3">
        <w:rPr>
          <w:rFonts w:ascii="Arial" w:hAnsi="Arial" w:cs="Arial"/>
          <w:i/>
          <w:iCs/>
          <w:sz w:val="24"/>
          <w:szCs w:val="24"/>
        </w:rPr>
        <w:t>Constitution</w:t>
      </w:r>
      <w:r w:rsidRPr="009F38E3">
        <w:rPr>
          <w:rFonts w:ascii="Arial" w:hAnsi="Arial" w:cs="Arial"/>
          <w:sz w:val="24"/>
          <w:szCs w:val="24"/>
        </w:rPr>
        <w:t xml:space="preserve">'s guarantee of substantive equality by reaffirming that the goal of affirmative action is to eliminate systematic injustices </w:t>
      </w:r>
      <w:proofErr w:type="gramStart"/>
      <w:r w:rsidRPr="009F38E3">
        <w:rPr>
          <w:rFonts w:ascii="Arial" w:hAnsi="Arial" w:cs="Arial"/>
          <w:sz w:val="24"/>
          <w:szCs w:val="24"/>
        </w:rPr>
        <w:t>in order to</w:t>
      </w:r>
      <w:proofErr w:type="gramEnd"/>
      <w:r w:rsidRPr="009F38E3">
        <w:rPr>
          <w:rFonts w:ascii="Arial" w:hAnsi="Arial" w:cs="Arial"/>
          <w:sz w:val="24"/>
          <w:szCs w:val="24"/>
        </w:rPr>
        <w:t xml:space="preserve"> establish a more equal society, not to privilege particular individuals.</w:t>
      </w:r>
      <w:r w:rsidRPr="009F38E3">
        <w:rPr>
          <w:rFonts w:ascii="Arial" w:hAnsi="Arial" w:cs="Arial"/>
          <w:sz w:val="24"/>
          <w:szCs w:val="24"/>
          <w:vertAlign w:val="superscript"/>
        </w:rPr>
        <w:footnoteReference w:id="462"/>
      </w:r>
    </w:p>
    <w:p w14:paraId="00C59887" w14:textId="2CDA30D3" w:rsidR="00DF6BC2" w:rsidRPr="009F38E3" w:rsidRDefault="00226F8F" w:rsidP="00965D37">
      <w:pPr>
        <w:pStyle w:val="Heading2"/>
        <w:ind w:left="360"/>
      </w:pPr>
      <w:bookmarkStart w:id="231" w:name="_Toc189739380"/>
      <w:r>
        <w:t>3.8.2.</w:t>
      </w:r>
      <w:r w:rsidR="00DF6BC2" w:rsidRPr="009F38E3">
        <w:t>4 Thekiso v IBM South Africa (Pty) Ltd (JS415/05) [2006] ZALC 91</w:t>
      </w:r>
      <w:bookmarkEnd w:id="231"/>
    </w:p>
    <w:p w14:paraId="3779143D"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Regarding the interpretation and implementation of affirmative action under the </w:t>
      </w:r>
      <w:r w:rsidRPr="009F38E3">
        <w:rPr>
          <w:rFonts w:ascii="Arial" w:hAnsi="Arial" w:cs="Arial"/>
          <w:i/>
          <w:iCs/>
          <w:sz w:val="24"/>
          <w:szCs w:val="24"/>
        </w:rPr>
        <w:t>EEA</w:t>
      </w:r>
      <w:r w:rsidRPr="009F38E3">
        <w:rPr>
          <w:rFonts w:ascii="Arial" w:hAnsi="Arial" w:cs="Arial"/>
          <w:sz w:val="24"/>
          <w:szCs w:val="24"/>
        </w:rPr>
        <w:t xml:space="preserve">, the case of </w:t>
      </w:r>
      <w:r w:rsidRPr="009F38E3">
        <w:rPr>
          <w:rFonts w:ascii="Arial" w:hAnsi="Arial" w:cs="Arial"/>
          <w:i/>
          <w:iCs/>
          <w:sz w:val="24"/>
          <w:szCs w:val="24"/>
        </w:rPr>
        <w:t>Thekiso v IBM South Africa</w:t>
      </w:r>
      <w:r w:rsidRPr="009F38E3">
        <w:rPr>
          <w:rFonts w:ascii="Arial" w:hAnsi="Arial" w:cs="Arial"/>
          <w:sz w:val="24"/>
          <w:szCs w:val="24"/>
        </w:rPr>
        <w:t xml:space="preserve"> is a significant and contentious ruling in South African labour law. By holding that affirmative action policies do not establish enforceable individual rights, the court adopted a strong position that was consistent with the precedent established in </w:t>
      </w:r>
      <w:r w:rsidRPr="009F38E3">
        <w:rPr>
          <w:rFonts w:ascii="Arial" w:hAnsi="Arial" w:cs="Arial"/>
          <w:i/>
          <w:iCs/>
          <w:sz w:val="24"/>
          <w:szCs w:val="24"/>
        </w:rPr>
        <w:t>Dudley v City of Cape Town</w:t>
      </w:r>
      <w:r w:rsidRPr="009F38E3">
        <w:rPr>
          <w:rFonts w:ascii="Arial" w:hAnsi="Arial" w:cs="Arial"/>
          <w:sz w:val="24"/>
          <w:szCs w:val="24"/>
        </w:rPr>
        <w:t xml:space="preserve">. This stance has generated controversy because it seems to diminish the transformative potential of affirmative action by limiting it to programmatic, group commitments rather than addressing individual allegations of inequity. </w:t>
      </w:r>
    </w:p>
    <w:p w14:paraId="3B0A2D8C"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Ms. Josephine Thekiso, the applicant, lost a significant client contract </w:t>
      </w:r>
      <w:proofErr w:type="gramStart"/>
      <w:r w:rsidRPr="009F38E3">
        <w:rPr>
          <w:rFonts w:ascii="Arial" w:hAnsi="Arial" w:cs="Arial"/>
          <w:sz w:val="24"/>
          <w:szCs w:val="24"/>
        </w:rPr>
        <w:t>as a result of</w:t>
      </w:r>
      <w:proofErr w:type="gramEnd"/>
      <w:r w:rsidRPr="009F38E3">
        <w:rPr>
          <w:rFonts w:ascii="Arial" w:hAnsi="Arial" w:cs="Arial"/>
          <w:sz w:val="24"/>
          <w:szCs w:val="24"/>
        </w:rPr>
        <w:t xml:space="preserve"> IBM's operational reorganization, which led to her losing her job off. For retrenchments, the selection criterion was determined by "required skill sets going forward." Ms. Thekiso claimed that IBM's failure to </w:t>
      </w:r>
      <w:proofErr w:type="gramStart"/>
      <w:r w:rsidRPr="009F38E3">
        <w:rPr>
          <w:rFonts w:ascii="Arial" w:hAnsi="Arial" w:cs="Arial"/>
          <w:sz w:val="24"/>
          <w:szCs w:val="24"/>
        </w:rPr>
        <w:t>take into account</w:t>
      </w:r>
      <w:proofErr w:type="gramEnd"/>
      <w:r w:rsidRPr="009F38E3">
        <w:rPr>
          <w:rFonts w:ascii="Arial" w:hAnsi="Arial" w:cs="Arial"/>
          <w:sz w:val="24"/>
          <w:szCs w:val="24"/>
        </w:rPr>
        <w:t xml:space="preserve"> its affirmative action responsibilities under the </w:t>
      </w:r>
      <w:r w:rsidRPr="009F38E3">
        <w:rPr>
          <w:rFonts w:ascii="Arial" w:hAnsi="Arial" w:cs="Arial"/>
          <w:i/>
          <w:iCs/>
          <w:sz w:val="24"/>
          <w:szCs w:val="24"/>
        </w:rPr>
        <w:t>EEA</w:t>
      </w:r>
      <w:r w:rsidRPr="009F38E3">
        <w:rPr>
          <w:rFonts w:ascii="Arial" w:hAnsi="Arial" w:cs="Arial"/>
          <w:sz w:val="24"/>
          <w:szCs w:val="24"/>
        </w:rPr>
        <w:t>, particularly section 15(2)(d)(ii), made her termination unfair.</w:t>
      </w:r>
      <w:r w:rsidRPr="009F38E3">
        <w:rPr>
          <w:rFonts w:ascii="Arial" w:hAnsi="Arial" w:cs="Arial"/>
          <w:sz w:val="24"/>
          <w:szCs w:val="24"/>
          <w:vertAlign w:val="superscript"/>
        </w:rPr>
        <w:footnoteReference w:id="463"/>
      </w:r>
      <w:r w:rsidRPr="009F38E3">
        <w:rPr>
          <w:rFonts w:ascii="Arial" w:hAnsi="Arial" w:cs="Arial"/>
          <w:sz w:val="24"/>
          <w:szCs w:val="24"/>
        </w:rPr>
        <w:t xml:space="preserve"> She argued that she should have been given preference for retention over her white male coworker, Mr. van der Merwe, who was chosen for a new role, because she is a Black woman.</w:t>
      </w:r>
      <w:r w:rsidRPr="009F38E3">
        <w:rPr>
          <w:rFonts w:ascii="Arial" w:hAnsi="Arial" w:cs="Arial"/>
          <w:sz w:val="24"/>
          <w:szCs w:val="24"/>
          <w:vertAlign w:val="superscript"/>
        </w:rPr>
        <w:footnoteReference w:id="464"/>
      </w:r>
    </w:p>
    <w:p w14:paraId="10821A72"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Section 15(2)(d)(ii) of the</w:t>
      </w:r>
      <w:r w:rsidRPr="009F38E3">
        <w:rPr>
          <w:rFonts w:ascii="Arial" w:hAnsi="Arial" w:cs="Arial"/>
          <w:i/>
          <w:iCs/>
          <w:sz w:val="24"/>
          <w:szCs w:val="24"/>
        </w:rPr>
        <w:t xml:space="preserve"> EEA</w:t>
      </w:r>
      <w:r w:rsidRPr="009F38E3">
        <w:rPr>
          <w:rFonts w:ascii="Arial" w:hAnsi="Arial" w:cs="Arial"/>
          <w:sz w:val="24"/>
          <w:szCs w:val="24"/>
        </w:rPr>
        <w:t>, which requires employers to take steps to retain and develop workers from specific categories, served as the foundation for the applicant's claim.</w:t>
      </w:r>
      <w:r w:rsidRPr="009F38E3">
        <w:rPr>
          <w:rFonts w:ascii="Arial" w:hAnsi="Arial" w:cs="Arial"/>
          <w:sz w:val="24"/>
          <w:szCs w:val="24"/>
          <w:vertAlign w:val="superscript"/>
        </w:rPr>
        <w:footnoteReference w:id="465"/>
      </w:r>
      <w:r w:rsidRPr="009F38E3">
        <w:rPr>
          <w:rFonts w:ascii="Arial" w:hAnsi="Arial" w:cs="Arial"/>
          <w:sz w:val="24"/>
          <w:szCs w:val="24"/>
        </w:rPr>
        <w:t xml:space="preserve"> She also cited section 20(3) of the </w:t>
      </w:r>
      <w:r w:rsidRPr="009F38E3">
        <w:rPr>
          <w:rFonts w:ascii="Arial" w:hAnsi="Arial" w:cs="Arial"/>
          <w:i/>
          <w:iCs/>
          <w:sz w:val="24"/>
          <w:szCs w:val="24"/>
        </w:rPr>
        <w:t>EEA,</w:t>
      </w:r>
      <w:r w:rsidRPr="009F38E3">
        <w:rPr>
          <w:rFonts w:ascii="Arial" w:hAnsi="Arial" w:cs="Arial"/>
          <w:sz w:val="24"/>
          <w:szCs w:val="24"/>
        </w:rPr>
        <w:t xml:space="preserve"> which states that an individual may be deemed properly qualified if they possess the ability to pick up the required skills in </w:t>
      </w:r>
      <w:r w:rsidRPr="009F38E3">
        <w:rPr>
          <w:rFonts w:ascii="Arial" w:hAnsi="Arial" w:cs="Arial"/>
          <w:sz w:val="24"/>
          <w:szCs w:val="24"/>
        </w:rPr>
        <w:lastRenderedPageBreak/>
        <w:t xml:space="preserve">a reasonable amount of time. The applicant contended that IBM was required by these clauses to give her retention </w:t>
      </w:r>
      <w:proofErr w:type="gramStart"/>
      <w:r w:rsidRPr="009F38E3">
        <w:rPr>
          <w:rFonts w:ascii="Arial" w:hAnsi="Arial" w:cs="Arial"/>
          <w:sz w:val="24"/>
          <w:szCs w:val="24"/>
        </w:rPr>
        <w:t>first priority</w:t>
      </w:r>
      <w:proofErr w:type="gramEnd"/>
      <w:r w:rsidRPr="009F38E3">
        <w:rPr>
          <w:rFonts w:ascii="Arial" w:hAnsi="Arial" w:cs="Arial"/>
          <w:sz w:val="24"/>
          <w:szCs w:val="24"/>
        </w:rPr>
        <w:t>.</w:t>
      </w:r>
      <w:r w:rsidRPr="009F38E3">
        <w:rPr>
          <w:rFonts w:ascii="Arial" w:hAnsi="Arial" w:cs="Arial"/>
          <w:sz w:val="24"/>
          <w:szCs w:val="24"/>
          <w:vertAlign w:val="superscript"/>
        </w:rPr>
        <w:footnoteReference w:id="466"/>
      </w:r>
    </w:p>
    <w:p w14:paraId="6A3D3EEF"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Using the precedent established in </w:t>
      </w:r>
      <w:r w:rsidRPr="009F38E3">
        <w:rPr>
          <w:rFonts w:ascii="Arial" w:hAnsi="Arial" w:cs="Arial"/>
          <w:i/>
          <w:iCs/>
          <w:sz w:val="24"/>
          <w:szCs w:val="24"/>
        </w:rPr>
        <w:t>Dudley v City of Cape Town</w:t>
      </w:r>
      <w:r w:rsidRPr="009F38E3">
        <w:rPr>
          <w:rFonts w:ascii="Arial" w:hAnsi="Arial" w:cs="Arial"/>
          <w:sz w:val="24"/>
          <w:szCs w:val="24"/>
        </w:rPr>
        <w:t xml:space="preserve">, the court dismissed the claim that section 15(2)(d)(ii) of the </w:t>
      </w:r>
      <w:r w:rsidRPr="009F38E3">
        <w:rPr>
          <w:rFonts w:ascii="Arial" w:hAnsi="Arial" w:cs="Arial"/>
          <w:i/>
          <w:iCs/>
          <w:sz w:val="24"/>
          <w:szCs w:val="24"/>
        </w:rPr>
        <w:t>EEA</w:t>
      </w:r>
      <w:r w:rsidRPr="009F38E3">
        <w:rPr>
          <w:rFonts w:ascii="Arial" w:hAnsi="Arial" w:cs="Arial"/>
          <w:sz w:val="24"/>
          <w:szCs w:val="24"/>
        </w:rPr>
        <w:t xml:space="preserve"> grants an individual right to affirmative action.</w:t>
      </w:r>
      <w:r w:rsidRPr="009F38E3">
        <w:rPr>
          <w:rFonts w:ascii="Arial" w:hAnsi="Arial" w:cs="Arial"/>
          <w:sz w:val="24"/>
          <w:szCs w:val="24"/>
          <w:vertAlign w:val="superscript"/>
        </w:rPr>
        <w:footnoteReference w:id="467"/>
      </w:r>
      <w:r w:rsidRPr="009F38E3">
        <w:rPr>
          <w:rFonts w:ascii="Arial" w:hAnsi="Arial" w:cs="Arial"/>
          <w:sz w:val="24"/>
          <w:szCs w:val="24"/>
        </w:rPr>
        <w:t xml:space="preserve"> It confirmed that Chapter III of the </w:t>
      </w:r>
      <w:r w:rsidRPr="009F38E3">
        <w:rPr>
          <w:rFonts w:ascii="Arial" w:hAnsi="Arial" w:cs="Arial"/>
          <w:i/>
          <w:iCs/>
          <w:sz w:val="24"/>
          <w:szCs w:val="24"/>
        </w:rPr>
        <w:t>EEA</w:t>
      </w:r>
      <w:r w:rsidRPr="009F38E3">
        <w:rPr>
          <w:rFonts w:ascii="Arial" w:hAnsi="Arial" w:cs="Arial"/>
          <w:sz w:val="24"/>
          <w:szCs w:val="24"/>
        </w:rPr>
        <w:t xml:space="preserve"> is centred on collective and programmatic duties rather than establishing enforceable rights for individuals.</w:t>
      </w:r>
      <w:r w:rsidRPr="009F38E3">
        <w:rPr>
          <w:rFonts w:ascii="Arial" w:hAnsi="Arial" w:cs="Arial"/>
          <w:sz w:val="24"/>
          <w:szCs w:val="24"/>
          <w:vertAlign w:val="superscript"/>
        </w:rPr>
        <w:footnoteReference w:id="468"/>
      </w:r>
      <w:r w:rsidRPr="009F38E3">
        <w:rPr>
          <w:rFonts w:ascii="Arial" w:hAnsi="Arial" w:cs="Arial"/>
          <w:sz w:val="24"/>
          <w:szCs w:val="24"/>
        </w:rPr>
        <w:t xml:space="preserve"> Employers are required by these duties to address systematic injustices by taking steps including study, consultation, and creating employment equity plans. The court underlined that Chapter III's approaches is fundamentally systematic and collective, and that individual allegations of preferential treatment cannot be brought directly before the </w:t>
      </w:r>
      <w:r w:rsidRPr="009F38E3">
        <w:rPr>
          <w:rFonts w:ascii="Arial" w:hAnsi="Arial" w:cs="Arial"/>
          <w:i/>
          <w:iCs/>
          <w:sz w:val="24"/>
          <w:szCs w:val="24"/>
        </w:rPr>
        <w:t>Labour Court</w:t>
      </w:r>
      <w:r w:rsidRPr="009F38E3">
        <w:rPr>
          <w:rFonts w:ascii="Arial" w:hAnsi="Arial" w:cs="Arial"/>
          <w:sz w:val="24"/>
          <w:szCs w:val="24"/>
        </w:rPr>
        <w:t>.</w:t>
      </w:r>
      <w:r w:rsidRPr="009F38E3">
        <w:rPr>
          <w:rFonts w:ascii="Arial" w:hAnsi="Arial" w:cs="Arial"/>
          <w:sz w:val="24"/>
          <w:szCs w:val="24"/>
          <w:vertAlign w:val="superscript"/>
        </w:rPr>
        <w:footnoteReference w:id="469"/>
      </w:r>
      <w:r w:rsidRPr="009F38E3">
        <w:rPr>
          <w:rFonts w:ascii="Arial" w:hAnsi="Arial" w:cs="Arial"/>
          <w:sz w:val="24"/>
          <w:szCs w:val="24"/>
        </w:rPr>
        <w:t xml:space="preserve"> According to the court, affirmative action policies are not intended to be used as a foundation for individual claims of preferential treatment; rather, they are intended to remedy structural injustices at an organizational level.</w:t>
      </w:r>
      <w:r w:rsidRPr="009F38E3">
        <w:rPr>
          <w:rFonts w:ascii="Arial" w:hAnsi="Arial" w:cs="Arial"/>
          <w:sz w:val="24"/>
          <w:szCs w:val="24"/>
          <w:vertAlign w:val="superscript"/>
        </w:rPr>
        <w:footnoteReference w:id="470"/>
      </w:r>
      <w:r w:rsidRPr="009F38E3">
        <w:rPr>
          <w:rFonts w:ascii="Arial" w:hAnsi="Arial" w:cs="Arial"/>
          <w:sz w:val="24"/>
          <w:szCs w:val="24"/>
        </w:rPr>
        <w:t xml:space="preserve"> The court ruled that section 15(2)(d)(ii) duties do not apply to individual retrenchment decisions. Employees who belong to a particular category do not have the right to demand retention under the </w:t>
      </w:r>
      <w:r w:rsidRPr="009F38E3">
        <w:rPr>
          <w:rFonts w:ascii="Arial" w:hAnsi="Arial" w:cs="Arial"/>
          <w:i/>
          <w:iCs/>
          <w:sz w:val="24"/>
          <w:szCs w:val="24"/>
        </w:rPr>
        <w:t>EEA</w:t>
      </w:r>
      <w:r w:rsidRPr="009F38E3">
        <w:rPr>
          <w:rFonts w:ascii="Arial" w:hAnsi="Arial" w:cs="Arial"/>
          <w:sz w:val="24"/>
          <w:szCs w:val="24"/>
        </w:rPr>
        <w:t>'s affirmative action responsibilities, nor are they required to give such employees priority when making operational choices.</w:t>
      </w:r>
      <w:r w:rsidRPr="009F38E3">
        <w:rPr>
          <w:rFonts w:ascii="Arial" w:hAnsi="Arial" w:cs="Arial"/>
          <w:sz w:val="24"/>
          <w:szCs w:val="24"/>
          <w:vertAlign w:val="superscript"/>
        </w:rPr>
        <w:footnoteReference w:id="471"/>
      </w:r>
      <w:r w:rsidRPr="009F38E3">
        <w:rPr>
          <w:rFonts w:ascii="Arial" w:hAnsi="Arial" w:cs="Arial"/>
          <w:sz w:val="24"/>
          <w:szCs w:val="24"/>
        </w:rPr>
        <w:t xml:space="preserve"> The court determined that, in light of section 15(2)(d)(ii), there is no legal requirement to choose to keep a black employee over a white employee on the basis of colour alone, especially when the white employee is more qualified to meet the employer's operational requirements.</w:t>
      </w:r>
      <w:r w:rsidRPr="009F38E3">
        <w:rPr>
          <w:rFonts w:ascii="Arial" w:hAnsi="Arial" w:cs="Arial"/>
          <w:sz w:val="24"/>
          <w:szCs w:val="24"/>
          <w:vertAlign w:val="superscript"/>
        </w:rPr>
        <w:footnoteReference w:id="472"/>
      </w:r>
    </w:p>
    <w:p w14:paraId="4AA44784"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Affirmative action standards must be met by employers, but the court's ruling makes it clear that these requirements do not supersede operational needs or provide an excuse for retaining staff merely because they belong to specific groups. This practical strategy strikes a compromise between the reality of company operations and the requirement for workplace transformation. The ruling supports the legitimacy of affirmative action as a strategy for achieving substantive equality, as established in </w:t>
      </w:r>
      <w:r w:rsidRPr="009F38E3">
        <w:rPr>
          <w:rFonts w:ascii="Arial" w:hAnsi="Arial" w:cs="Arial"/>
          <w:i/>
          <w:iCs/>
          <w:sz w:val="24"/>
          <w:szCs w:val="24"/>
        </w:rPr>
        <w:lastRenderedPageBreak/>
        <w:t>Minister of Finance v Van Heerden</w:t>
      </w:r>
      <w:r w:rsidRPr="009F38E3">
        <w:rPr>
          <w:rFonts w:ascii="Arial" w:hAnsi="Arial" w:cs="Arial"/>
          <w:sz w:val="24"/>
          <w:szCs w:val="24"/>
        </w:rPr>
        <w:t xml:space="preserve">. But </w:t>
      </w:r>
      <w:r w:rsidRPr="009F38E3">
        <w:rPr>
          <w:rFonts w:ascii="Arial" w:hAnsi="Arial" w:cs="Arial"/>
          <w:i/>
          <w:iCs/>
          <w:sz w:val="24"/>
          <w:szCs w:val="24"/>
        </w:rPr>
        <w:t>Thekiso</w:t>
      </w:r>
      <w:r w:rsidRPr="009F38E3">
        <w:rPr>
          <w:rFonts w:ascii="Arial" w:hAnsi="Arial" w:cs="Arial"/>
          <w:sz w:val="24"/>
          <w:szCs w:val="24"/>
        </w:rPr>
        <w:t xml:space="preserve"> emphasizes the difference between enforcement of statutes and constitutional principles. Although substantive equality is envisioned in the </w:t>
      </w:r>
      <w:r w:rsidRPr="009F38E3">
        <w:rPr>
          <w:rFonts w:ascii="Arial" w:hAnsi="Arial" w:cs="Arial"/>
          <w:i/>
          <w:iCs/>
          <w:sz w:val="24"/>
          <w:szCs w:val="24"/>
        </w:rPr>
        <w:t>Constitution</w:t>
      </w:r>
      <w:r w:rsidRPr="009F38E3">
        <w:rPr>
          <w:rFonts w:ascii="Arial" w:hAnsi="Arial" w:cs="Arial"/>
          <w:sz w:val="24"/>
          <w:szCs w:val="24"/>
        </w:rPr>
        <w:t xml:space="preserve">, the </w:t>
      </w:r>
      <w:r w:rsidRPr="009F38E3">
        <w:rPr>
          <w:rFonts w:ascii="Arial" w:hAnsi="Arial" w:cs="Arial"/>
          <w:i/>
          <w:iCs/>
          <w:sz w:val="24"/>
          <w:szCs w:val="24"/>
        </w:rPr>
        <w:t>EEA</w:t>
      </w:r>
      <w:r w:rsidRPr="009F38E3">
        <w:rPr>
          <w:rFonts w:ascii="Arial" w:hAnsi="Arial" w:cs="Arial"/>
          <w:sz w:val="24"/>
          <w:szCs w:val="24"/>
        </w:rPr>
        <w:t xml:space="preserve"> operationalizes this vision through systemic requirements rather than legally binding individual rights.</w:t>
      </w:r>
    </w:p>
    <w:p w14:paraId="1B5873FD" w14:textId="73FB12B9" w:rsidR="00DF6BC2" w:rsidRPr="009F38E3" w:rsidRDefault="00226F8F" w:rsidP="00965D37">
      <w:pPr>
        <w:pStyle w:val="Heading2"/>
        <w:ind w:left="924" w:hanging="567"/>
      </w:pPr>
      <w:bookmarkStart w:id="232" w:name="_Toc189739381"/>
      <w:r>
        <w:t>3.8.2.</w:t>
      </w:r>
      <w:r w:rsidR="00DF6BC2" w:rsidRPr="009F38E3">
        <w:t>5 Public Servants Association (PSA) obo Karriem v South African Police Services (SAPS) and Another (C435/04) [2006] ZALC 39</w:t>
      </w:r>
      <w:bookmarkEnd w:id="232"/>
    </w:p>
    <w:p w14:paraId="2B666D01"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w:t>
      </w:r>
      <w:r w:rsidRPr="009F38E3">
        <w:rPr>
          <w:rFonts w:ascii="Arial" w:hAnsi="Arial" w:cs="Arial"/>
          <w:i/>
          <w:iCs/>
          <w:sz w:val="24"/>
          <w:szCs w:val="24"/>
        </w:rPr>
        <w:t>Labour Court's</w:t>
      </w:r>
      <w:r w:rsidRPr="009F38E3">
        <w:rPr>
          <w:rFonts w:ascii="Arial" w:hAnsi="Arial" w:cs="Arial"/>
          <w:sz w:val="24"/>
          <w:szCs w:val="24"/>
        </w:rPr>
        <w:t xml:space="preserve"> ruling in the </w:t>
      </w:r>
      <w:r w:rsidRPr="009F38E3">
        <w:rPr>
          <w:rFonts w:ascii="Arial" w:hAnsi="Arial" w:cs="Arial"/>
          <w:i/>
          <w:iCs/>
          <w:sz w:val="24"/>
          <w:szCs w:val="24"/>
        </w:rPr>
        <w:t>Karriem v SAPS</w:t>
      </w:r>
      <w:r w:rsidRPr="009F38E3">
        <w:rPr>
          <w:rFonts w:ascii="Arial" w:hAnsi="Arial" w:cs="Arial"/>
          <w:sz w:val="24"/>
          <w:szCs w:val="24"/>
        </w:rPr>
        <w:t xml:space="preserve">, addressed significant concerns about affirmative action under the </w:t>
      </w:r>
      <w:r w:rsidRPr="009F38E3">
        <w:rPr>
          <w:rFonts w:ascii="Arial" w:hAnsi="Arial" w:cs="Arial"/>
          <w:i/>
          <w:iCs/>
          <w:sz w:val="24"/>
          <w:szCs w:val="24"/>
        </w:rPr>
        <w:t>EEA</w:t>
      </w:r>
      <w:r w:rsidRPr="009F38E3">
        <w:rPr>
          <w:rFonts w:ascii="Arial" w:hAnsi="Arial" w:cs="Arial"/>
          <w:sz w:val="24"/>
          <w:szCs w:val="24"/>
        </w:rPr>
        <w:t xml:space="preserve">. In this case, it has been investigated whether Ms. Karriem, a Coloured woman, was subjected to unjust discrimination by the </w:t>
      </w:r>
      <w:bookmarkStart w:id="233" w:name="_Hlk183722925"/>
      <w:r w:rsidRPr="009F38E3">
        <w:rPr>
          <w:rFonts w:ascii="Arial" w:hAnsi="Arial" w:cs="Arial"/>
          <w:sz w:val="24"/>
          <w:szCs w:val="24"/>
        </w:rPr>
        <w:t xml:space="preserve">South African Police Service (SAPS) </w:t>
      </w:r>
      <w:bookmarkEnd w:id="233"/>
      <w:r w:rsidRPr="009F38E3">
        <w:rPr>
          <w:rFonts w:ascii="Arial" w:hAnsi="Arial" w:cs="Arial"/>
          <w:sz w:val="24"/>
          <w:szCs w:val="24"/>
        </w:rPr>
        <w:t xml:space="preserve">when she was not appointed Chief Administrative Clerk in favour of Ms. Kotze, a White woman. Ms. Karriem filed accusations against the SAPS on behalf of the Public Servants Association (PSA), alleging that the agency had not fulfilled its duties under the </w:t>
      </w:r>
      <w:r w:rsidRPr="009F38E3">
        <w:rPr>
          <w:rFonts w:ascii="Arial" w:hAnsi="Arial" w:cs="Arial"/>
          <w:i/>
          <w:iCs/>
          <w:sz w:val="24"/>
          <w:szCs w:val="24"/>
        </w:rPr>
        <w:t>EEA</w:t>
      </w:r>
      <w:r w:rsidRPr="009F38E3">
        <w:rPr>
          <w:rFonts w:ascii="Arial" w:hAnsi="Arial" w:cs="Arial"/>
          <w:sz w:val="24"/>
          <w:szCs w:val="24"/>
        </w:rPr>
        <w:t xml:space="preserve"> and its EE Plan. She claimed that SAPS had failed to undertake affirmative action measures in accordance with Chapter III of the </w:t>
      </w:r>
      <w:r w:rsidRPr="009F38E3">
        <w:rPr>
          <w:rFonts w:ascii="Arial" w:hAnsi="Arial" w:cs="Arial"/>
          <w:i/>
          <w:iCs/>
          <w:sz w:val="24"/>
          <w:szCs w:val="24"/>
        </w:rPr>
        <w:t>EEA</w:t>
      </w:r>
      <w:r w:rsidRPr="009F38E3">
        <w:rPr>
          <w:rFonts w:ascii="Arial" w:hAnsi="Arial" w:cs="Arial"/>
          <w:sz w:val="24"/>
          <w:szCs w:val="24"/>
        </w:rPr>
        <w:t xml:space="preserve">, which requires proactive efforts to remedy the underrepresentation of designated groups in the workplace.  </w:t>
      </w:r>
    </w:p>
    <w:p w14:paraId="13708CC4"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She further claimed that SAPS had unfairly discriminated against her by choosing a white woman, for the Chief Administrative Clerk position instead of her. She claimed that this choice went against both section 20(5) of the </w:t>
      </w:r>
      <w:r w:rsidRPr="009F38E3">
        <w:rPr>
          <w:rFonts w:ascii="Arial" w:hAnsi="Arial" w:cs="Arial"/>
          <w:i/>
          <w:iCs/>
          <w:sz w:val="24"/>
          <w:szCs w:val="24"/>
        </w:rPr>
        <w:t>EEA</w:t>
      </w:r>
      <w:r w:rsidRPr="009F38E3">
        <w:rPr>
          <w:rFonts w:ascii="Arial" w:hAnsi="Arial" w:cs="Arial"/>
          <w:sz w:val="24"/>
          <w:szCs w:val="24"/>
        </w:rPr>
        <w:t xml:space="preserve">, which protects against unfair prejudice based only on a candidate's lack of relevant expertise, and section 6(1) of the </w:t>
      </w:r>
      <w:r w:rsidRPr="009F38E3">
        <w:rPr>
          <w:rFonts w:ascii="Arial" w:hAnsi="Arial" w:cs="Arial"/>
          <w:i/>
          <w:iCs/>
          <w:sz w:val="24"/>
          <w:szCs w:val="24"/>
        </w:rPr>
        <w:t>EEA</w:t>
      </w:r>
      <w:r w:rsidRPr="009F38E3">
        <w:rPr>
          <w:rFonts w:ascii="Arial" w:hAnsi="Arial" w:cs="Arial"/>
          <w:sz w:val="24"/>
          <w:szCs w:val="24"/>
        </w:rPr>
        <w:t xml:space="preserve">, which forbids discrimination on grounds including race. Ms. Karriem further asserted that this act infringed upon her constitutional rights to equality, dignity, and fair labour practices, highlighting that, as a member of a historically underprivileged group and a Coloured woman, she was entitled to equitable consideration in accordance with the </w:t>
      </w:r>
      <w:r w:rsidRPr="009F38E3">
        <w:rPr>
          <w:rFonts w:ascii="Arial" w:hAnsi="Arial" w:cs="Arial"/>
          <w:i/>
          <w:iCs/>
          <w:sz w:val="24"/>
          <w:szCs w:val="24"/>
        </w:rPr>
        <w:t>Constitution</w:t>
      </w:r>
      <w:r w:rsidRPr="009F38E3">
        <w:rPr>
          <w:rFonts w:ascii="Arial" w:hAnsi="Arial" w:cs="Arial"/>
          <w:sz w:val="24"/>
          <w:szCs w:val="24"/>
        </w:rPr>
        <w:t>'s larger goals and the SAPS's equity goals.</w:t>
      </w:r>
      <w:r w:rsidRPr="009F38E3">
        <w:rPr>
          <w:rFonts w:ascii="Times New Roman" w:eastAsia="Times New Roman" w:hAnsi="Times New Roman" w:cs="Times New Roman"/>
          <w:kern w:val="0"/>
          <w:sz w:val="24"/>
          <w:szCs w:val="24"/>
          <w:lang w:eastAsia="en-ZA"/>
          <w14:ligatures w14:val="none"/>
        </w:rPr>
        <w:t xml:space="preserve"> </w:t>
      </w:r>
      <w:r w:rsidRPr="009F38E3">
        <w:rPr>
          <w:rFonts w:ascii="Arial" w:hAnsi="Arial" w:cs="Arial"/>
          <w:sz w:val="24"/>
          <w:szCs w:val="24"/>
        </w:rPr>
        <w:t>Since Ms. Kotze was determined to be the best candidate because of her immediate capacity to meet the job requirements, the SAPS argued that operational requirements forced her selection.</w:t>
      </w:r>
    </w:p>
    <w:p w14:paraId="5FD50707"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The SAPS head panel and sub-panel gave operational needs precedence above employment equity goals. Affirmative action attempts to rectify systemic disparities, </w:t>
      </w:r>
      <w:r w:rsidRPr="009F38E3">
        <w:rPr>
          <w:rFonts w:ascii="Arial" w:hAnsi="Arial" w:cs="Arial"/>
          <w:sz w:val="24"/>
          <w:szCs w:val="24"/>
        </w:rPr>
        <w:lastRenderedPageBreak/>
        <w:t>however the panels concluded that the requirement for immediate performance was more important than equality considerations.</w:t>
      </w:r>
      <w:r w:rsidRPr="009F38E3">
        <w:rPr>
          <w:rFonts w:ascii="Arial" w:hAnsi="Arial" w:cs="Arial"/>
          <w:sz w:val="24"/>
          <w:szCs w:val="24"/>
          <w:vertAlign w:val="superscript"/>
        </w:rPr>
        <w:footnoteReference w:id="473"/>
      </w:r>
    </w:p>
    <w:p w14:paraId="0A7B90DB" w14:textId="77777777" w:rsidR="00DF6BC2" w:rsidRPr="009F38E3" w:rsidRDefault="00DF6BC2" w:rsidP="00DF6BC2">
      <w:pPr>
        <w:spacing w:line="360" w:lineRule="auto"/>
        <w:jc w:val="both"/>
        <w:rPr>
          <w:rFonts w:ascii="Arial" w:hAnsi="Arial" w:cs="Arial"/>
          <w:sz w:val="24"/>
          <w:szCs w:val="24"/>
        </w:rPr>
      </w:pPr>
      <w:r w:rsidRPr="009F38E3">
        <w:rPr>
          <w:rFonts w:ascii="Arial" w:hAnsi="Arial" w:cs="Arial"/>
          <w:sz w:val="24"/>
          <w:szCs w:val="24"/>
        </w:rPr>
        <w:t xml:space="preserve">Despite belonging to an underrepresented group, the court determined that Ms. Karriem was not "suitably qualified" in accordance with section 20(3) of the </w:t>
      </w:r>
      <w:r w:rsidRPr="009F38E3">
        <w:rPr>
          <w:rFonts w:ascii="Arial" w:hAnsi="Arial" w:cs="Arial"/>
          <w:i/>
          <w:iCs/>
          <w:sz w:val="24"/>
          <w:szCs w:val="24"/>
        </w:rPr>
        <w:t>EEA</w:t>
      </w:r>
      <w:r w:rsidRPr="009F38E3">
        <w:rPr>
          <w:rFonts w:ascii="Arial" w:hAnsi="Arial" w:cs="Arial"/>
          <w:sz w:val="24"/>
          <w:szCs w:val="24"/>
        </w:rPr>
        <w:t>.</w:t>
      </w:r>
      <w:r w:rsidRPr="009F38E3">
        <w:rPr>
          <w:rFonts w:ascii="Arial" w:hAnsi="Arial" w:cs="Arial"/>
          <w:sz w:val="24"/>
          <w:szCs w:val="24"/>
          <w:vertAlign w:val="superscript"/>
        </w:rPr>
        <w:footnoteReference w:id="474"/>
      </w:r>
      <w:r w:rsidRPr="009F38E3">
        <w:rPr>
          <w:rFonts w:ascii="Arial" w:hAnsi="Arial" w:cs="Arial"/>
          <w:sz w:val="24"/>
          <w:szCs w:val="24"/>
        </w:rPr>
        <w:t xml:space="preserve"> The court agreed with SAPS's argument that Ms. Kotze's immediate competency was required by the job's intrinsic requirements. Although the court recognized that the SAPS weighed operational requirements against employment equity issues, it concluded that hiring an applicant who was unable to commence duties immediately would compromise the delivery of services.</w:t>
      </w:r>
      <w:r w:rsidRPr="009F38E3">
        <w:rPr>
          <w:rFonts w:ascii="Arial" w:hAnsi="Arial" w:cs="Arial"/>
          <w:sz w:val="24"/>
          <w:szCs w:val="24"/>
          <w:vertAlign w:val="superscript"/>
        </w:rPr>
        <w:footnoteReference w:id="475"/>
      </w:r>
    </w:p>
    <w:p w14:paraId="50827E74" w14:textId="57A90CA5" w:rsidR="00226F8F" w:rsidRDefault="00DF6BC2" w:rsidP="00226F8F">
      <w:pPr>
        <w:spacing w:line="360" w:lineRule="auto"/>
        <w:jc w:val="both"/>
        <w:rPr>
          <w:rFonts w:ascii="Arial" w:hAnsi="Arial" w:cs="Arial"/>
          <w:sz w:val="24"/>
          <w:szCs w:val="24"/>
        </w:rPr>
      </w:pPr>
      <w:r w:rsidRPr="009F38E3">
        <w:rPr>
          <w:rFonts w:ascii="Arial" w:hAnsi="Arial" w:cs="Arial"/>
          <w:sz w:val="24"/>
          <w:szCs w:val="24"/>
        </w:rPr>
        <w:t>Additionally, the court dismissed the claim that Ms. Kotze's appointment over Ms. Karriem amounted to racial discrimination. It was underlined that discrimination is not always implicit in the simple distinction between applicants, where one is a member of a specific group and the other is not.</w:t>
      </w:r>
      <w:r w:rsidRPr="009F38E3">
        <w:rPr>
          <w:rFonts w:ascii="Arial" w:hAnsi="Arial" w:cs="Arial"/>
          <w:sz w:val="24"/>
          <w:szCs w:val="24"/>
          <w:vertAlign w:val="superscript"/>
        </w:rPr>
        <w:footnoteReference w:id="476"/>
      </w:r>
      <w:r w:rsidRPr="009F38E3">
        <w:rPr>
          <w:rFonts w:ascii="Arial" w:hAnsi="Arial" w:cs="Arial"/>
          <w:sz w:val="24"/>
          <w:szCs w:val="24"/>
        </w:rPr>
        <w:t xml:space="preserve"> According to the court, selecting one applicant over another based on an impartial evaluation of their qualifications and experience does not amount to unfair discrimination as long as no arbitrary or unnecessary factors are used.</w:t>
      </w:r>
      <w:r w:rsidRPr="009F38E3">
        <w:rPr>
          <w:rFonts w:ascii="Arial" w:hAnsi="Arial" w:cs="Arial"/>
          <w:sz w:val="24"/>
          <w:szCs w:val="24"/>
          <w:vertAlign w:val="superscript"/>
        </w:rPr>
        <w:footnoteReference w:id="477"/>
      </w:r>
      <w:r w:rsidRPr="009F38E3">
        <w:rPr>
          <w:rFonts w:ascii="Arial" w:hAnsi="Arial" w:cs="Arial"/>
          <w:sz w:val="24"/>
          <w:szCs w:val="24"/>
        </w:rPr>
        <w:t xml:space="preserve"> The court upheld the idea that affirmative action is systematic and collective under the </w:t>
      </w:r>
      <w:r w:rsidRPr="009F38E3">
        <w:rPr>
          <w:rFonts w:ascii="Arial" w:hAnsi="Arial" w:cs="Arial"/>
          <w:i/>
          <w:iCs/>
          <w:sz w:val="24"/>
          <w:szCs w:val="24"/>
        </w:rPr>
        <w:t>EEA</w:t>
      </w:r>
      <w:r w:rsidRPr="009F38E3">
        <w:rPr>
          <w:rFonts w:ascii="Arial" w:hAnsi="Arial" w:cs="Arial"/>
          <w:sz w:val="24"/>
          <w:szCs w:val="24"/>
        </w:rPr>
        <w:t>. The case emphasizes how operational requirements and equity issues conflict. Nevertheless, the court upheld employers' responsibility to strike a balance between legitimate company necessities and affirmative action goals by prioritising instantaneous employment competency.</w:t>
      </w:r>
    </w:p>
    <w:p w14:paraId="2249244D" w14:textId="08F60F4B" w:rsidR="00226F8F" w:rsidRPr="00BB7375" w:rsidRDefault="00226F8F" w:rsidP="00226F8F">
      <w:pPr>
        <w:pStyle w:val="Heading1"/>
      </w:pPr>
      <w:bookmarkStart w:id="235" w:name="_Toc189739382"/>
      <w:r>
        <w:t>3</w:t>
      </w:r>
      <w:r w:rsidRPr="00BB7375">
        <w:t>.</w:t>
      </w:r>
      <w:r>
        <w:t>9</w:t>
      </w:r>
      <w:r w:rsidRPr="00BB7375">
        <w:t xml:space="preserve"> Conclusion</w:t>
      </w:r>
      <w:bookmarkEnd w:id="235"/>
    </w:p>
    <w:p w14:paraId="6B025B90" w14:textId="77777777" w:rsidR="00226F8F" w:rsidRPr="008C745D" w:rsidRDefault="00226F8F" w:rsidP="00226F8F">
      <w:pPr>
        <w:spacing w:line="360" w:lineRule="auto"/>
        <w:jc w:val="both"/>
        <w:rPr>
          <w:rFonts w:ascii="Arial" w:hAnsi="Arial" w:cs="Arial"/>
          <w:sz w:val="24"/>
          <w:szCs w:val="24"/>
          <w:lang w:val="en-ZA"/>
        </w:rPr>
      </w:pPr>
      <w:proofErr w:type="gramStart"/>
      <w:r w:rsidRPr="008F51BA">
        <w:rPr>
          <w:rFonts w:ascii="Arial" w:hAnsi="Arial" w:cs="Arial"/>
          <w:sz w:val="24"/>
          <w:szCs w:val="24"/>
          <w:lang w:val="en-ZA"/>
        </w:rPr>
        <w:t>In order to</w:t>
      </w:r>
      <w:proofErr w:type="gramEnd"/>
      <w:r w:rsidRPr="008F51BA">
        <w:rPr>
          <w:rFonts w:ascii="Arial" w:hAnsi="Arial" w:cs="Arial"/>
          <w:sz w:val="24"/>
          <w:szCs w:val="24"/>
          <w:lang w:val="en-ZA"/>
        </w:rPr>
        <w:t xml:space="preserve"> maintain the validity and legality of the (non)implementation of affirmative action, this chapter has critically analysed the legal conditions that employers must adhere to. This has strengthened the need for adherence to legislative and constitutional principles and advanced a better knowledge of the legal requirements that employers must fulfil.</w:t>
      </w:r>
      <w:r>
        <w:rPr>
          <w:rFonts w:ascii="Arial" w:hAnsi="Arial" w:cs="Arial"/>
          <w:sz w:val="24"/>
          <w:szCs w:val="24"/>
          <w:lang w:val="en-ZA"/>
        </w:rPr>
        <w:t xml:space="preserve"> </w:t>
      </w:r>
      <w:r w:rsidRPr="008C745D">
        <w:rPr>
          <w:rFonts w:ascii="Arial" w:hAnsi="Arial" w:cs="Arial"/>
          <w:sz w:val="24"/>
          <w:szCs w:val="24"/>
          <w:lang w:val="en-ZA"/>
        </w:rPr>
        <w:t xml:space="preserve">The first section of the chapter outlined the general goals of affirmative action, highlighting its transformative potential as a tool for removing </w:t>
      </w:r>
      <w:r w:rsidRPr="008C745D">
        <w:rPr>
          <w:rFonts w:ascii="Arial" w:hAnsi="Arial" w:cs="Arial"/>
          <w:sz w:val="24"/>
          <w:szCs w:val="24"/>
          <w:lang w:val="en-ZA"/>
        </w:rPr>
        <w:lastRenderedPageBreak/>
        <w:t xml:space="preserve">structural obstacles to employment justice. Through constitutional mandates in section 9(2) of the </w:t>
      </w:r>
      <w:r w:rsidRPr="008C745D">
        <w:rPr>
          <w:rFonts w:ascii="Arial" w:hAnsi="Arial" w:cs="Arial"/>
          <w:i/>
          <w:iCs/>
          <w:sz w:val="24"/>
          <w:szCs w:val="24"/>
          <w:lang w:val="en-ZA"/>
        </w:rPr>
        <w:t>Constitution</w:t>
      </w:r>
      <w:r w:rsidRPr="008C745D">
        <w:rPr>
          <w:rFonts w:ascii="Arial" w:hAnsi="Arial" w:cs="Arial"/>
          <w:sz w:val="24"/>
          <w:szCs w:val="24"/>
          <w:lang w:val="en-ZA"/>
        </w:rPr>
        <w:t xml:space="preserve"> and statutory laws like </w:t>
      </w:r>
      <w:r w:rsidRPr="008C745D">
        <w:rPr>
          <w:rFonts w:ascii="Arial" w:hAnsi="Arial" w:cs="Arial"/>
          <w:i/>
          <w:iCs/>
          <w:sz w:val="24"/>
          <w:szCs w:val="24"/>
          <w:lang w:val="en-ZA"/>
        </w:rPr>
        <w:t>EEA</w:t>
      </w:r>
      <w:r w:rsidRPr="008C745D">
        <w:rPr>
          <w:rFonts w:ascii="Arial" w:hAnsi="Arial" w:cs="Arial"/>
          <w:sz w:val="24"/>
          <w:szCs w:val="24"/>
          <w:lang w:val="en-ZA"/>
        </w:rPr>
        <w:t xml:space="preserve"> and as such affirmative action policies must be based on this foundation </w:t>
      </w:r>
      <w:proofErr w:type="gramStart"/>
      <w:r w:rsidRPr="008C745D">
        <w:rPr>
          <w:rFonts w:ascii="Arial" w:hAnsi="Arial" w:cs="Arial"/>
          <w:sz w:val="24"/>
          <w:szCs w:val="24"/>
          <w:lang w:val="en-ZA"/>
        </w:rPr>
        <w:t>in order to</w:t>
      </w:r>
      <w:proofErr w:type="gramEnd"/>
      <w:r w:rsidRPr="008C745D">
        <w:rPr>
          <w:rFonts w:ascii="Arial" w:hAnsi="Arial" w:cs="Arial"/>
          <w:sz w:val="24"/>
          <w:szCs w:val="24"/>
          <w:lang w:val="en-ZA"/>
        </w:rPr>
        <w:t xml:space="preserve"> be both legally sound and consistent with larger constitutional requirements.</w:t>
      </w:r>
    </w:p>
    <w:p w14:paraId="547F88FD" w14:textId="77777777" w:rsidR="00226F8F" w:rsidRDefault="00226F8F" w:rsidP="00226F8F">
      <w:pPr>
        <w:spacing w:line="360" w:lineRule="auto"/>
        <w:jc w:val="both"/>
        <w:rPr>
          <w:rFonts w:ascii="Arial" w:hAnsi="Arial" w:cs="Arial"/>
          <w:sz w:val="24"/>
          <w:szCs w:val="24"/>
          <w:lang w:val="en-ZA"/>
        </w:rPr>
      </w:pPr>
      <w:r w:rsidRPr="008C745D">
        <w:rPr>
          <w:rFonts w:ascii="Arial" w:hAnsi="Arial" w:cs="Arial"/>
          <w:sz w:val="24"/>
          <w:szCs w:val="24"/>
          <w:lang w:val="en-ZA"/>
        </w:rPr>
        <w:t xml:space="preserve">The issue of employee consultation that followed emphasized the formalities that companies must adhere to </w:t>
      </w:r>
      <w:proofErr w:type="gramStart"/>
      <w:r w:rsidRPr="008C745D">
        <w:rPr>
          <w:rFonts w:ascii="Arial" w:hAnsi="Arial" w:cs="Arial"/>
          <w:sz w:val="24"/>
          <w:szCs w:val="24"/>
          <w:lang w:val="en-ZA"/>
        </w:rPr>
        <w:t>in order to</w:t>
      </w:r>
      <w:proofErr w:type="gramEnd"/>
      <w:r w:rsidRPr="008C745D">
        <w:rPr>
          <w:rFonts w:ascii="Arial" w:hAnsi="Arial" w:cs="Arial"/>
          <w:sz w:val="24"/>
          <w:szCs w:val="24"/>
          <w:lang w:val="en-ZA"/>
        </w:rPr>
        <w:t xml:space="preserve"> legally adopt affirmative action. Section 16 of the </w:t>
      </w:r>
      <w:r w:rsidRPr="008C745D">
        <w:rPr>
          <w:rFonts w:ascii="Arial" w:hAnsi="Arial" w:cs="Arial"/>
          <w:i/>
          <w:iCs/>
          <w:sz w:val="24"/>
          <w:szCs w:val="24"/>
          <w:lang w:val="en-ZA"/>
        </w:rPr>
        <w:t>EEA</w:t>
      </w:r>
      <w:r w:rsidRPr="008C745D">
        <w:rPr>
          <w:rFonts w:ascii="Arial" w:hAnsi="Arial" w:cs="Arial"/>
          <w:sz w:val="24"/>
          <w:szCs w:val="24"/>
          <w:lang w:val="en-ZA"/>
        </w:rPr>
        <w:t xml:space="preserve"> requires meaningful consultation with employee representatives and trade unions, which guarantees inclusion and transparency in decision-making procedures.</w:t>
      </w:r>
      <w:r>
        <w:rPr>
          <w:rFonts w:ascii="Arial" w:hAnsi="Arial" w:cs="Arial"/>
          <w:sz w:val="24"/>
          <w:szCs w:val="24"/>
          <w:lang w:val="en-ZA"/>
        </w:rPr>
        <w:t xml:space="preserve"> </w:t>
      </w:r>
      <w:r w:rsidRPr="008C745D">
        <w:rPr>
          <w:rFonts w:ascii="Arial" w:hAnsi="Arial" w:cs="Arial"/>
          <w:sz w:val="24"/>
          <w:szCs w:val="24"/>
          <w:lang w:val="en-ZA"/>
        </w:rPr>
        <w:t>Additionally, the examination of employment equity planning and workforce analysis made clear how important it is for designated employers to carry out thorough evaluations of workplace inequities.</w:t>
      </w:r>
      <w:r>
        <w:rPr>
          <w:rFonts w:ascii="Arial" w:hAnsi="Arial" w:cs="Arial"/>
          <w:sz w:val="24"/>
          <w:szCs w:val="24"/>
          <w:lang w:val="en-ZA"/>
        </w:rPr>
        <w:t xml:space="preserve"> </w:t>
      </w:r>
      <w:r w:rsidRPr="008C745D">
        <w:rPr>
          <w:rFonts w:ascii="Arial" w:hAnsi="Arial" w:cs="Arial"/>
          <w:sz w:val="24"/>
          <w:szCs w:val="24"/>
          <w:lang w:val="en-ZA"/>
        </w:rPr>
        <w:t xml:space="preserve">Employers can make sure that their affirmative action policies are supported by evidence and logically related to their goals by matching affirmative action policies with workforce demographic data. This notion has been reaffirmed in case law such as </w:t>
      </w:r>
      <w:r w:rsidRPr="008C745D">
        <w:rPr>
          <w:rFonts w:ascii="Arial" w:hAnsi="Arial" w:cs="Arial"/>
          <w:i/>
          <w:iCs/>
          <w:sz w:val="24"/>
          <w:szCs w:val="24"/>
          <w:lang w:val="en-ZA"/>
        </w:rPr>
        <w:t>Minister of Finance v Van Heerden</w:t>
      </w:r>
      <w:r w:rsidRPr="008C745D">
        <w:rPr>
          <w:rFonts w:ascii="Arial" w:hAnsi="Arial" w:cs="Arial"/>
          <w:sz w:val="24"/>
          <w:szCs w:val="24"/>
          <w:lang w:val="en-ZA"/>
        </w:rPr>
        <w:t>.</w:t>
      </w:r>
    </w:p>
    <w:p w14:paraId="3BB73E7B" w14:textId="77777777" w:rsidR="00226F8F" w:rsidRPr="003D23C4" w:rsidRDefault="00226F8F" w:rsidP="00226F8F">
      <w:pPr>
        <w:spacing w:line="360" w:lineRule="auto"/>
        <w:jc w:val="both"/>
        <w:rPr>
          <w:rFonts w:ascii="Arial" w:hAnsi="Arial" w:cs="Arial"/>
          <w:sz w:val="24"/>
          <w:szCs w:val="24"/>
          <w:lang w:val="en-ZA"/>
        </w:rPr>
      </w:pPr>
      <w:r w:rsidRPr="003D23C4">
        <w:rPr>
          <w:rFonts w:ascii="Arial" w:hAnsi="Arial" w:cs="Arial"/>
          <w:sz w:val="24"/>
          <w:szCs w:val="24"/>
          <w:lang w:val="en-ZA"/>
        </w:rPr>
        <w:t xml:space="preserve">As required by section 21 of the </w:t>
      </w:r>
      <w:r w:rsidRPr="003D23C4">
        <w:rPr>
          <w:rFonts w:ascii="Arial" w:hAnsi="Arial" w:cs="Arial"/>
          <w:i/>
          <w:iCs/>
          <w:sz w:val="24"/>
          <w:szCs w:val="24"/>
          <w:lang w:val="en-ZA"/>
        </w:rPr>
        <w:t>EEA</w:t>
      </w:r>
      <w:r w:rsidRPr="003D23C4">
        <w:rPr>
          <w:rFonts w:ascii="Arial" w:hAnsi="Arial" w:cs="Arial"/>
          <w:sz w:val="24"/>
          <w:szCs w:val="24"/>
          <w:lang w:val="en-ZA"/>
        </w:rPr>
        <w:t>, the necessity of reporting and adhering to regulatory oversight was also considered as a crucial component of implementing affirmative action. Further highlighting the importance of following procedures, noncompliance with reporting requirements can make affirmative action policies illegal and subject employers to legal repercussions.</w:t>
      </w:r>
      <w:r w:rsidRPr="003D23C4">
        <w:rPr>
          <w:rFonts w:ascii="Times New Roman" w:eastAsia="Times New Roman" w:hAnsi="Times New Roman" w:cs="Times New Roman"/>
          <w:kern w:val="0"/>
          <w:sz w:val="24"/>
          <w:szCs w:val="24"/>
          <w:lang w:val="en-ZA" w:eastAsia="en-ZA"/>
          <w14:ligatures w14:val="none"/>
        </w:rPr>
        <w:t xml:space="preserve"> </w:t>
      </w:r>
      <w:r w:rsidRPr="003D23C4">
        <w:rPr>
          <w:rFonts w:ascii="Arial" w:hAnsi="Arial" w:cs="Arial"/>
          <w:sz w:val="24"/>
          <w:szCs w:val="24"/>
          <w:lang w:val="en-ZA"/>
        </w:rPr>
        <w:t xml:space="preserve">The need for equal representation and reasonable accommodation, which calls for striking a balance between affirmative action goals and operational effectiveness, was one of the major issues this chapter examined. The discussion focused on court rulings that support numerical goals that advance fair representation but cautions against strict quotas. The </w:t>
      </w:r>
      <w:r w:rsidRPr="003D23C4">
        <w:rPr>
          <w:rFonts w:ascii="Arial" w:hAnsi="Arial" w:cs="Arial"/>
          <w:i/>
          <w:iCs/>
          <w:sz w:val="24"/>
          <w:szCs w:val="24"/>
          <w:lang w:val="en-ZA"/>
        </w:rPr>
        <w:t>Barnard</w:t>
      </w:r>
      <w:r w:rsidRPr="003D23C4">
        <w:rPr>
          <w:rFonts w:ascii="Arial" w:hAnsi="Arial" w:cs="Arial"/>
          <w:sz w:val="24"/>
          <w:szCs w:val="24"/>
          <w:lang w:val="en-ZA"/>
        </w:rPr>
        <w:t xml:space="preserve"> case reinforced the idea that affirmative action policies need to be adaptable and context-sensitive by providing a crucial example of how courts evaluate the rationality and proportionality of such measures.</w:t>
      </w:r>
      <w:r>
        <w:rPr>
          <w:rFonts w:ascii="Arial" w:hAnsi="Arial" w:cs="Arial"/>
          <w:sz w:val="24"/>
          <w:szCs w:val="24"/>
          <w:lang w:val="en-ZA"/>
        </w:rPr>
        <w:t xml:space="preserve"> </w:t>
      </w:r>
    </w:p>
    <w:p w14:paraId="7276DD6A" w14:textId="77777777" w:rsidR="004A165D" w:rsidRPr="004A165D" w:rsidRDefault="004A165D" w:rsidP="004A165D">
      <w:pPr>
        <w:spacing w:line="360" w:lineRule="auto"/>
        <w:jc w:val="both"/>
        <w:rPr>
          <w:rFonts w:ascii="Arial" w:hAnsi="Arial" w:cs="Arial"/>
          <w:sz w:val="24"/>
          <w:szCs w:val="24"/>
          <w:lang w:val="en-ZA"/>
        </w:rPr>
      </w:pPr>
      <w:r w:rsidRPr="004A165D">
        <w:rPr>
          <w:rFonts w:ascii="Arial" w:hAnsi="Arial" w:cs="Arial"/>
          <w:sz w:val="24"/>
          <w:szCs w:val="24"/>
          <w:lang w:val="en-ZA"/>
        </w:rPr>
        <w:t xml:space="preserve">Finally, the conclusions reached demonstrate that affirmative action is a tool intended to advance substantive equality, and that its application is based on certain legal requirements rather than personal privilege. Even in the context of affirmative action programs, legal precedents emphasize that promotions and appointments must be made </w:t>
      </w:r>
      <w:proofErr w:type="gramStart"/>
      <w:r w:rsidRPr="004A165D">
        <w:rPr>
          <w:rFonts w:ascii="Arial" w:hAnsi="Arial" w:cs="Arial"/>
          <w:sz w:val="24"/>
          <w:szCs w:val="24"/>
          <w:lang w:val="en-ZA"/>
        </w:rPr>
        <w:t>on the basis of</w:t>
      </w:r>
      <w:proofErr w:type="gramEnd"/>
      <w:r w:rsidRPr="004A165D">
        <w:rPr>
          <w:rFonts w:ascii="Arial" w:hAnsi="Arial" w:cs="Arial"/>
          <w:sz w:val="24"/>
          <w:szCs w:val="24"/>
          <w:lang w:val="en-ZA"/>
        </w:rPr>
        <w:t xml:space="preserve"> qualifications, merit, and the organization's operational needs. Affirmative action must strike a balance between merit and reparation </w:t>
      </w:r>
      <w:proofErr w:type="gramStart"/>
      <w:r w:rsidRPr="004A165D">
        <w:rPr>
          <w:rFonts w:ascii="Arial" w:hAnsi="Arial" w:cs="Arial"/>
          <w:sz w:val="24"/>
          <w:szCs w:val="24"/>
          <w:lang w:val="en-ZA"/>
        </w:rPr>
        <w:t xml:space="preserve">in order </w:t>
      </w:r>
      <w:r w:rsidRPr="004A165D">
        <w:rPr>
          <w:rFonts w:ascii="Arial" w:hAnsi="Arial" w:cs="Arial"/>
          <w:sz w:val="24"/>
          <w:szCs w:val="24"/>
          <w:lang w:val="en-ZA"/>
        </w:rPr>
        <w:lastRenderedPageBreak/>
        <w:t>to</w:t>
      </w:r>
      <w:proofErr w:type="gramEnd"/>
      <w:r w:rsidRPr="004A165D">
        <w:rPr>
          <w:rFonts w:ascii="Arial" w:hAnsi="Arial" w:cs="Arial"/>
          <w:sz w:val="24"/>
          <w:szCs w:val="24"/>
          <w:lang w:val="en-ZA"/>
        </w:rPr>
        <w:t xml:space="preserve"> promote transformative justice without jeopardizing the integrity and efficacy of organizational structures.</w:t>
      </w:r>
    </w:p>
    <w:p w14:paraId="0B56FCD2" w14:textId="77777777" w:rsidR="00226F8F" w:rsidRDefault="00226F8F" w:rsidP="004A165D">
      <w:pPr>
        <w:spacing w:line="360" w:lineRule="auto"/>
        <w:jc w:val="both"/>
        <w:rPr>
          <w:rFonts w:ascii="Arial" w:hAnsi="Arial" w:cs="Arial"/>
          <w:sz w:val="24"/>
          <w:szCs w:val="24"/>
        </w:rPr>
      </w:pPr>
      <w:r>
        <w:rPr>
          <w:rFonts w:ascii="Arial" w:hAnsi="Arial" w:cs="Arial"/>
          <w:sz w:val="24"/>
          <w:szCs w:val="24"/>
        </w:rPr>
        <w:br w:type="page"/>
      </w:r>
    </w:p>
    <w:p w14:paraId="29C3CD55" w14:textId="77777777" w:rsidR="00965D37" w:rsidRPr="00226F8F" w:rsidRDefault="00965D37" w:rsidP="00226F8F">
      <w:pPr>
        <w:spacing w:line="360" w:lineRule="auto"/>
        <w:jc w:val="both"/>
        <w:rPr>
          <w:rFonts w:ascii="Arial" w:hAnsi="Arial" w:cs="Arial"/>
          <w:sz w:val="24"/>
          <w:szCs w:val="24"/>
        </w:rPr>
      </w:pPr>
    </w:p>
    <w:p w14:paraId="58A7261B" w14:textId="38239C31" w:rsidR="00496AFB" w:rsidRPr="00965D37" w:rsidRDefault="00496AFB" w:rsidP="00965D37">
      <w:pPr>
        <w:pStyle w:val="Heading1"/>
        <w:jc w:val="center"/>
        <w:rPr>
          <w:sz w:val="28"/>
          <w:szCs w:val="28"/>
        </w:rPr>
      </w:pPr>
      <w:bookmarkStart w:id="236" w:name="_Toc189739383"/>
      <w:r w:rsidRPr="00965D37">
        <w:rPr>
          <w:sz w:val="28"/>
          <w:szCs w:val="28"/>
        </w:rPr>
        <w:t xml:space="preserve">CHAPTER </w:t>
      </w:r>
      <w:r w:rsidR="00226F8F">
        <w:rPr>
          <w:sz w:val="28"/>
          <w:szCs w:val="28"/>
        </w:rPr>
        <w:t>4</w:t>
      </w:r>
      <w:bookmarkEnd w:id="236"/>
    </w:p>
    <w:p w14:paraId="1F6DCA94" w14:textId="77777777" w:rsidR="00496AFB" w:rsidRPr="00965D37" w:rsidRDefault="00496AFB" w:rsidP="00965D37">
      <w:pPr>
        <w:pStyle w:val="Heading1"/>
        <w:jc w:val="center"/>
        <w:rPr>
          <w:sz w:val="28"/>
          <w:szCs w:val="28"/>
        </w:rPr>
      </w:pPr>
      <w:bookmarkStart w:id="237" w:name="_Toc189739384"/>
      <w:r w:rsidRPr="00965D37">
        <w:rPr>
          <w:sz w:val="28"/>
          <w:szCs w:val="28"/>
        </w:rPr>
        <w:t>CONCLUSION AND RECOMMENDATIONS</w:t>
      </w:r>
      <w:bookmarkEnd w:id="237"/>
    </w:p>
    <w:p w14:paraId="52015167" w14:textId="77777777" w:rsidR="00496AFB" w:rsidRPr="00496AFB" w:rsidRDefault="00496AFB" w:rsidP="00496AFB">
      <w:pPr>
        <w:spacing w:line="360" w:lineRule="auto"/>
        <w:rPr>
          <w:rFonts w:ascii="Arial" w:hAnsi="Arial" w:cs="Arial"/>
          <w:sz w:val="28"/>
          <w:szCs w:val="28"/>
        </w:rPr>
      </w:pPr>
    </w:p>
    <w:p w14:paraId="00988339" w14:textId="77777777" w:rsidR="00900CFB" w:rsidRDefault="00C7670D" w:rsidP="00C7670D">
      <w:pPr>
        <w:autoSpaceDN w:val="0"/>
        <w:spacing w:line="360" w:lineRule="auto"/>
        <w:jc w:val="both"/>
        <w:rPr>
          <w:rFonts w:ascii="Arial" w:hAnsi="Arial" w:cs="Arial"/>
          <w:sz w:val="24"/>
          <w:szCs w:val="24"/>
          <w:lang w:val="en-ZA"/>
        </w:rPr>
      </w:pPr>
      <w:r w:rsidRPr="00C7670D">
        <w:rPr>
          <w:rFonts w:ascii="Arial" w:hAnsi="Arial" w:cs="Arial"/>
          <w:sz w:val="24"/>
          <w:szCs w:val="24"/>
          <w:lang w:val="en-ZA"/>
        </w:rPr>
        <w:t xml:space="preserve">Affirmative action in South Africa has been extensively </w:t>
      </w:r>
      <w:proofErr w:type="spellStart"/>
      <w:r w:rsidRPr="00C7670D">
        <w:rPr>
          <w:rFonts w:ascii="Arial" w:hAnsi="Arial" w:cs="Arial"/>
          <w:sz w:val="24"/>
          <w:szCs w:val="24"/>
          <w:lang w:val="en-ZA"/>
        </w:rPr>
        <w:t>analyzed</w:t>
      </w:r>
      <w:proofErr w:type="spellEnd"/>
      <w:r w:rsidRPr="00C7670D">
        <w:rPr>
          <w:rFonts w:ascii="Arial" w:hAnsi="Arial" w:cs="Arial"/>
          <w:sz w:val="24"/>
          <w:szCs w:val="24"/>
          <w:lang w:val="en-ZA"/>
        </w:rPr>
        <w:t xml:space="preserve"> in this study, with an emphasis on its historical, legal, and practical ramifications in the hiring and advancement processes. Three main research questions were examined: What are the legal and historical underpinnings of affirmative action, specifically </w:t>
      </w:r>
      <w:proofErr w:type="gramStart"/>
      <w:r w:rsidRPr="00C7670D">
        <w:rPr>
          <w:rFonts w:ascii="Arial" w:hAnsi="Arial" w:cs="Arial"/>
          <w:sz w:val="24"/>
          <w:szCs w:val="24"/>
          <w:lang w:val="en-ZA"/>
        </w:rPr>
        <w:t>with regard to</w:t>
      </w:r>
      <w:proofErr w:type="gramEnd"/>
      <w:r w:rsidRPr="00C7670D">
        <w:rPr>
          <w:rFonts w:ascii="Arial" w:hAnsi="Arial" w:cs="Arial"/>
          <w:sz w:val="24"/>
          <w:szCs w:val="24"/>
          <w:lang w:val="en-ZA"/>
        </w:rPr>
        <w:t xml:space="preserve"> correcting historical injustices?</w:t>
      </w:r>
      <w:r>
        <w:rPr>
          <w:rFonts w:ascii="Arial" w:hAnsi="Arial" w:cs="Arial"/>
          <w:sz w:val="24"/>
          <w:szCs w:val="24"/>
          <w:lang w:val="en-ZA"/>
        </w:rPr>
        <w:t xml:space="preserve"> </w:t>
      </w:r>
      <w:r w:rsidRPr="00C7670D">
        <w:rPr>
          <w:rFonts w:ascii="Arial" w:hAnsi="Arial" w:cs="Arial"/>
          <w:sz w:val="24"/>
          <w:szCs w:val="24"/>
          <w:lang w:val="en-ZA"/>
        </w:rPr>
        <w:t xml:space="preserve">What legal conditions must an employer meet </w:t>
      </w:r>
      <w:proofErr w:type="gramStart"/>
      <w:r w:rsidRPr="00C7670D">
        <w:rPr>
          <w:rFonts w:ascii="Arial" w:hAnsi="Arial" w:cs="Arial"/>
          <w:sz w:val="24"/>
          <w:szCs w:val="24"/>
          <w:lang w:val="en-ZA"/>
        </w:rPr>
        <w:t>in order to</w:t>
      </w:r>
      <w:proofErr w:type="gramEnd"/>
      <w:r w:rsidRPr="00C7670D">
        <w:rPr>
          <w:rFonts w:ascii="Arial" w:hAnsi="Arial" w:cs="Arial"/>
          <w:sz w:val="24"/>
          <w:szCs w:val="24"/>
          <w:lang w:val="en-ZA"/>
        </w:rPr>
        <w:t xml:space="preserve"> guarantee the legitimacy and legality of the (non)implementation of affirmative action? </w:t>
      </w:r>
      <w:r>
        <w:rPr>
          <w:rFonts w:ascii="Arial" w:hAnsi="Arial" w:cs="Arial"/>
          <w:sz w:val="24"/>
          <w:szCs w:val="24"/>
          <w:lang w:val="en-ZA"/>
        </w:rPr>
        <w:t>And h</w:t>
      </w:r>
      <w:r w:rsidRPr="00C7670D">
        <w:rPr>
          <w:rFonts w:ascii="Arial" w:hAnsi="Arial" w:cs="Arial"/>
          <w:sz w:val="24"/>
          <w:szCs w:val="24"/>
          <w:lang w:val="en-ZA"/>
        </w:rPr>
        <w:t>ow much of an automatic entitlement to promotion or appointment does affirmative action confer?</w:t>
      </w:r>
      <w:r>
        <w:rPr>
          <w:rFonts w:ascii="Arial" w:hAnsi="Arial" w:cs="Arial"/>
          <w:sz w:val="24"/>
          <w:szCs w:val="24"/>
          <w:lang w:val="en-ZA"/>
        </w:rPr>
        <w:t xml:space="preserve"> </w:t>
      </w:r>
    </w:p>
    <w:p w14:paraId="1684D82E" w14:textId="00240320" w:rsidR="00C7670D" w:rsidRPr="00C7670D" w:rsidRDefault="00C7670D" w:rsidP="00C7670D">
      <w:pPr>
        <w:autoSpaceDN w:val="0"/>
        <w:spacing w:line="360" w:lineRule="auto"/>
        <w:jc w:val="both"/>
        <w:rPr>
          <w:rFonts w:ascii="Arial" w:hAnsi="Arial" w:cs="Arial"/>
          <w:sz w:val="24"/>
          <w:szCs w:val="24"/>
          <w:lang w:val="en-ZA"/>
        </w:rPr>
      </w:pPr>
      <w:r w:rsidRPr="00C7670D">
        <w:rPr>
          <w:rFonts w:ascii="Arial" w:hAnsi="Arial" w:cs="Arial"/>
          <w:sz w:val="24"/>
          <w:szCs w:val="24"/>
          <w:lang w:val="en-ZA"/>
        </w:rPr>
        <w:t>Because of the ongoing legal and ethical problem of striking a balance between redress, efficiency, fairness, and constitutional compliance, affirmative action is still a controversial topic in South Africa, making this study worthwhile. By examining constitutional principles, case law, and legislative provisions, this study clarified how affirmative action should be applied to attain substantive equality while preserving equity in hiring procedures.</w:t>
      </w:r>
    </w:p>
    <w:p w14:paraId="7447DAE6" w14:textId="7481C54C" w:rsidR="00C7670D" w:rsidRDefault="00C7670D" w:rsidP="00C7670D">
      <w:pPr>
        <w:autoSpaceDN w:val="0"/>
        <w:spacing w:line="360" w:lineRule="auto"/>
        <w:jc w:val="both"/>
        <w:rPr>
          <w:rFonts w:ascii="Arial" w:hAnsi="Arial" w:cs="Arial"/>
          <w:sz w:val="24"/>
          <w:szCs w:val="24"/>
          <w:lang w:val="en-ZA"/>
        </w:rPr>
      </w:pPr>
      <w:r w:rsidRPr="00C7670D">
        <w:rPr>
          <w:rFonts w:ascii="Arial" w:hAnsi="Arial" w:cs="Arial"/>
          <w:sz w:val="24"/>
          <w:szCs w:val="24"/>
          <w:lang w:val="en-ZA"/>
        </w:rPr>
        <w:t>Chapter 1 laid the groundwork for the investigation</w:t>
      </w:r>
      <w:r>
        <w:rPr>
          <w:rFonts w:ascii="Arial" w:hAnsi="Arial" w:cs="Arial"/>
          <w:sz w:val="24"/>
          <w:szCs w:val="24"/>
          <w:lang w:val="en-ZA"/>
        </w:rPr>
        <w:t xml:space="preserve"> by</w:t>
      </w:r>
      <w:r w:rsidRPr="00C7670D">
        <w:rPr>
          <w:rFonts w:ascii="Arial" w:hAnsi="Arial" w:cs="Arial"/>
          <w:sz w:val="24"/>
          <w:szCs w:val="24"/>
          <w:lang w:val="en-ZA"/>
        </w:rPr>
        <w:t xml:space="preserve"> defining affirmative action within the context of South Africa's constitution and emphasizing its function in redressing historical injustices. The main legal foundation for affirmative action was determined to be </w:t>
      </w:r>
      <w:r>
        <w:rPr>
          <w:rFonts w:ascii="Arial" w:hAnsi="Arial" w:cs="Arial"/>
          <w:sz w:val="24"/>
          <w:szCs w:val="24"/>
          <w:lang w:val="en-ZA"/>
        </w:rPr>
        <w:t>s</w:t>
      </w:r>
      <w:r w:rsidRPr="00C7670D">
        <w:rPr>
          <w:rFonts w:ascii="Arial" w:hAnsi="Arial" w:cs="Arial"/>
          <w:sz w:val="24"/>
          <w:szCs w:val="24"/>
          <w:lang w:val="en-ZA"/>
        </w:rPr>
        <w:t xml:space="preserve">ection 9(2) of the </w:t>
      </w:r>
      <w:r w:rsidRPr="00C7670D">
        <w:rPr>
          <w:rFonts w:ascii="Arial" w:hAnsi="Arial" w:cs="Arial"/>
          <w:i/>
          <w:iCs/>
          <w:sz w:val="24"/>
          <w:szCs w:val="24"/>
          <w:lang w:val="en-ZA"/>
        </w:rPr>
        <w:t>Constitution</w:t>
      </w:r>
      <w:r w:rsidRPr="00C7670D">
        <w:rPr>
          <w:rFonts w:ascii="Arial" w:hAnsi="Arial" w:cs="Arial"/>
          <w:sz w:val="24"/>
          <w:szCs w:val="24"/>
          <w:lang w:val="en-ZA"/>
        </w:rPr>
        <w:t xml:space="preserve">, which guarantees that actions are done to advance substantive equality. Key research topics were raised in this chapter, including whether affirmative action confers an automatic right to be appointed or promoted and what legal requirements must be fulfilled for its use to be legal. </w:t>
      </w:r>
    </w:p>
    <w:p w14:paraId="27AC0FC1" w14:textId="13E030FD" w:rsidR="00522705" w:rsidRPr="00522705" w:rsidRDefault="00170DB7" w:rsidP="00522705">
      <w:pPr>
        <w:autoSpaceDN w:val="0"/>
        <w:spacing w:line="360" w:lineRule="auto"/>
        <w:jc w:val="both"/>
        <w:rPr>
          <w:rFonts w:ascii="Arial" w:hAnsi="Arial" w:cs="Arial"/>
          <w:sz w:val="24"/>
          <w:szCs w:val="24"/>
          <w:lang w:val="en-ZA"/>
        </w:rPr>
      </w:pPr>
      <w:r>
        <w:rPr>
          <w:rFonts w:ascii="Arial" w:hAnsi="Arial" w:cs="Arial"/>
          <w:sz w:val="24"/>
          <w:szCs w:val="24"/>
          <w:lang w:val="en-ZA"/>
        </w:rPr>
        <w:t>Chapter 2 examined t</w:t>
      </w:r>
      <w:r w:rsidR="00582E50" w:rsidRPr="00582E50">
        <w:rPr>
          <w:rFonts w:ascii="Arial" w:hAnsi="Arial" w:cs="Arial"/>
          <w:sz w:val="24"/>
          <w:szCs w:val="24"/>
          <w:lang w:val="en-ZA"/>
        </w:rPr>
        <w:t xml:space="preserve">he historical background of workplace inequality in South Africa, which also showed how discriminatory laws solidified economic exclusion based on race and gender. It looked at laws from the apartheid era that limited economic involvement and strengthened structural inequality. </w:t>
      </w:r>
      <w:proofErr w:type="gramStart"/>
      <w:r w:rsidR="00582E50" w:rsidRPr="00582E50">
        <w:rPr>
          <w:rFonts w:ascii="Arial" w:hAnsi="Arial" w:cs="Arial"/>
          <w:sz w:val="24"/>
          <w:szCs w:val="24"/>
          <w:lang w:val="en-ZA"/>
        </w:rPr>
        <w:t>In order to</w:t>
      </w:r>
      <w:proofErr w:type="gramEnd"/>
      <w:r w:rsidR="00582E50" w:rsidRPr="00582E50">
        <w:rPr>
          <w:rFonts w:ascii="Arial" w:hAnsi="Arial" w:cs="Arial"/>
          <w:sz w:val="24"/>
          <w:szCs w:val="24"/>
          <w:lang w:val="en-ZA"/>
        </w:rPr>
        <w:t xml:space="preserve"> address historical discrimination, the chapter also examined post-1994 legislative reforms such as the </w:t>
      </w:r>
      <w:r w:rsidR="00582E50" w:rsidRPr="00582E50">
        <w:rPr>
          <w:rFonts w:ascii="Arial" w:hAnsi="Arial" w:cs="Arial"/>
          <w:i/>
          <w:iCs/>
          <w:sz w:val="24"/>
          <w:szCs w:val="24"/>
          <w:lang w:val="en-ZA"/>
        </w:rPr>
        <w:lastRenderedPageBreak/>
        <w:t>EEA</w:t>
      </w:r>
      <w:r w:rsidR="00582E50" w:rsidRPr="00582E50">
        <w:rPr>
          <w:rFonts w:ascii="Arial" w:hAnsi="Arial" w:cs="Arial"/>
          <w:sz w:val="24"/>
          <w:szCs w:val="24"/>
          <w:lang w:val="en-ZA"/>
        </w:rPr>
        <w:t xml:space="preserve"> and the </w:t>
      </w:r>
      <w:r w:rsidR="00582E50" w:rsidRPr="00582E50">
        <w:rPr>
          <w:rFonts w:ascii="Arial" w:hAnsi="Arial" w:cs="Arial"/>
          <w:i/>
          <w:iCs/>
          <w:sz w:val="24"/>
          <w:szCs w:val="24"/>
          <w:lang w:val="en-ZA"/>
        </w:rPr>
        <w:t>BBBEE</w:t>
      </w:r>
      <w:r w:rsidR="00582E50" w:rsidRPr="00582E50">
        <w:rPr>
          <w:rFonts w:ascii="Arial" w:hAnsi="Arial" w:cs="Arial"/>
          <w:i/>
          <w:iCs/>
          <w:sz w:val="24"/>
          <w:szCs w:val="24"/>
          <w:lang w:val="en-ZA"/>
        </w:rPr>
        <w:t xml:space="preserve"> </w:t>
      </w:r>
      <w:r w:rsidR="00582E50" w:rsidRPr="00582E50">
        <w:rPr>
          <w:rFonts w:ascii="Arial" w:hAnsi="Arial" w:cs="Arial"/>
          <w:i/>
          <w:iCs/>
          <w:sz w:val="24"/>
          <w:szCs w:val="24"/>
          <w:lang w:val="en-ZA"/>
        </w:rPr>
        <w:t>Act</w:t>
      </w:r>
      <w:r w:rsidR="00582E50" w:rsidRPr="00582E50">
        <w:rPr>
          <w:rFonts w:ascii="Arial" w:hAnsi="Arial" w:cs="Arial"/>
          <w:sz w:val="24"/>
          <w:szCs w:val="24"/>
          <w:lang w:val="en-ZA"/>
        </w:rPr>
        <w:t>. This chapter addressed the first research question, which was about the legal and historical underpinnings of affirmative action. It showed that affirmative action is a corrective measure that is based on statutory and constitutional mandates that aim to achieve substantive equality rather than just formal equality.</w:t>
      </w:r>
      <w:r w:rsidR="00522705">
        <w:rPr>
          <w:rFonts w:ascii="Arial" w:hAnsi="Arial" w:cs="Arial"/>
          <w:sz w:val="24"/>
          <w:szCs w:val="24"/>
          <w:lang w:val="en-ZA"/>
        </w:rPr>
        <w:t xml:space="preserve"> </w:t>
      </w:r>
      <w:r w:rsidR="00522705" w:rsidRPr="00522705">
        <w:rPr>
          <w:rFonts w:ascii="Arial" w:hAnsi="Arial" w:cs="Arial"/>
          <w:sz w:val="24"/>
          <w:szCs w:val="24"/>
          <w:lang w:val="en-ZA"/>
        </w:rPr>
        <w:t>This chapter also advanced the conceptual understanding of substantive equality by highlighting its function as the cornerstone of affirmative action and differentiating it from formal equality.</w:t>
      </w:r>
    </w:p>
    <w:p w14:paraId="671B4806" w14:textId="30C250AF" w:rsidR="00170DB7" w:rsidRPr="00170DB7" w:rsidRDefault="00170DB7" w:rsidP="00170DB7">
      <w:pPr>
        <w:autoSpaceDN w:val="0"/>
        <w:spacing w:line="360" w:lineRule="auto"/>
        <w:jc w:val="both"/>
        <w:rPr>
          <w:rFonts w:ascii="Arial" w:hAnsi="Arial" w:cs="Arial"/>
          <w:sz w:val="24"/>
          <w:szCs w:val="24"/>
          <w:lang w:val="en-ZA"/>
        </w:rPr>
      </w:pPr>
      <w:r>
        <w:rPr>
          <w:rFonts w:ascii="Arial" w:hAnsi="Arial" w:cs="Arial"/>
          <w:sz w:val="24"/>
          <w:szCs w:val="24"/>
          <w:lang w:val="en-ZA"/>
        </w:rPr>
        <w:t>Chapter 3 reviewed t</w:t>
      </w:r>
      <w:r w:rsidRPr="00170DB7">
        <w:rPr>
          <w:rFonts w:ascii="Arial" w:hAnsi="Arial" w:cs="Arial"/>
          <w:sz w:val="24"/>
          <w:szCs w:val="24"/>
          <w:lang w:val="en-ZA"/>
        </w:rPr>
        <w:t xml:space="preserve">he legal framework governing affirmative action's implementation and non-implementation. It detailed the legal requirements placed on employers by </w:t>
      </w:r>
      <w:r w:rsidRPr="00170DB7">
        <w:rPr>
          <w:rFonts w:ascii="Arial" w:hAnsi="Arial" w:cs="Arial"/>
          <w:i/>
          <w:iCs/>
          <w:sz w:val="24"/>
          <w:szCs w:val="24"/>
          <w:lang w:val="en-ZA"/>
        </w:rPr>
        <w:t>EEA</w:t>
      </w:r>
      <w:r w:rsidRPr="00170DB7">
        <w:rPr>
          <w:rFonts w:ascii="Arial" w:hAnsi="Arial" w:cs="Arial"/>
          <w:sz w:val="24"/>
          <w:szCs w:val="24"/>
          <w:lang w:val="en-ZA"/>
        </w:rPr>
        <w:t xml:space="preserve">, such as the requirement that designated employers create employment equity plans, do workforce analyses, and set numerical goals that encourage diversity without requiring strict quotas. </w:t>
      </w:r>
      <w:proofErr w:type="gramStart"/>
      <w:r w:rsidRPr="00170DB7">
        <w:rPr>
          <w:rFonts w:ascii="Arial" w:hAnsi="Arial" w:cs="Arial"/>
          <w:sz w:val="24"/>
          <w:szCs w:val="24"/>
          <w:lang w:val="en-ZA"/>
        </w:rPr>
        <w:t>In order to</w:t>
      </w:r>
      <w:proofErr w:type="gramEnd"/>
      <w:r w:rsidRPr="00170DB7">
        <w:rPr>
          <w:rFonts w:ascii="Arial" w:hAnsi="Arial" w:cs="Arial"/>
          <w:sz w:val="24"/>
          <w:szCs w:val="24"/>
          <w:lang w:val="en-ZA"/>
        </w:rPr>
        <w:t xml:space="preserve"> achieve equitable representation, the legal criteria serve</w:t>
      </w:r>
      <w:r>
        <w:rPr>
          <w:rFonts w:ascii="Arial" w:hAnsi="Arial" w:cs="Arial"/>
          <w:sz w:val="24"/>
          <w:szCs w:val="24"/>
          <w:lang w:val="en-ZA"/>
        </w:rPr>
        <w:t xml:space="preserve"> </w:t>
      </w:r>
      <w:r w:rsidRPr="00170DB7">
        <w:rPr>
          <w:rFonts w:ascii="Arial" w:hAnsi="Arial" w:cs="Arial"/>
          <w:sz w:val="24"/>
          <w:szCs w:val="24"/>
          <w:lang w:val="en-ZA"/>
        </w:rPr>
        <w:t>to guarantee that affirmative action policies are reasonable, fair, and appropriate.</w:t>
      </w:r>
      <w:r>
        <w:rPr>
          <w:rFonts w:ascii="Arial" w:hAnsi="Arial" w:cs="Arial"/>
          <w:sz w:val="24"/>
          <w:szCs w:val="24"/>
          <w:lang w:val="en-ZA"/>
        </w:rPr>
        <w:t xml:space="preserve"> </w:t>
      </w:r>
      <w:r w:rsidRPr="00170DB7">
        <w:rPr>
          <w:rFonts w:ascii="Arial" w:hAnsi="Arial" w:cs="Arial"/>
          <w:sz w:val="24"/>
          <w:szCs w:val="24"/>
          <w:lang w:val="en-ZA"/>
        </w:rPr>
        <w:t xml:space="preserve">The chapter examined situations in which affirmative action policies would not be legally obligatory </w:t>
      </w:r>
      <w:proofErr w:type="gramStart"/>
      <w:r w:rsidRPr="00170DB7">
        <w:rPr>
          <w:rFonts w:ascii="Arial" w:hAnsi="Arial" w:cs="Arial"/>
          <w:sz w:val="24"/>
          <w:szCs w:val="24"/>
          <w:lang w:val="en-ZA"/>
        </w:rPr>
        <w:t>in order to</w:t>
      </w:r>
      <w:proofErr w:type="gramEnd"/>
      <w:r w:rsidRPr="00170DB7">
        <w:rPr>
          <w:rFonts w:ascii="Arial" w:hAnsi="Arial" w:cs="Arial"/>
          <w:sz w:val="24"/>
          <w:szCs w:val="24"/>
          <w:lang w:val="en-ZA"/>
        </w:rPr>
        <w:t xml:space="preserve"> address motives behind non-implementation. These include situations where candidates fail to satisfy the standards for assigned positions, where operational needs demand a particular skill level, or where workforce demographics already reflect equitable representation.</w:t>
      </w:r>
      <w:r>
        <w:rPr>
          <w:rFonts w:ascii="Arial" w:hAnsi="Arial" w:cs="Arial"/>
          <w:sz w:val="24"/>
          <w:szCs w:val="24"/>
          <w:lang w:val="en-ZA"/>
        </w:rPr>
        <w:t xml:space="preserve"> </w:t>
      </w:r>
      <w:r w:rsidRPr="00170DB7">
        <w:rPr>
          <w:rFonts w:ascii="Arial" w:hAnsi="Arial" w:cs="Arial"/>
          <w:sz w:val="24"/>
          <w:szCs w:val="24"/>
          <w:lang w:val="en-ZA"/>
        </w:rPr>
        <w:t xml:space="preserve">The idea that affirmative action is constitutionally required but cannot cause excessive hardship or reverse discrimination was reaffirmed by court decisions like </w:t>
      </w:r>
      <w:r w:rsidRPr="00170DB7">
        <w:rPr>
          <w:rFonts w:ascii="Arial" w:hAnsi="Arial" w:cs="Arial"/>
          <w:i/>
          <w:iCs/>
          <w:sz w:val="24"/>
          <w:szCs w:val="24"/>
          <w:lang w:val="en-ZA"/>
        </w:rPr>
        <w:t>Minister of Finance v Van Heerden</w:t>
      </w:r>
      <w:r w:rsidRPr="00170DB7">
        <w:rPr>
          <w:rFonts w:ascii="Arial" w:hAnsi="Arial" w:cs="Arial"/>
          <w:sz w:val="24"/>
          <w:szCs w:val="24"/>
          <w:lang w:val="en-ZA"/>
        </w:rPr>
        <w:t xml:space="preserve"> and </w:t>
      </w:r>
      <w:r w:rsidRPr="00170DB7">
        <w:rPr>
          <w:rFonts w:ascii="Arial" w:hAnsi="Arial" w:cs="Arial"/>
          <w:i/>
          <w:iCs/>
          <w:sz w:val="24"/>
          <w:szCs w:val="24"/>
          <w:lang w:val="en-ZA"/>
        </w:rPr>
        <w:t>South African Police Service v Solidarity obo Barnard</w:t>
      </w:r>
      <w:r w:rsidRPr="00170DB7">
        <w:rPr>
          <w:rFonts w:ascii="Arial" w:hAnsi="Arial" w:cs="Arial"/>
          <w:sz w:val="24"/>
          <w:szCs w:val="24"/>
          <w:lang w:val="en-ZA"/>
        </w:rPr>
        <w:t xml:space="preserve">. According to the chapter's conclusion, affirmative action must be applied openly, with explicit compliance procedures and regular reviews to guarantee its efficacy and fairness, </w:t>
      </w:r>
      <w:proofErr w:type="gramStart"/>
      <w:r w:rsidRPr="00170DB7">
        <w:rPr>
          <w:rFonts w:ascii="Arial" w:hAnsi="Arial" w:cs="Arial"/>
          <w:sz w:val="24"/>
          <w:szCs w:val="24"/>
          <w:lang w:val="en-ZA"/>
        </w:rPr>
        <w:t>in order for</w:t>
      </w:r>
      <w:proofErr w:type="gramEnd"/>
      <w:r w:rsidRPr="00170DB7">
        <w:rPr>
          <w:rFonts w:ascii="Arial" w:hAnsi="Arial" w:cs="Arial"/>
          <w:sz w:val="24"/>
          <w:szCs w:val="24"/>
          <w:lang w:val="en-ZA"/>
        </w:rPr>
        <w:t xml:space="preserve"> it to be deemed legally acceptable.</w:t>
      </w:r>
    </w:p>
    <w:p w14:paraId="2432E7A8" w14:textId="77777777" w:rsidR="00900CFB" w:rsidRDefault="00170DB7" w:rsidP="00900CFB">
      <w:pPr>
        <w:autoSpaceDN w:val="0"/>
        <w:spacing w:line="360" w:lineRule="auto"/>
        <w:jc w:val="both"/>
        <w:rPr>
          <w:rFonts w:ascii="Arial" w:hAnsi="Arial" w:cs="Arial"/>
          <w:sz w:val="24"/>
          <w:szCs w:val="24"/>
          <w:lang w:val="en-ZA"/>
        </w:rPr>
      </w:pPr>
      <w:r w:rsidRPr="00170DB7">
        <w:rPr>
          <w:rFonts w:ascii="Arial" w:hAnsi="Arial" w:cs="Arial"/>
          <w:sz w:val="24"/>
          <w:szCs w:val="24"/>
          <w:lang w:val="en-ZA"/>
        </w:rPr>
        <w:t>According to the research, affirmative action offers a defined framework that requires companies to take enforcement measures to support diversity and equitable representation, but it does not automatically confer the right to be appointed or promoted.</w:t>
      </w:r>
      <w:r w:rsidR="00DC1B7F">
        <w:rPr>
          <w:rFonts w:ascii="Arial" w:hAnsi="Arial" w:cs="Arial"/>
          <w:sz w:val="24"/>
          <w:szCs w:val="24"/>
          <w:lang w:val="en-ZA"/>
        </w:rPr>
        <w:t xml:space="preserve"> </w:t>
      </w:r>
      <w:r w:rsidR="00DC1B7F" w:rsidRPr="00DC1B7F">
        <w:rPr>
          <w:rFonts w:ascii="Arial" w:hAnsi="Arial" w:cs="Arial"/>
          <w:sz w:val="24"/>
          <w:szCs w:val="24"/>
          <w:lang w:val="en-ZA"/>
        </w:rPr>
        <w:t xml:space="preserve">It is </w:t>
      </w:r>
      <w:r w:rsidR="00DC1B7F">
        <w:rPr>
          <w:rFonts w:ascii="Arial" w:hAnsi="Arial" w:cs="Arial"/>
          <w:sz w:val="24"/>
          <w:szCs w:val="24"/>
          <w:lang w:val="en-ZA"/>
        </w:rPr>
        <w:t xml:space="preserve">thus </w:t>
      </w:r>
      <w:r w:rsidR="00DC1B7F" w:rsidRPr="00DC1B7F">
        <w:rPr>
          <w:rFonts w:ascii="Arial" w:hAnsi="Arial" w:cs="Arial"/>
          <w:sz w:val="24"/>
          <w:szCs w:val="24"/>
          <w:lang w:val="en-ZA"/>
        </w:rPr>
        <w:t xml:space="preserve">recommended that affirmative action be implemented using a hybrid strategy that </w:t>
      </w:r>
      <w:proofErr w:type="gramStart"/>
      <w:r w:rsidR="00DC1B7F" w:rsidRPr="00DC1B7F">
        <w:rPr>
          <w:rFonts w:ascii="Arial" w:hAnsi="Arial" w:cs="Arial"/>
          <w:sz w:val="24"/>
          <w:szCs w:val="24"/>
          <w:lang w:val="en-ZA"/>
        </w:rPr>
        <w:t>takes into account</w:t>
      </w:r>
      <w:proofErr w:type="gramEnd"/>
      <w:r w:rsidR="00DC1B7F" w:rsidRPr="00DC1B7F">
        <w:rPr>
          <w:rFonts w:ascii="Arial" w:hAnsi="Arial" w:cs="Arial"/>
          <w:sz w:val="24"/>
          <w:szCs w:val="24"/>
          <w:lang w:val="en-ZA"/>
        </w:rPr>
        <w:t xml:space="preserve"> an individual's ability to fulfil minimal employment requirements as well as their membership in a particular demographic. This strategy is in line with the Employment Equity Act and section 9(2) of the Constitution, which place a significant value on proportionality and fairness in redress methods. Employers should thus make certain that their affirmative action programs </w:t>
      </w:r>
      <w:r w:rsidR="00DC1B7F" w:rsidRPr="00DC1B7F">
        <w:rPr>
          <w:rFonts w:ascii="Arial" w:hAnsi="Arial" w:cs="Arial"/>
          <w:sz w:val="24"/>
          <w:szCs w:val="24"/>
          <w:lang w:val="en-ZA"/>
        </w:rPr>
        <w:lastRenderedPageBreak/>
        <w:t>continue to be flexible, avoiding strict quotas and concentrating instead on diversity goals that adapt to the needs of their workforce and business needs.</w:t>
      </w:r>
      <w:r w:rsidR="00DC1B7F">
        <w:rPr>
          <w:rFonts w:ascii="Arial" w:hAnsi="Arial" w:cs="Arial"/>
          <w:sz w:val="24"/>
          <w:szCs w:val="24"/>
          <w:lang w:val="en-ZA"/>
        </w:rPr>
        <w:t xml:space="preserve"> </w:t>
      </w:r>
    </w:p>
    <w:p w14:paraId="72067A72" w14:textId="5A5C5B99" w:rsidR="00900CFB" w:rsidRPr="00900CFB" w:rsidRDefault="00900CFB" w:rsidP="00900CFB">
      <w:pPr>
        <w:autoSpaceDN w:val="0"/>
        <w:spacing w:line="360" w:lineRule="auto"/>
        <w:jc w:val="both"/>
        <w:rPr>
          <w:rFonts w:ascii="Arial" w:hAnsi="Arial" w:cs="Arial"/>
          <w:sz w:val="24"/>
          <w:szCs w:val="24"/>
          <w:lang w:val="en-ZA"/>
        </w:rPr>
      </w:pPr>
      <w:r w:rsidRPr="00900CFB">
        <w:rPr>
          <w:rFonts w:ascii="Arial" w:hAnsi="Arial" w:cs="Arial"/>
          <w:sz w:val="24"/>
          <w:szCs w:val="24"/>
          <w:lang w:val="en-ZA"/>
        </w:rPr>
        <w:t>Furthermore, explanations for why affirmative action shouldn't be implemented should be well-supported by legal evidence. To avoid future legal issues, employers should make sure that their actions are in line with employment regulations and constitutional values, whether they are meeting equitable representation goals or operating under operational restrictions. Affirmative action programs must be reasonable and proportionate, according to the courts, which emphasizes the necessity for employers to have thorough employment equity plans that support their hiring procedures.</w:t>
      </w:r>
    </w:p>
    <w:p w14:paraId="624D1CF6" w14:textId="4D77430D" w:rsidR="00900CFB" w:rsidRPr="00900CFB" w:rsidRDefault="00900CFB" w:rsidP="00900CFB">
      <w:pPr>
        <w:autoSpaceDN w:val="0"/>
        <w:spacing w:line="360" w:lineRule="auto"/>
        <w:jc w:val="both"/>
        <w:rPr>
          <w:rFonts w:ascii="Arial" w:hAnsi="Arial" w:cs="Arial"/>
          <w:sz w:val="24"/>
          <w:szCs w:val="24"/>
          <w:lang w:val="en-ZA"/>
        </w:rPr>
      </w:pPr>
      <w:r w:rsidRPr="00900CFB">
        <w:rPr>
          <w:rFonts w:ascii="Arial" w:hAnsi="Arial" w:cs="Arial"/>
          <w:sz w:val="24"/>
          <w:szCs w:val="24"/>
          <w:lang w:val="en-ZA"/>
        </w:rPr>
        <w:t xml:space="preserve">Lastly, affirmative action guidelines </w:t>
      </w:r>
      <w:r w:rsidRPr="00900CFB">
        <w:rPr>
          <w:rFonts w:ascii="Arial" w:hAnsi="Arial" w:cs="Arial"/>
          <w:sz w:val="24"/>
          <w:szCs w:val="24"/>
          <w:lang w:val="en-ZA"/>
        </w:rPr>
        <w:t>must</w:t>
      </w:r>
      <w:r w:rsidRPr="00900CFB">
        <w:rPr>
          <w:rFonts w:ascii="Arial" w:hAnsi="Arial" w:cs="Arial"/>
          <w:sz w:val="24"/>
          <w:szCs w:val="24"/>
          <w:lang w:val="en-ZA"/>
        </w:rPr>
        <w:t xml:space="preserve"> be flexible enough to accommodate South Africa's changing socioeconomic environment. Policies should move toward more comprehensive inclusion measures that support fair chances for all marginalized groups as transformation goals are achieved in certain sectors. A balanced strategy that promotes restitution while avoiding the creation of new forms of exclusion is essential to the sustainability of affirmative action.</w:t>
      </w:r>
    </w:p>
    <w:p w14:paraId="76D2E08E" w14:textId="7D945089" w:rsidR="00DC1B7F" w:rsidRPr="00DC1B7F" w:rsidRDefault="00DC1B7F" w:rsidP="00DC1B7F">
      <w:pPr>
        <w:autoSpaceDN w:val="0"/>
        <w:spacing w:line="360" w:lineRule="auto"/>
        <w:jc w:val="both"/>
        <w:rPr>
          <w:rFonts w:ascii="Arial" w:hAnsi="Arial" w:cs="Arial"/>
          <w:sz w:val="24"/>
          <w:szCs w:val="24"/>
          <w:lang w:val="en-ZA"/>
        </w:rPr>
      </w:pPr>
    </w:p>
    <w:p w14:paraId="69F15A68" w14:textId="12FDA1B9" w:rsidR="00170DB7" w:rsidRPr="00170DB7" w:rsidRDefault="00170DB7" w:rsidP="00170DB7">
      <w:pPr>
        <w:autoSpaceDN w:val="0"/>
        <w:spacing w:line="360" w:lineRule="auto"/>
        <w:jc w:val="both"/>
        <w:rPr>
          <w:rFonts w:ascii="Arial" w:hAnsi="Arial" w:cs="Arial"/>
          <w:sz w:val="24"/>
          <w:szCs w:val="24"/>
          <w:lang w:val="en-ZA"/>
        </w:rPr>
      </w:pPr>
    </w:p>
    <w:p w14:paraId="4B5A3D9F" w14:textId="1CA70E62" w:rsidR="00170DB7" w:rsidRPr="00170DB7" w:rsidRDefault="00170DB7" w:rsidP="00170DB7">
      <w:pPr>
        <w:autoSpaceDN w:val="0"/>
        <w:spacing w:line="360" w:lineRule="auto"/>
        <w:jc w:val="both"/>
        <w:rPr>
          <w:rFonts w:ascii="Arial" w:hAnsi="Arial" w:cs="Arial"/>
          <w:sz w:val="24"/>
          <w:szCs w:val="24"/>
          <w:lang w:val="en-ZA"/>
        </w:rPr>
      </w:pPr>
    </w:p>
    <w:p w14:paraId="14C0FC1C" w14:textId="5FFAD09B" w:rsidR="00170DB7" w:rsidRPr="00170DB7" w:rsidRDefault="00170DB7" w:rsidP="00170DB7">
      <w:pPr>
        <w:autoSpaceDN w:val="0"/>
        <w:spacing w:line="360" w:lineRule="auto"/>
        <w:jc w:val="both"/>
        <w:rPr>
          <w:rFonts w:ascii="Arial" w:hAnsi="Arial" w:cs="Arial"/>
          <w:sz w:val="24"/>
          <w:szCs w:val="24"/>
          <w:lang w:val="en-ZA"/>
        </w:rPr>
      </w:pPr>
    </w:p>
    <w:p w14:paraId="5F5CD554" w14:textId="0EE517C3" w:rsidR="00582E50" w:rsidRPr="00582E50" w:rsidRDefault="00582E50" w:rsidP="00582E50">
      <w:pPr>
        <w:autoSpaceDN w:val="0"/>
        <w:spacing w:line="360" w:lineRule="auto"/>
        <w:jc w:val="both"/>
        <w:rPr>
          <w:rFonts w:ascii="Arial" w:hAnsi="Arial" w:cs="Arial"/>
          <w:sz w:val="24"/>
          <w:szCs w:val="24"/>
          <w:lang w:val="en-ZA"/>
        </w:rPr>
      </w:pPr>
    </w:p>
    <w:p w14:paraId="58BD62BD" w14:textId="77777777" w:rsidR="00582E50" w:rsidRPr="00C7670D" w:rsidRDefault="00582E50" w:rsidP="00C7670D">
      <w:pPr>
        <w:autoSpaceDN w:val="0"/>
        <w:spacing w:line="360" w:lineRule="auto"/>
        <w:jc w:val="both"/>
        <w:rPr>
          <w:rFonts w:ascii="Arial" w:hAnsi="Arial" w:cs="Arial"/>
          <w:sz w:val="24"/>
          <w:szCs w:val="24"/>
          <w:lang w:val="en-ZA"/>
        </w:rPr>
      </w:pPr>
    </w:p>
    <w:p w14:paraId="60B6B444" w14:textId="0166252C" w:rsidR="00C7670D" w:rsidRPr="00C7670D" w:rsidRDefault="00C7670D" w:rsidP="00C7670D">
      <w:pPr>
        <w:autoSpaceDN w:val="0"/>
        <w:spacing w:line="360" w:lineRule="auto"/>
        <w:jc w:val="both"/>
        <w:rPr>
          <w:rFonts w:ascii="Arial" w:hAnsi="Arial" w:cs="Arial"/>
          <w:sz w:val="24"/>
          <w:szCs w:val="24"/>
          <w:lang w:val="en-ZA"/>
        </w:rPr>
      </w:pPr>
    </w:p>
    <w:p w14:paraId="4C9090FD" w14:textId="5570DD4C" w:rsidR="00DA0357" w:rsidRPr="009F38E3" w:rsidRDefault="00664603" w:rsidP="00DA0357">
      <w:pPr>
        <w:autoSpaceDN w:val="0"/>
        <w:spacing w:line="360" w:lineRule="auto"/>
        <w:jc w:val="both"/>
        <w:rPr>
          <w:rFonts w:ascii="Arial" w:eastAsia="Calibri" w:hAnsi="Arial" w:cs="Arial"/>
          <w:b/>
          <w:bCs/>
          <w:kern w:val="0"/>
          <w:sz w:val="24"/>
          <w:szCs w:val="24"/>
          <w14:ligatures w14:val="none"/>
        </w:rPr>
      </w:pPr>
      <w:r w:rsidRPr="009F38E3">
        <w:rPr>
          <w:rFonts w:ascii="Arial" w:hAnsi="Arial" w:cs="Arial"/>
          <w:sz w:val="24"/>
          <w:szCs w:val="24"/>
        </w:rPr>
        <w:br w:type="page"/>
      </w:r>
    </w:p>
    <w:p w14:paraId="0837D9BC" w14:textId="77777777" w:rsidR="007553DE" w:rsidRDefault="007553DE" w:rsidP="00965D37">
      <w:pPr>
        <w:pStyle w:val="Heading1"/>
        <w:rPr>
          <w:rFonts w:eastAsia="Calibri"/>
        </w:rPr>
      </w:pPr>
      <w:bookmarkStart w:id="238" w:name="_Toc189739385"/>
      <w:r>
        <w:rPr>
          <w:rFonts w:eastAsia="Calibri"/>
        </w:rPr>
        <w:lastRenderedPageBreak/>
        <w:t>BIBLIOGRAPHY</w:t>
      </w:r>
      <w:bookmarkEnd w:id="238"/>
      <w:r>
        <w:rPr>
          <w:rFonts w:eastAsia="Calibri"/>
        </w:rPr>
        <w:t xml:space="preserve"> </w:t>
      </w:r>
    </w:p>
    <w:p w14:paraId="3718C60C" w14:textId="1252A95C" w:rsidR="00BB7375" w:rsidRPr="00BB7375" w:rsidRDefault="00BB7375" w:rsidP="00BB7375">
      <w:pPr>
        <w:suppressAutoHyphens/>
        <w:autoSpaceDN w:val="0"/>
        <w:spacing w:line="360" w:lineRule="auto"/>
        <w:ind w:left="720" w:hanging="720"/>
        <w:rPr>
          <w:rFonts w:ascii="Arial" w:eastAsia="Calibri" w:hAnsi="Arial" w:cs="Arial"/>
          <w:color w:val="222222"/>
          <w:kern w:val="0"/>
          <w:sz w:val="24"/>
          <w:szCs w:val="24"/>
          <w:shd w:val="clear" w:color="auto" w:fill="FFFFFF"/>
          <w14:ligatures w14:val="none"/>
        </w:rPr>
      </w:pPr>
      <w:r w:rsidRPr="00BB7375">
        <w:rPr>
          <w:rFonts w:ascii="Arial" w:eastAsia="Calibri" w:hAnsi="Arial" w:cs="Arial"/>
          <w:color w:val="222222"/>
          <w:kern w:val="0"/>
          <w:sz w:val="24"/>
          <w:szCs w:val="24"/>
          <w:shd w:val="clear" w:color="auto" w:fill="FFFFFF"/>
          <w14:ligatures w14:val="none"/>
        </w:rPr>
        <w:t>ADAMS C</w:t>
      </w:r>
    </w:p>
    <w:p w14:paraId="13A10468" w14:textId="4BF89D41" w:rsidR="00BB7375" w:rsidRPr="009F38E3" w:rsidRDefault="00BB7375" w:rsidP="007F3FD9">
      <w:pPr>
        <w:suppressAutoHyphens/>
        <w:autoSpaceDN w:val="0"/>
        <w:spacing w:line="360" w:lineRule="auto"/>
        <w:ind w:left="1174" w:hanging="720"/>
        <w:rPr>
          <w:rFonts w:ascii="Arial" w:eastAsia="Calibri" w:hAnsi="Arial" w:cs="Arial"/>
          <w:color w:val="222222"/>
          <w:kern w:val="0"/>
          <w:sz w:val="24"/>
          <w:szCs w:val="24"/>
          <w:shd w:val="clear" w:color="auto" w:fill="FFFFFF"/>
          <w14:ligatures w14:val="none"/>
        </w:rPr>
      </w:pPr>
      <w:r w:rsidRPr="00BB7375">
        <w:rPr>
          <w:rFonts w:ascii="Arial" w:eastAsia="Calibri" w:hAnsi="Arial" w:cs="Arial"/>
          <w:color w:val="222222"/>
          <w:kern w:val="0"/>
          <w:sz w:val="24"/>
          <w:szCs w:val="24"/>
          <w:shd w:val="clear" w:color="auto" w:fill="FFFFFF"/>
          <w14:ligatures w14:val="none"/>
        </w:rPr>
        <w:t>1993. </w:t>
      </w:r>
      <w:r w:rsidRPr="00BB7375">
        <w:rPr>
          <w:rFonts w:ascii="Arial" w:eastAsia="Calibri" w:hAnsi="Arial" w:cs="Arial"/>
          <w:i/>
          <w:iCs/>
          <w:color w:val="222222"/>
          <w:kern w:val="0"/>
          <w:sz w:val="24"/>
          <w:szCs w:val="24"/>
          <w:shd w:val="clear" w:color="auto" w:fill="FFFFFF"/>
          <w14:ligatures w14:val="none"/>
        </w:rPr>
        <w:t>Affirmative action in a democratic South Africa</w:t>
      </w:r>
      <w:r w:rsidRPr="00BB7375">
        <w:rPr>
          <w:rFonts w:ascii="Arial" w:eastAsia="Calibri" w:hAnsi="Arial" w:cs="Arial"/>
          <w:color w:val="222222"/>
          <w:kern w:val="0"/>
          <w:sz w:val="24"/>
          <w:szCs w:val="24"/>
          <w:shd w:val="clear" w:color="auto" w:fill="FFFFFF"/>
          <w14:ligatures w14:val="none"/>
        </w:rPr>
        <w:t>. Juta.</w:t>
      </w:r>
    </w:p>
    <w:p w14:paraId="3BA8AE9A" w14:textId="6F3D0977" w:rsidR="00B5558B" w:rsidRPr="009F38E3" w:rsidRDefault="00B5558B" w:rsidP="00B5558B">
      <w:pPr>
        <w:suppressAutoHyphens/>
        <w:autoSpaceDN w:val="0"/>
        <w:spacing w:line="360" w:lineRule="auto"/>
        <w:ind w:left="720" w:hanging="720"/>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ALBERTYN C</w:t>
      </w:r>
    </w:p>
    <w:p w14:paraId="513F0FC7" w14:textId="77777777" w:rsidR="00B5558B" w:rsidRPr="009F38E3" w:rsidRDefault="00B5558B" w:rsidP="007F3FD9">
      <w:pPr>
        <w:suppressAutoHyphens/>
        <w:autoSpaceDN w:val="0"/>
        <w:spacing w:line="360" w:lineRule="auto"/>
        <w:ind w:left="454"/>
        <w:jc w:val="both"/>
        <w:rPr>
          <w:rFonts w:ascii="Arial" w:eastAsia="Calibri" w:hAnsi="Arial" w:cs="Arial"/>
          <w:b/>
          <w:bCs/>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2007. Substantive equality and transformation in South Africa. </w:t>
      </w:r>
      <w:r w:rsidRPr="009F38E3">
        <w:rPr>
          <w:rFonts w:ascii="Arial" w:eastAsia="Calibri" w:hAnsi="Arial" w:cs="Arial"/>
          <w:i/>
          <w:iCs/>
          <w:color w:val="222222"/>
          <w:kern w:val="0"/>
          <w:sz w:val="24"/>
          <w:szCs w:val="24"/>
          <w:shd w:val="clear" w:color="auto" w:fill="FFFFFF"/>
          <w14:ligatures w14:val="none"/>
        </w:rPr>
        <w:t>South African Journal on Human Rights</w:t>
      </w:r>
      <w:r w:rsidRPr="009F38E3">
        <w:rPr>
          <w:rFonts w:ascii="Arial" w:eastAsia="Calibri" w:hAnsi="Arial" w:cs="Arial"/>
          <w:color w:val="222222"/>
          <w:kern w:val="0"/>
          <w:sz w:val="24"/>
          <w:szCs w:val="24"/>
          <w:shd w:val="clear" w:color="auto" w:fill="FFFFFF"/>
          <w14:ligatures w14:val="none"/>
        </w:rPr>
        <w:t>, </w:t>
      </w:r>
      <w:r w:rsidRPr="009F38E3">
        <w:rPr>
          <w:rFonts w:ascii="Arial" w:eastAsia="Calibri" w:hAnsi="Arial" w:cs="Arial"/>
          <w:i/>
          <w:iCs/>
          <w:color w:val="222222"/>
          <w:kern w:val="0"/>
          <w:sz w:val="24"/>
          <w:szCs w:val="24"/>
          <w:shd w:val="clear" w:color="auto" w:fill="FFFFFF"/>
          <w14:ligatures w14:val="none"/>
        </w:rPr>
        <w:t>23</w:t>
      </w:r>
      <w:r w:rsidRPr="009F38E3">
        <w:rPr>
          <w:rFonts w:ascii="Arial" w:eastAsia="Calibri" w:hAnsi="Arial" w:cs="Arial"/>
          <w:color w:val="222222"/>
          <w:kern w:val="0"/>
          <w:sz w:val="24"/>
          <w:szCs w:val="24"/>
          <w:shd w:val="clear" w:color="auto" w:fill="FFFFFF"/>
          <w14:ligatures w14:val="none"/>
        </w:rPr>
        <w:t>(2): 253-276</w:t>
      </w:r>
      <w:r w:rsidRPr="009F38E3">
        <w:rPr>
          <w:rFonts w:ascii="Arial" w:eastAsia="Calibri" w:hAnsi="Arial" w:cs="Arial"/>
          <w:b/>
          <w:bCs/>
          <w:color w:val="222222"/>
          <w:kern w:val="0"/>
          <w:sz w:val="24"/>
          <w:szCs w:val="24"/>
          <w:shd w:val="clear" w:color="auto" w:fill="FFFFFF"/>
          <w14:ligatures w14:val="none"/>
        </w:rPr>
        <w:t>.</w:t>
      </w:r>
    </w:p>
    <w:p w14:paraId="78ABAC32" w14:textId="77777777" w:rsidR="00DD7122" w:rsidRPr="009F38E3" w:rsidRDefault="00B5558B" w:rsidP="00DD7122">
      <w:pPr>
        <w:suppressAutoHyphens/>
        <w:autoSpaceDN w:val="0"/>
        <w:spacing w:line="360" w:lineRule="auto"/>
        <w:ind w:left="720" w:hanging="720"/>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ALBERTYN C &amp; GOLDBLATT B</w:t>
      </w:r>
    </w:p>
    <w:p w14:paraId="404F4220" w14:textId="671DAE11" w:rsidR="00B5558B" w:rsidRPr="009F38E3" w:rsidRDefault="00B5558B" w:rsidP="00DD7122">
      <w:pPr>
        <w:suppressAutoHyphens/>
        <w:autoSpaceDN w:val="0"/>
        <w:spacing w:line="360" w:lineRule="auto"/>
        <w:ind w:left="454"/>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1998. Facing the challenge of transformation: Difficulties in the development of an indigenous jurisprudence of equality. </w:t>
      </w:r>
      <w:r w:rsidRPr="009F38E3">
        <w:rPr>
          <w:rFonts w:ascii="Arial" w:eastAsia="Calibri" w:hAnsi="Arial" w:cs="Arial"/>
          <w:i/>
          <w:iCs/>
          <w:color w:val="222222"/>
          <w:kern w:val="0"/>
          <w:sz w:val="24"/>
          <w:szCs w:val="24"/>
          <w:shd w:val="clear" w:color="auto" w:fill="FFFFFF"/>
          <w14:ligatures w14:val="none"/>
        </w:rPr>
        <w:t>South African Journal on Human Rights</w:t>
      </w:r>
      <w:r w:rsidRPr="009F38E3">
        <w:rPr>
          <w:rFonts w:ascii="Arial" w:eastAsia="Calibri" w:hAnsi="Arial" w:cs="Arial"/>
          <w:color w:val="222222"/>
          <w:kern w:val="0"/>
          <w:sz w:val="24"/>
          <w:szCs w:val="24"/>
          <w:shd w:val="clear" w:color="auto" w:fill="FFFFFF"/>
          <w14:ligatures w14:val="none"/>
        </w:rPr>
        <w:t>, </w:t>
      </w:r>
      <w:r w:rsidRPr="009F38E3">
        <w:rPr>
          <w:rFonts w:ascii="Arial" w:eastAsia="Calibri" w:hAnsi="Arial" w:cs="Arial"/>
          <w:i/>
          <w:iCs/>
          <w:color w:val="222222"/>
          <w:kern w:val="0"/>
          <w:sz w:val="24"/>
          <w:szCs w:val="24"/>
          <w:shd w:val="clear" w:color="auto" w:fill="FFFFFF"/>
          <w14:ligatures w14:val="none"/>
        </w:rPr>
        <w:t>14</w:t>
      </w:r>
      <w:r w:rsidRPr="009F38E3">
        <w:rPr>
          <w:rFonts w:ascii="Arial" w:eastAsia="Calibri" w:hAnsi="Arial" w:cs="Arial"/>
          <w:color w:val="222222"/>
          <w:kern w:val="0"/>
          <w:sz w:val="24"/>
          <w:szCs w:val="24"/>
          <w:shd w:val="clear" w:color="auto" w:fill="FFFFFF"/>
          <w14:ligatures w14:val="none"/>
        </w:rPr>
        <w:t>(2): 248-276.</w:t>
      </w:r>
    </w:p>
    <w:p w14:paraId="4A625370" w14:textId="07B18530" w:rsidR="004566FE" w:rsidRPr="009F38E3" w:rsidRDefault="004566FE" w:rsidP="004566FE">
      <w:pPr>
        <w:suppressAutoHyphens/>
        <w:autoSpaceDN w:val="0"/>
        <w:spacing w:line="360" w:lineRule="auto"/>
        <w:ind w:left="720" w:hanging="720"/>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ALBERTYN C &amp; KENTRIDGE J</w:t>
      </w:r>
    </w:p>
    <w:p w14:paraId="480EBED5" w14:textId="2A1CD52B" w:rsidR="004566FE" w:rsidRPr="009F38E3" w:rsidRDefault="004566FE" w:rsidP="00B5558B">
      <w:pPr>
        <w:suppressAutoHyphens/>
        <w:autoSpaceDN w:val="0"/>
        <w:spacing w:line="360" w:lineRule="auto"/>
        <w:ind w:left="720"/>
        <w:jc w:val="both"/>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1994. Introducing the right to equality in the interim Constitution. </w:t>
      </w:r>
      <w:r w:rsidRPr="009F38E3">
        <w:rPr>
          <w:rFonts w:ascii="Arial" w:eastAsia="Calibri" w:hAnsi="Arial" w:cs="Arial"/>
          <w:i/>
          <w:iCs/>
          <w:color w:val="222222"/>
          <w:kern w:val="0"/>
          <w:sz w:val="24"/>
          <w:szCs w:val="24"/>
          <w:shd w:val="clear" w:color="auto" w:fill="FFFFFF"/>
          <w14:ligatures w14:val="none"/>
        </w:rPr>
        <w:t>South African Journal on Human Rights</w:t>
      </w:r>
      <w:r w:rsidRPr="009F38E3">
        <w:rPr>
          <w:rFonts w:ascii="Arial" w:eastAsia="Calibri" w:hAnsi="Arial" w:cs="Arial"/>
          <w:color w:val="222222"/>
          <w:kern w:val="0"/>
          <w:sz w:val="24"/>
          <w:szCs w:val="24"/>
          <w:shd w:val="clear" w:color="auto" w:fill="FFFFFF"/>
          <w14:ligatures w14:val="none"/>
        </w:rPr>
        <w:t>, </w:t>
      </w:r>
      <w:r w:rsidRPr="009F38E3">
        <w:rPr>
          <w:rFonts w:ascii="Arial" w:eastAsia="Calibri" w:hAnsi="Arial" w:cs="Arial"/>
          <w:i/>
          <w:iCs/>
          <w:color w:val="222222"/>
          <w:kern w:val="0"/>
          <w:sz w:val="24"/>
          <w:szCs w:val="24"/>
          <w:shd w:val="clear" w:color="auto" w:fill="FFFFFF"/>
          <w14:ligatures w14:val="none"/>
        </w:rPr>
        <w:t>10</w:t>
      </w:r>
      <w:r w:rsidRPr="009F38E3">
        <w:rPr>
          <w:rFonts w:ascii="Arial" w:eastAsia="Calibri" w:hAnsi="Arial" w:cs="Arial"/>
          <w:color w:val="222222"/>
          <w:kern w:val="0"/>
          <w:sz w:val="24"/>
          <w:szCs w:val="24"/>
          <w:shd w:val="clear" w:color="auto" w:fill="FFFFFF"/>
          <w14:ligatures w14:val="none"/>
        </w:rPr>
        <w:t>(2)</w:t>
      </w:r>
      <w:r w:rsidR="004C7E18" w:rsidRPr="009F38E3">
        <w:rPr>
          <w:rFonts w:ascii="Arial" w:eastAsia="Calibri" w:hAnsi="Arial" w:cs="Arial"/>
          <w:color w:val="222222"/>
          <w:kern w:val="0"/>
          <w:sz w:val="24"/>
          <w:szCs w:val="24"/>
          <w:shd w:val="clear" w:color="auto" w:fill="FFFFFF"/>
          <w14:ligatures w14:val="none"/>
        </w:rPr>
        <w:t xml:space="preserve">: </w:t>
      </w:r>
      <w:r w:rsidRPr="009F38E3">
        <w:rPr>
          <w:rFonts w:ascii="Arial" w:eastAsia="Calibri" w:hAnsi="Arial" w:cs="Arial"/>
          <w:color w:val="222222"/>
          <w:kern w:val="0"/>
          <w:sz w:val="24"/>
          <w:szCs w:val="24"/>
          <w:shd w:val="clear" w:color="auto" w:fill="FFFFFF"/>
          <w14:ligatures w14:val="none"/>
        </w:rPr>
        <w:t>149-178.</w:t>
      </w:r>
    </w:p>
    <w:p w14:paraId="4FEBD806" w14:textId="77777777" w:rsidR="004566FE" w:rsidRPr="009F38E3" w:rsidRDefault="004566FE" w:rsidP="004566FE">
      <w:pPr>
        <w:suppressAutoHyphens/>
        <w:autoSpaceDN w:val="0"/>
        <w:spacing w:line="360" w:lineRule="auto"/>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 xml:space="preserve">ANDREWS PE </w:t>
      </w:r>
    </w:p>
    <w:p w14:paraId="7EA1B6FD" w14:textId="2F2A8D84" w:rsidR="004566FE" w:rsidRPr="009F38E3" w:rsidRDefault="004566FE" w:rsidP="007F3FD9">
      <w:pPr>
        <w:suppressAutoHyphens/>
        <w:autoSpaceDN w:val="0"/>
        <w:spacing w:line="360" w:lineRule="auto"/>
        <w:ind w:left="454"/>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1997. Affirmative Action in South Africa: Transformation or Tokenism? </w:t>
      </w:r>
      <w:r w:rsidRPr="009F38E3">
        <w:rPr>
          <w:rFonts w:ascii="Arial" w:eastAsia="Calibri" w:hAnsi="Arial" w:cs="Arial"/>
          <w:i/>
          <w:iCs/>
          <w:color w:val="222222"/>
          <w:kern w:val="0"/>
          <w:sz w:val="24"/>
          <w:szCs w:val="24"/>
          <w:shd w:val="clear" w:color="auto" w:fill="FFFFFF"/>
          <w14:ligatures w14:val="none"/>
        </w:rPr>
        <w:t>Law in Context</w:t>
      </w:r>
      <w:r w:rsidRPr="009F38E3">
        <w:rPr>
          <w:rFonts w:ascii="Arial" w:eastAsia="Calibri" w:hAnsi="Arial" w:cs="Arial"/>
          <w:color w:val="222222"/>
          <w:kern w:val="0"/>
          <w:sz w:val="24"/>
          <w:szCs w:val="24"/>
          <w:shd w:val="clear" w:color="auto" w:fill="FFFFFF"/>
          <w14:ligatures w14:val="none"/>
        </w:rPr>
        <w:t>, </w:t>
      </w:r>
      <w:r w:rsidRPr="009F38E3">
        <w:rPr>
          <w:rFonts w:ascii="Arial" w:eastAsia="Calibri" w:hAnsi="Arial" w:cs="Arial"/>
          <w:i/>
          <w:iCs/>
          <w:color w:val="222222"/>
          <w:kern w:val="0"/>
          <w:sz w:val="24"/>
          <w:szCs w:val="24"/>
          <w:shd w:val="clear" w:color="auto" w:fill="FFFFFF"/>
          <w14:ligatures w14:val="none"/>
        </w:rPr>
        <w:t>15</w:t>
      </w:r>
      <w:r w:rsidRPr="009F38E3">
        <w:rPr>
          <w:rFonts w:ascii="Arial" w:eastAsia="Calibri" w:hAnsi="Arial" w:cs="Arial"/>
          <w:color w:val="222222"/>
          <w:kern w:val="0"/>
          <w:sz w:val="24"/>
          <w:szCs w:val="24"/>
          <w:shd w:val="clear" w:color="auto" w:fill="FFFFFF"/>
          <w14:ligatures w14:val="none"/>
        </w:rPr>
        <w:t>(2):80-109.</w:t>
      </w:r>
    </w:p>
    <w:p w14:paraId="78BBD6E7" w14:textId="4EDFE6AF" w:rsidR="004566FE" w:rsidRPr="009F38E3" w:rsidRDefault="004566FE" w:rsidP="004566FE">
      <w:pPr>
        <w:suppressAutoHyphens/>
        <w:autoSpaceDN w:val="0"/>
        <w:spacing w:line="360" w:lineRule="auto"/>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ARCHIBONG U &amp; ADEJUMO O</w:t>
      </w:r>
    </w:p>
    <w:p w14:paraId="2FFFFAF0" w14:textId="0E83D1F4" w:rsidR="004566FE" w:rsidRPr="009F38E3" w:rsidRDefault="004566FE" w:rsidP="007F3FD9">
      <w:pPr>
        <w:suppressAutoHyphens/>
        <w:autoSpaceDN w:val="0"/>
        <w:spacing w:line="360" w:lineRule="auto"/>
        <w:ind w:left="454"/>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2013. Affirmative action in South Africa: Are we creating new casualties? </w:t>
      </w:r>
      <w:r w:rsidRPr="009F38E3">
        <w:rPr>
          <w:rFonts w:ascii="Arial" w:eastAsia="Calibri" w:hAnsi="Arial" w:cs="Arial"/>
          <w:i/>
          <w:iCs/>
          <w:color w:val="222222"/>
          <w:kern w:val="0"/>
          <w:sz w:val="24"/>
          <w:szCs w:val="24"/>
          <w:shd w:val="clear" w:color="auto" w:fill="FFFFFF"/>
          <w14:ligatures w14:val="none"/>
        </w:rPr>
        <w:t>Journal of Psychological issues in organizational culture</w:t>
      </w:r>
      <w:r w:rsidRPr="009F38E3">
        <w:rPr>
          <w:rFonts w:ascii="Arial" w:eastAsia="Calibri" w:hAnsi="Arial" w:cs="Arial"/>
          <w:color w:val="222222"/>
          <w:kern w:val="0"/>
          <w:sz w:val="24"/>
          <w:szCs w:val="24"/>
          <w:shd w:val="clear" w:color="auto" w:fill="FFFFFF"/>
          <w14:ligatures w14:val="none"/>
        </w:rPr>
        <w:t>, </w:t>
      </w:r>
      <w:r w:rsidRPr="009F38E3">
        <w:rPr>
          <w:rFonts w:ascii="Arial" w:eastAsia="Calibri" w:hAnsi="Arial" w:cs="Arial"/>
          <w:i/>
          <w:iCs/>
          <w:color w:val="222222"/>
          <w:kern w:val="0"/>
          <w:sz w:val="24"/>
          <w:szCs w:val="24"/>
          <w:shd w:val="clear" w:color="auto" w:fill="FFFFFF"/>
          <w14:ligatures w14:val="none"/>
        </w:rPr>
        <w:t>3</w:t>
      </w:r>
      <w:r w:rsidRPr="009F38E3">
        <w:rPr>
          <w:rFonts w:ascii="Arial" w:eastAsia="Calibri" w:hAnsi="Arial" w:cs="Arial"/>
          <w:color w:val="222222"/>
          <w:kern w:val="0"/>
          <w:sz w:val="24"/>
          <w:szCs w:val="24"/>
          <w:shd w:val="clear" w:color="auto" w:fill="FFFFFF"/>
          <w14:ligatures w14:val="none"/>
        </w:rPr>
        <w:t>(1)</w:t>
      </w:r>
      <w:r w:rsidR="004D15A2" w:rsidRPr="009F38E3">
        <w:rPr>
          <w:rFonts w:ascii="Arial" w:eastAsia="Calibri" w:hAnsi="Arial" w:cs="Arial"/>
          <w:color w:val="222222"/>
          <w:kern w:val="0"/>
          <w:sz w:val="24"/>
          <w:szCs w:val="24"/>
          <w:shd w:val="clear" w:color="auto" w:fill="FFFFFF"/>
          <w14:ligatures w14:val="none"/>
        </w:rPr>
        <w:t>:</w:t>
      </w:r>
      <w:r w:rsidRPr="009F38E3">
        <w:rPr>
          <w:rFonts w:ascii="Arial" w:eastAsia="Calibri" w:hAnsi="Arial" w:cs="Arial"/>
          <w:color w:val="222222"/>
          <w:kern w:val="0"/>
          <w:sz w:val="24"/>
          <w:szCs w:val="24"/>
          <w:shd w:val="clear" w:color="auto" w:fill="FFFFFF"/>
          <w14:ligatures w14:val="none"/>
        </w:rPr>
        <w:t>14-27.</w:t>
      </w:r>
    </w:p>
    <w:p w14:paraId="0A4A9312"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BANTON M</w:t>
      </w:r>
    </w:p>
    <w:p w14:paraId="69F8D0C2" w14:textId="77777777" w:rsidR="004566FE" w:rsidRPr="009F38E3" w:rsidRDefault="004566FE"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1994. </w:t>
      </w:r>
      <w:r w:rsidRPr="009F38E3">
        <w:rPr>
          <w:rFonts w:ascii="Arial" w:eastAsia="Calibri" w:hAnsi="Arial" w:cs="Arial"/>
          <w:i/>
          <w:iCs/>
          <w:kern w:val="0"/>
          <w:sz w:val="24"/>
          <w:szCs w:val="24"/>
          <w14:ligatures w14:val="none"/>
        </w:rPr>
        <w:t>Discrimination</w:t>
      </w:r>
      <w:r w:rsidRPr="009F38E3">
        <w:rPr>
          <w:rFonts w:ascii="Arial" w:eastAsia="Calibri" w:hAnsi="Arial" w:cs="Arial"/>
          <w:kern w:val="0"/>
          <w:sz w:val="24"/>
          <w:szCs w:val="24"/>
          <w14:ligatures w14:val="none"/>
        </w:rPr>
        <w:t>. Open University Press.</w:t>
      </w:r>
    </w:p>
    <w:p w14:paraId="6C09569F" w14:textId="77777777"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BARNARD C &amp; HEPPLE B</w:t>
      </w:r>
    </w:p>
    <w:p w14:paraId="73E36629" w14:textId="5AA85C97"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2000. Substantive equality. </w:t>
      </w:r>
      <w:r w:rsidRPr="009F38E3">
        <w:rPr>
          <w:rFonts w:ascii="Arial" w:eastAsia="Calibri" w:hAnsi="Arial" w:cs="Arial"/>
          <w:i/>
          <w:iCs/>
          <w:kern w:val="0"/>
          <w:sz w:val="24"/>
          <w:szCs w:val="24"/>
          <w14:ligatures w14:val="none"/>
        </w:rPr>
        <w:t>The Cambridge Law Journal</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59</w:t>
      </w:r>
      <w:r w:rsidRPr="009F38E3">
        <w:rPr>
          <w:rFonts w:ascii="Arial" w:eastAsia="Calibri" w:hAnsi="Arial" w:cs="Arial"/>
          <w:kern w:val="0"/>
          <w:sz w:val="24"/>
          <w:szCs w:val="24"/>
          <w14:ligatures w14:val="none"/>
        </w:rPr>
        <w:t>(3): 562-585.</w:t>
      </w:r>
    </w:p>
    <w:p w14:paraId="12D2C56B" w14:textId="721A3EAD"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BASKIN J</w:t>
      </w:r>
    </w:p>
    <w:p w14:paraId="3AEC64A6" w14:textId="77777777" w:rsidR="001D48E4" w:rsidRPr="009F38E3" w:rsidRDefault="001D48E4" w:rsidP="00DD7122">
      <w:pPr>
        <w:suppressAutoHyphens/>
        <w:autoSpaceDN w:val="0"/>
        <w:spacing w:line="360" w:lineRule="auto"/>
        <w:ind w:left="454"/>
        <w:rPr>
          <w:rFonts w:ascii="Arial" w:eastAsia="Calibri" w:hAnsi="Arial" w:cs="Arial"/>
          <w:i/>
          <w:iCs/>
          <w:kern w:val="0"/>
          <w:sz w:val="24"/>
          <w:szCs w:val="24"/>
          <w14:ligatures w14:val="none"/>
        </w:rPr>
      </w:pPr>
      <w:r w:rsidRPr="009F38E3">
        <w:rPr>
          <w:rFonts w:ascii="Arial" w:eastAsia="Calibri" w:hAnsi="Arial" w:cs="Arial"/>
          <w:kern w:val="0"/>
          <w:sz w:val="24"/>
          <w:szCs w:val="24"/>
          <w14:ligatures w14:val="none"/>
        </w:rPr>
        <w:t>1991. Striking back. </w:t>
      </w:r>
      <w:r w:rsidRPr="009F38E3">
        <w:rPr>
          <w:rFonts w:ascii="Arial" w:eastAsia="Calibri" w:hAnsi="Arial" w:cs="Arial"/>
          <w:i/>
          <w:iCs/>
          <w:kern w:val="0"/>
          <w:sz w:val="24"/>
          <w:szCs w:val="24"/>
          <w14:ligatures w14:val="none"/>
        </w:rPr>
        <w:t>A history of COSATU.</w:t>
      </w:r>
    </w:p>
    <w:p w14:paraId="2959C523" w14:textId="79FDD602" w:rsidR="001D48E4" w:rsidRPr="009F38E3" w:rsidRDefault="001D48E4" w:rsidP="001D48E4">
      <w:pPr>
        <w:suppressAutoHyphens/>
        <w:autoSpaceDN w:val="0"/>
        <w:spacing w:line="360" w:lineRule="auto"/>
        <w:rPr>
          <w:rFonts w:ascii="Arial" w:eastAsia="Calibri" w:hAnsi="Arial" w:cs="Arial"/>
          <w:i/>
          <w:iCs/>
          <w:kern w:val="0"/>
          <w:sz w:val="24"/>
          <w:szCs w:val="24"/>
          <w14:ligatures w14:val="none"/>
        </w:rPr>
      </w:pPr>
      <w:r w:rsidRPr="009F38E3">
        <w:rPr>
          <w:rFonts w:ascii="Arial" w:eastAsia="Calibri" w:hAnsi="Arial" w:cs="Arial"/>
          <w:i/>
          <w:iCs/>
          <w:kern w:val="0"/>
          <w:sz w:val="24"/>
          <w:szCs w:val="24"/>
          <w14:ligatures w14:val="none"/>
        </w:rPr>
        <w:t xml:space="preserve">BARKER FS </w:t>
      </w:r>
    </w:p>
    <w:p w14:paraId="73EC8D61" w14:textId="77777777" w:rsidR="001D48E4" w:rsidRPr="009F38E3" w:rsidRDefault="001D48E4" w:rsidP="00DD7122">
      <w:pPr>
        <w:suppressAutoHyphens/>
        <w:autoSpaceDN w:val="0"/>
        <w:spacing w:line="360" w:lineRule="auto"/>
        <w:ind w:left="454"/>
        <w:rPr>
          <w:rFonts w:ascii="Arial" w:eastAsia="Calibri" w:hAnsi="Arial" w:cs="Arial"/>
          <w:i/>
          <w:iCs/>
          <w:kern w:val="0"/>
          <w:sz w:val="24"/>
          <w:szCs w:val="24"/>
          <w14:ligatures w14:val="none"/>
        </w:rPr>
      </w:pPr>
      <w:r w:rsidRPr="009F38E3">
        <w:rPr>
          <w:rFonts w:ascii="Arial" w:eastAsia="Calibri" w:hAnsi="Arial" w:cs="Arial"/>
          <w:i/>
          <w:iCs/>
          <w:kern w:val="0"/>
          <w:sz w:val="24"/>
          <w:szCs w:val="24"/>
          <w14:ligatures w14:val="none"/>
        </w:rPr>
        <w:lastRenderedPageBreak/>
        <w:t>2007. The South African labour market: theory &amp; practice.</w:t>
      </w:r>
    </w:p>
    <w:p w14:paraId="54F8AEE2"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BEINART W &amp; DELIUS P</w:t>
      </w:r>
    </w:p>
    <w:p w14:paraId="096D9DAA" w14:textId="07F4FA41" w:rsidR="004566FE"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2014. The historical context and legacy of the Natives Land Act of 1913. </w:t>
      </w:r>
      <w:r w:rsidRPr="009F38E3">
        <w:rPr>
          <w:rFonts w:ascii="Arial" w:eastAsia="Calibri" w:hAnsi="Arial" w:cs="Arial"/>
          <w:i/>
          <w:iCs/>
          <w:kern w:val="0"/>
          <w:sz w:val="24"/>
          <w:szCs w:val="24"/>
          <w14:ligatures w14:val="none"/>
        </w:rPr>
        <w:t>Journal of Southern African Studies</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40</w:t>
      </w:r>
      <w:r w:rsidRPr="009F38E3">
        <w:rPr>
          <w:rFonts w:ascii="Arial" w:eastAsia="Calibri" w:hAnsi="Arial" w:cs="Arial"/>
          <w:kern w:val="0"/>
          <w:sz w:val="24"/>
          <w:szCs w:val="24"/>
          <w14:ligatures w14:val="none"/>
        </w:rPr>
        <w:t>(4).</w:t>
      </w:r>
    </w:p>
    <w:p w14:paraId="594BE711" w14:textId="1E42526E"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 xml:space="preserve">BENJAMIN P &amp; CHEADLE H </w:t>
      </w:r>
    </w:p>
    <w:p w14:paraId="1FA773F0" w14:textId="78C1E781" w:rsidR="00BB7375" w:rsidRPr="009F38E3" w:rsidRDefault="00BB7375" w:rsidP="007F3FD9">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2019. South African Labour Law Mapping the Changes-Part 2: The History of Labour Law and its Institutions. </w:t>
      </w:r>
      <w:r w:rsidRPr="00BB7375">
        <w:rPr>
          <w:rFonts w:ascii="Arial" w:eastAsia="Calibri" w:hAnsi="Arial" w:cs="Arial"/>
          <w:i/>
          <w:iCs/>
          <w:kern w:val="0"/>
          <w:sz w:val="24"/>
          <w:szCs w:val="24"/>
          <w14:ligatures w14:val="none"/>
        </w:rPr>
        <w:t>Pt. 1 Indus. LJ:41</w:t>
      </w:r>
      <w:r w:rsidRPr="00BB7375">
        <w:rPr>
          <w:rFonts w:ascii="Arial" w:eastAsia="Calibri" w:hAnsi="Arial" w:cs="Arial"/>
          <w:kern w:val="0"/>
          <w:sz w:val="24"/>
          <w:szCs w:val="24"/>
          <w14:ligatures w14:val="none"/>
        </w:rPr>
        <w:t>.</w:t>
      </w:r>
    </w:p>
    <w:p w14:paraId="63BE765F" w14:textId="309001F2"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BOCK G &amp; JAMES S</w:t>
      </w:r>
    </w:p>
    <w:p w14:paraId="4951D753" w14:textId="50A399B3"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1992. Introduction: Contextualizing equality and difference. </w:t>
      </w:r>
      <w:r w:rsidRPr="009F38E3">
        <w:rPr>
          <w:rFonts w:ascii="Arial" w:eastAsia="Calibri" w:hAnsi="Arial" w:cs="Arial"/>
          <w:i/>
          <w:iCs/>
          <w:kern w:val="0"/>
          <w:sz w:val="24"/>
          <w:szCs w:val="24"/>
          <w14:ligatures w14:val="none"/>
        </w:rPr>
        <w:t>Beyond equality and difference: Citizenship, feminist politics, and female subjectivity</w:t>
      </w:r>
      <w:r w:rsidRPr="009F38E3">
        <w:rPr>
          <w:rFonts w:ascii="Arial" w:eastAsia="Calibri" w:hAnsi="Arial" w:cs="Arial"/>
          <w:kern w:val="0"/>
          <w:sz w:val="24"/>
          <w:szCs w:val="24"/>
          <w14:ligatures w14:val="none"/>
        </w:rPr>
        <w:t xml:space="preserve"> :1-28.</w:t>
      </w:r>
    </w:p>
    <w:p w14:paraId="4D46278C" w14:textId="2BB49200"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BODDY-EVANS A</w:t>
      </w:r>
    </w:p>
    <w:p w14:paraId="176806D2" w14:textId="77777777" w:rsidR="004566FE" w:rsidRPr="009F38E3" w:rsidRDefault="004566FE" w:rsidP="004566FE">
      <w:pPr>
        <w:suppressAutoHyphens/>
        <w:autoSpaceDN w:val="0"/>
        <w:spacing w:line="360" w:lineRule="auto"/>
        <w:ind w:left="720"/>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(2008). </w:t>
      </w:r>
      <w:bookmarkStart w:id="239" w:name="_Hlk167033295"/>
      <w:r w:rsidRPr="009F38E3">
        <w:rPr>
          <w:rFonts w:ascii="Arial" w:eastAsia="Calibri" w:hAnsi="Arial" w:cs="Arial"/>
          <w:i/>
          <w:iCs/>
          <w:kern w:val="0"/>
          <w:sz w:val="24"/>
          <w:szCs w:val="24"/>
          <w14:ligatures w14:val="none"/>
        </w:rPr>
        <w:t>Apartheid legislation in South Africa</w:t>
      </w:r>
      <w:r w:rsidRPr="009F38E3">
        <w:rPr>
          <w:rFonts w:ascii="Arial" w:eastAsia="Calibri" w:hAnsi="Arial" w:cs="Arial"/>
          <w:kern w:val="0"/>
          <w:sz w:val="24"/>
          <w:szCs w:val="24"/>
          <w14:ligatures w14:val="none"/>
        </w:rPr>
        <w:t>.</w:t>
      </w:r>
      <w:bookmarkEnd w:id="239"/>
      <w:r w:rsidRPr="009F38E3">
        <w:rPr>
          <w:rFonts w:ascii="Arial" w:eastAsia="Calibri" w:hAnsi="Arial" w:cs="Arial"/>
          <w:kern w:val="0"/>
          <w:sz w:val="24"/>
          <w:szCs w:val="24"/>
          <w14:ligatures w14:val="none"/>
        </w:rPr>
        <w:t xml:space="preserve"> Retrieved from </w:t>
      </w:r>
      <w:hyperlink r:id="rId11" w:history="1">
        <w:r w:rsidRPr="009F38E3">
          <w:rPr>
            <w:rFonts w:ascii="Arial" w:eastAsia="Calibri" w:hAnsi="Arial" w:cs="Arial"/>
            <w:color w:val="0563C1"/>
            <w:kern w:val="0"/>
            <w:sz w:val="24"/>
            <w:szCs w:val="24"/>
            <w:u w:val="single"/>
            <w14:ligatures w14:val="none"/>
          </w:rPr>
          <w:t>http://africanhistory.about.com/library/bl/blsalaws.htm</w:t>
        </w:r>
      </w:hyperlink>
    </w:p>
    <w:p w14:paraId="68D6FAF5"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BOTHA C G</w:t>
      </w:r>
    </w:p>
    <w:p w14:paraId="1A667641" w14:textId="1B12A0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1933. Slavery at the Cape. </w:t>
      </w:r>
      <w:r w:rsidRPr="009F38E3">
        <w:rPr>
          <w:rFonts w:ascii="Arial" w:eastAsia="Calibri" w:hAnsi="Arial" w:cs="Arial"/>
          <w:i/>
          <w:iCs/>
          <w:kern w:val="0"/>
          <w:sz w:val="24"/>
          <w:szCs w:val="24"/>
          <w14:ligatures w14:val="none"/>
        </w:rPr>
        <w:t>S. African LJ</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50</w:t>
      </w:r>
      <w:r w:rsidRPr="009F38E3">
        <w:rPr>
          <w:rFonts w:ascii="Arial" w:eastAsia="Calibri" w:hAnsi="Arial" w:cs="Arial"/>
          <w:kern w:val="0"/>
          <w:sz w:val="24"/>
          <w:szCs w:val="24"/>
          <w14:ligatures w14:val="none"/>
        </w:rPr>
        <w:t>:4.</w:t>
      </w:r>
    </w:p>
    <w:p w14:paraId="531FD34B" w14:textId="77777777" w:rsidR="00DD7122"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BUDELI M </w:t>
      </w:r>
    </w:p>
    <w:p w14:paraId="1B69CD9D" w14:textId="4D26588C"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2012. Trade unionism and politics in Africa: </w:t>
      </w:r>
      <w:proofErr w:type="gramStart"/>
      <w:r w:rsidRPr="009F38E3">
        <w:rPr>
          <w:rFonts w:ascii="Arial" w:eastAsia="Calibri" w:hAnsi="Arial" w:cs="Arial"/>
          <w:kern w:val="0"/>
          <w:sz w:val="24"/>
          <w:szCs w:val="24"/>
          <w14:ligatures w14:val="none"/>
        </w:rPr>
        <w:t>the</w:t>
      </w:r>
      <w:proofErr w:type="gramEnd"/>
      <w:r w:rsidRPr="009F38E3">
        <w:rPr>
          <w:rFonts w:ascii="Arial" w:eastAsia="Calibri" w:hAnsi="Arial" w:cs="Arial"/>
          <w:kern w:val="0"/>
          <w:sz w:val="24"/>
          <w:szCs w:val="24"/>
          <w14:ligatures w14:val="none"/>
        </w:rPr>
        <w:t xml:space="preserve"> South African experience. </w:t>
      </w:r>
      <w:r w:rsidRPr="009F38E3">
        <w:rPr>
          <w:rFonts w:ascii="Arial" w:eastAsia="Calibri" w:hAnsi="Arial" w:cs="Arial"/>
          <w:i/>
          <w:iCs/>
          <w:kern w:val="0"/>
          <w:sz w:val="24"/>
          <w:szCs w:val="24"/>
          <w14:ligatures w14:val="none"/>
        </w:rPr>
        <w:t>Comparative and International Law Journal of Southern Africa</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45</w:t>
      </w:r>
      <w:r w:rsidRPr="009F38E3">
        <w:rPr>
          <w:rFonts w:ascii="Arial" w:eastAsia="Calibri" w:hAnsi="Arial" w:cs="Arial"/>
          <w:kern w:val="0"/>
          <w:sz w:val="24"/>
          <w:szCs w:val="24"/>
          <w14:ligatures w14:val="none"/>
        </w:rPr>
        <w:t>(3):454-481.</w:t>
      </w:r>
    </w:p>
    <w:p w14:paraId="4501C7BE"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BURGER R &amp; JAFTA R</w:t>
      </w:r>
    </w:p>
    <w:p w14:paraId="0CDA5B6B" w14:textId="1EA0B010" w:rsidR="004566FE"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2010. Affirmative action in South Africa: an empirical assessment of the impact on labour market outcomes. </w:t>
      </w:r>
      <w:r w:rsidRPr="009F38E3">
        <w:rPr>
          <w:rFonts w:ascii="Arial" w:eastAsia="Calibri" w:hAnsi="Arial" w:cs="Arial"/>
          <w:i/>
          <w:iCs/>
          <w:kern w:val="0"/>
          <w:sz w:val="24"/>
          <w:szCs w:val="24"/>
          <w14:ligatures w14:val="none"/>
        </w:rPr>
        <w:t>CRISE (Centre for Research on Inequality, Human Security and Ethnicity) Working Paper</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76</w:t>
      </w:r>
      <w:r w:rsidRPr="009F38E3">
        <w:rPr>
          <w:rFonts w:ascii="Arial" w:eastAsia="Calibri" w:hAnsi="Arial" w:cs="Arial"/>
          <w:kern w:val="0"/>
          <w:sz w:val="24"/>
          <w:szCs w:val="24"/>
          <w14:ligatures w14:val="none"/>
        </w:rPr>
        <w:t>:9-36.</w:t>
      </w:r>
    </w:p>
    <w:p w14:paraId="06956D69" w14:textId="77777777"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BYWATER I &amp; BYWATER I </w:t>
      </w:r>
    </w:p>
    <w:p w14:paraId="2D93070C" w14:textId="77777777"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1894. Aristotle </w:t>
      </w:r>
      <w:proofErr w:type="spellStart"/>
      <w:r w:rsidRPr="009F38E3">
        <w:rPr>
          <w:rFonts w:ascii="Arial" w:eastAsia="Calibri" w:hAnsi="Arial" w:cs="Arial"/>
          <w:kern w:val="0"/>
          <w:sz w:val="24"/>
          <w:szCs w:val="24"/>
          <w14:ligatures w14:val="none"/>
        </w:rPr>
        <w:t>Ethica</w:t>
      </w:r>
      <w:proofErr w:type="spellEnd"/>
      <w:r w:rsidRPr="009F38E3">
        <w:rPr>
          <w:rFonts w:ascii="Arial" w:eastAsia="Calibri" w:hAnsi="Arial" w:cs="Arial"/>
          <w:kern w:val="0"/>
          <w:sz w:val="24"/>
          <w:szCs w:val="24"/>
          <w14:ligatures w14:val="none"/>
        </w:rPr>
        <w:t xml:space="preserve"> </w:t>
      </w:r>
      <w:proofErr w:type="spellStart"/>
      <w:r w:rsidRPr="009F38E3">
        <w:rPr>
          <w:rFonts w:ascii="Arial" w:eastAsia="Calibri" w:hAnsi="Arial" w:cs="Arial"/>
          <w:kern w:val="0"/>
          <w:sz w:val="24"/>
          <w:szCs w:val="24"/>
          <w14:ligatures w14:val="none"/>
        </w:rPr>
        <w:t>Nicomachea</w:t>
      </w:r>
      <w:proofErr w:type="spellEnd"/>
      <w:r w:rsidRPr="009F38E3">
        <w:rPr>
          <w:rFonts w:ascii="Arial" w:eastAsia="Calibri" w:hAnsi="Arial" w:cs="Arial"/>
          <w:kern w:val="0"/>
          <w:sz w:val="24"/>
          <w:szCs w:val="24"/>
          <w14:ligatures w14:val="none"/>
        </w:rPr>
        <w:t>: 112-117.</w:t>
      </w:r>
    </w:p>
    <w:p w14:paraId="1BD6BFCE" w14:textId="77777777" w:rsidR="00B5558B" w:rsidRPr="009F38E3" w:rsidRDefault="00B5558B" w:rsidP="001D48E4">
      <w:pPr>
        <w:suppressAutoHyphens/>
        <w:autoSpaceDN w:val="0"/>
        <w:spacing w:line="360" w:lineRule="auto"/>
        <w:rPr>
          <w:rFonts w:ascii="Arial" w:eastAsia="Calibri" w:hAnsi="Arial" w:cs="Arial"/>
          <w:kern w:val="0"/>
          <w:sz w:val="24"/>
          <w:szCs w:val="24"/>
          <w14:ligatures w14:val="none"/>
        </w:rPr>
      </w:pPr>
    </w:p>
    <w:p w14:paraId="6DCDF1FD" w14:textId="2F4C43EE"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CARTER SL </w:t>
      </w:r>
    </w:p>
    <w:p w14:paraId="10C956E6"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1991. Reflections of an affirmative action baby.</w:t>
      </w:r>
    </w:p>
    <w:p w14:paraId="7ED47014" w14:textId="03EF9341"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CHAROUX JE</w:t>
      </w:r>
    </w:p>
    <w:p w14:paraId="36DCB1A4" w14:textId="77777777" w:rsidR="00BB7375" w:rsidRPr="00BB7375" w:rsidRDefault="00BB7375" w:rsidP="007F3FD9">
      <w:pPr>
        <w:suppressAutoHyphens/>
        <w:autoSpaceDN w:val="0"/>
        <w:spacing w:line="360" w:lineRule="auto"/>
        <w:ind w:firstLine="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1990. </w:t>
      </w:r>
      <w:r w:rsidRPr="00BB7375">
        <w:rPr>
          <w:rFonts w:ascii="Arial" w:eastAsia="Calibri" w:hAnsi="Arial" w:cs="Arial"/>
          <w:i/>
          <w:iCs/>
          <w:kern w:val="0"/>
          <w:sz w:val="24"/>
          <w:szCs w:val="24"/>
          <w14:ligatures w14:val="none"/>
        </w:rPr>
        <w:t>Coaching and the black manager</w:t>
      </w:r>
      <w:r w:rsidRPr="00BB7375">
        <w:rPr>
          <w:rFonts w:ascii="Arial" w:eastAsia="Calibri" w:hAnsi="Arial" w:cs="Arial"/>
          <w:kern w:val="0"/>
          <w:sz w:val="24"/>
          <w:szCs w:val="24"/>
          <w14:ligatures w14:val="none"/>
        </w:rPr>
        <w:t>. Juta.</w:t>
      </w:r>
    </w:p>
    <w:p w14:paraId="42A7757A" w14:textId="3BEEDB4C"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CHASKALSON M</w:t>
      </w:r>
      <w:r w:rsidR="007F3FD9">
        <w:rPr>
          <w:rFonts w:ascii="Arial" w:eastAsia="Calibri" w:hAnsi="Arial" w:cs="Arial"/>
          <w:kern w:val="0"/>
          <w:sz w:val="24"/>
          <w:szCs w:val="24"/>
          <w14:ligatures w14:val="none"/>
        </w:rPr>
        <w:t>,</w:t>
      </w:r>
      <w:r w:rsidRPr="00BB7375">
        <w:rPr>
          <w:rFonts w:ascii="Arial" w:eastAsia="Calibri" w:hAnsi="Arial" w:cs="Arial"/>
          <w:kern w:val="0"/>
          <w:sz w:val="24"/>
          <w:szCs w:val="24"/>
          <w14:ligatures w14:val="none"/>
        </w:rPr>
        <w:t xml:space="preserve"> KENTRIDGE J</w:t>
      </w:r>
      <w:r w:rsidR="007F3FD9">
        <w:rPr>
          <w:rFonts w:ascii="Arial" w:eastAsia="Calibri" w:hAnsi="Arial" w:cs="Arial"/>
          <w:kern w:val="0"/>
          <w:sz w:val="24"/>
          <w:szCs w:val="24"/>
          <w14:ligatures w14:val="none"/>
        </w:rPr>
        <w:t>,</w:t>
      </w:r>
      <w:r w:rsidRPr="00BB7375">
        <w:rPr>
          <w:rFonts w:ascii="Arial" w:eastAsia="Calibri" w:hAnsi="Arial" w:cs="Arial"/>
          <w:kern w:val="0"/>
          <w:sz w:val="24"/>
          <w:szCs w:val="24"/>
          <w14:ligatures w14:val="none"/>
        </w:rPr>
        <w:t xml:space="preserve"> KLAAREN J</w:t>
      </w:r>
      <w:r w:rsidR="007F3FD9">
        <w:rPr>
          <w:rFonts w:ascii="Arial" w:eastAsia="Calibri" w:hAnsi="Arial" w:cs="Arial"/>
          <w:kern w:val="0"/>
          <w:sz w:val="24"/>
          <w:szCs w:val="24"/>
          <w14:ligatures w14:val="none"/>
        </w:rPr>
        <w:t>,</w:t>
      </w:r>
      <w:r w:rsidRPr="00BB7375">
        <w:rPr>
          <w:rFonts w:ascii="Arial" w:eastAsia="Calibri" w:hAnsi="Arial" w:cs="Arial"/>
          <w:kern w:val="0"/>
          <w:sz w:val="24"/>
          <w:szCs w:val="24"/>
          <w14:ligatures w14:val="none"/>
        </w:rPr>
        <w:t xml:space="preserve"> MARCUS G</w:t>
      </w:r>
      <w:r w:rsidR="007F3FD9">
        <w:rPr>
          <w:rFonts w:ascii="Arial" w:eastAsia="Calibri" w:hAnsi="Arial" w:cs="Arial"/>
          <w:kern w:val="0"/>
          <w:sz w:val="24"/>
          <w:szCs w:val="24"/>
          <w14:ligatures w14:val="none"/>
        </w:rPr>
        <w:t>,</w:t>
      </w:r>
      <w:r w:rsidRPr="00BB7375">
        <w:rPr>
          <w:rFonts w:ascii="Arial" w:eastAsia="Calibri" w:hAnsi="Arial" w:cs="Arial"/>
          <w:kern w:val="0"/>
          <w:sz w:val="24"/>
          <w:szCs w:val="24"/>
          <w14:ligatures w14:val="none"/>
        </w:rPr>
        <w:t xml:space="preserve"> SPITZ D</w:t>
      </w:r>
      <w:r w:rsidR="007F3FD9">
        <w:rPr>
          <w:rFonts w:ascii="Arial" w:eastAsia="Calibri" w:hAnsi="Arial" w:cs="Arial"/>
          <w:kern w:val="0"/>
          <w:sz w:val="24"/>
          <w:szCs w:val="24"/>
          <w14:ligatures w14:val="none"/>
        </w:rPr>
        <w:t xml:space="preserve"> &amp;</w:t>
      </w:r>
      <w:r w:rsidRPr="00BB7375">
        <w:rPr>
          <w:rFonts w:ascii="Arial" w:eastAsia="Calibri" w:hAnsi="Arial" w:cs="Arial"/>
          <w:kern w:val="0"/>
          <w:sz w:val="24"/>
          <w:szCs w:val="24"/>
          <w14:ligatures w14:val="none"/>
        </w:rPr>
        <w:t xml:space="preserve"> WOOLMAN S</w:t>
      </w:r>
    </w:p>
    <w:p w14:paraId="14D66B19" w14:textId="24CD738E" w:rsidR="00BB7375" w:rsidRPr="009F38E3" w:rsidRDefault="00BB7375" w:rsidP="007F3FD9">
      <w:pPr>
        <w:suppressAutoHyphens/>
        <w:autoSpaceDN w:val="0"/>
        <w:spacing w:line="360" w:lineRule="auto"/>
        <w:ind w:firstLine="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1997. Constitutional Law of South Africa. </w:t>
      </w:r>
      <w:r w:rsidRPr="00BB7375">
        <w:rPr>
          <w:rFonts w:ascii="Arial" w:eastAsia="Calibri" w:hAnsi="Arial" w:cs="Arial"/>
          <w:i/>
          <w:iCs/>
          <w:kern w:val="0"/>
          <w:sz w:val="24"/>
          <w:szCs w:val="24"/>
          <w14:ligatures w14:val="none"/>
        </w:rPr>
        <w:t>Revision</w:t>
      </w:r>
      <w:r w:rsidRPr="00BB7375">
        <w:rPr>
          <w:rFonts w:ascii="Arial" w:eastAsia="Calibri" w:hAnsi="Arial" w:cs="Arial"/>
          <w:kern w:val="0"/>
          <w:sz w:val="24"/>
          <w:szCs w:val="24"/>
          <w14:ligatures w14:val="none"/>
        </w:rPr>
        <w:t>, </w:t>
      </w:r>
      <w:r w:rsidRPr="00BB7375">
        <w:rPr>
          <w:rFonts w:ascii="Arial" w:eastAsia="Calibri" w:hAnsi="Arial" w:cs="Arial"/>
          <w:i/>
          <w:iCs/>
          <w:kern w:val="0"/>
          <w:sz w:val="24"/>
          <w:szCs w:val="24"/>
          <w14:ligatures w14:val="none"/>
        </w:rPr>
        <w:t>5</w:t>
      </w:r>
      <w:r w:rsidRPr="00BB7375">
        <w:rPr>
          <w:rFonts w:ascii="Arial" w:eastAsia="Calibri" w:hAnsi="Arial" w:cs="Arial"/>
          <w:kern w:val="0"/>
          <w:sz w:val="24"/>
          <w:szCs w:val="24"/>
          <w14:ligatures w14:val="none"/>
        </w:rPr>
        <w:t>.</w:t>
      </w:r>
    </w:p>
    <w:p w14:paraId="2FF1C308" w14:textId="41DB4AEE"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COHEN C &amp; STERBA JP</w:t>
      </w:r>
    </w:p>
    <w:p w14:paraId="68D3D55B" w14:textId="77777777" w:rsidR="004566FE" w:rsidRPr="009F38E3" w:rsidRDefault="004566FE" w:rsidP="004566FE">
      <w:pPr>
        <w:suppressAutoHyphens/>
        <w:autoSpaceDN w:val="0"/>
        <w:spacing w:line="360" w:lineRule="auto"/>
        <w:ind w:left="720"/>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2003. </w:t>
      </w:r>
      <w:r w:rsidRPr="009F38E3">
        <w:rPr>
          <w:rFonts w:ascii="Arial" w:eastAsia="Calibri" w:hAnsi="Arial" w:cs="Arial"/>
          <w:i/>
          <w:iCs/>
          <w:kern w:val="0"/>
          <w:sz w:val="24"/>
          <w:szCs w:val="24"/>
          <w14:ligatures w14:val="none"/>
        </w:rPr>
        <w:t>Affirmative action and racial preference: a debate</w:t>
      </w:r>
      <w:r w:rsidRPr="009F38E3">
        <w:rPr>
          <w:rFonts w:ascii="Arial" w:eastAsia="Calibri" w:hAnsi="Arial" w:cs="Arial"/>
          <w:kern w:val="0"/>
          <w:sz w:val="24"/>
          <w:szCs w:val="24"/>
          <w14:ligatures w14:val="none"/>
        </w:rPr>
        <w:t>.</w:t>
      </w:r>
    </w:p>
    <w:p w14:paraId="7BF3D8F6"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COUPLAND R</w:t>
      </w:r>
    </w:p>
    <w:p w14:paraId="54D74C0D" w14:textId="7A56EF22" w:rsidR="001D48E4" w:rsidRPr="009F38E3" w:rsidRDefault="001D48E4"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1940. South African Native Policy and the Liberal Spirit. By RFA </w:t>
      </w:r>
      <w:proofErr w:type="spellStart"/>
      <w:r w:rsidRPr="009F38E3">
        <w:rPr>
          <w:rFonts w:ascii="Arial" w:eastAsia="Calibri" w:hAnsi="Arial" w:cs="Arial"/>
          <w:kern w:val="0"/>
          <w:sz w:val="24"/>
          <w:szCs w:val="24"/>
          <w14:ligatures w14:val="none"/>
        </w:rPr>
        <w:t>Hoernlé</w:t>
      </w:r>
      <w:proofErr w:type="spellEnd"/>
      <w:r w:rsidRPr="009F38E3">
        <w:rPr>
          <w:rFonts w:ascii="Arial" w:eastAsia="Calibri" w:hAnsi="Arial" w:cs="Arial"/>
          <w:kern w:val="0"/>
          <w:sz w:val="24"/>
          <w:szCs w:val="24"/>
          <w14:ligatures w14:val="none"/>
        </w:rPr>
        <w:t xml:space="preserve">. Lovedale Press, 1939. </w:t>
      </w:r>
      <w:r w:rsidRPr="009F38E3">
        <w:rPr>
          <w:rFonts w:ascii="Arial" w:eastAsia="Calibri" w:hAnsi="Arial" w:cs="Arial"/>
          <w:i/>
          <w:iCs/>
          <w:kern w:val="0"/>
          <w:sz w:val="24"/>
          <w:szCs w:val="24"/>
          <w14:ligatures w14:val="none"/>
        </w:rPr>
        <w:t>Africa</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13</w:t>
      </w:r>
      <w:r w:rsidRPr="009F38E3">
        <w:rPr>
          <w:rFonts w:ascii="Arial" w:eastAsia="Calibri" w:hAnsi="Arial" w:cs="Arial"/>
          <w:kern w:val="0"/>
          <w:sz w:val="24"/>
          <w:szCs w:val="24"/>
          <w14:ligatures w14:val="none"/>
        </w:rPr>
        <w:t>(3):304-305.</w:t>
      </w:r>
    </w:p>
    <w:p w14:paraId="0D3EF865"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CRANKSHAW O</w:t>
      </w:r>
    </w:p>
    <w:p w14:paraId="43CBF3B6"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 2002. </w:t>
      </w:r>
      <w:r w:rsidRPr="009F38E3">
        <w:rPr>
          <w:rFonts w:ascii="Arial" w:eastAsia="Calibri" w:hAnsi="Arial" w:cs="Arial"/>
          <w:i/>
          <w:iCs/>
          <w:kern w:val="0"/>
          <w:sz w:val="24"/>
          <w:szCs w:val="24"/>
          <w14:ligatures w14:val="none"/>
        </w:rPr>
        <w:t>Race, class and the changing division of labour under apartheid</w:t>
      </w:r>
      <w:r w:rsidRPr="009F38E3">
        <w:rPr>
          <w:rFonts w:ascii="Arial" w:eastAsia="Calibri" w:hAnsi="Arial" w:cs="Arial"/>
          <w:kern w:val="0"/>
          <w:sz w:val="24"/>
          <w:szCs w:val="24"/>
          <w14:ligatures w14:val="none"/>
        </w:rPr>
        <w:t>. Routledge.</w:t>
      </w:r>
    </w:p>
    <w:p w14:paraId="4A3C7145" w14:textId="49EBE6B0"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CRENSHAW KW</w:t>
      </w:r>
    </w:p>
    <w:p w14:paraId="0BD248B3" w14:textId="77777777"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2013. Mapping the margins: Intersectionality, identity politics, and violence against women of colour. In </w:t>
      </w:r>
      <w:r w:rsidRPr="009F38E3">
        <w:rPr>
          <w:rFonts w:ascii="Arial" w:eastAsia="Calibri" w:hAnsi="Arial" w:cs="Arial"/>
          <w:i/>
          <w:iCs/>
          <w:kern w:val="0"/>
          <w:sz w:val="24"/>
          <w:szCs w:val="24"/>
          <w14:ligatures w14:val="none"/>
        </w:rPr>
        <w:t>The public nature of private violence</w:t>
      </w:r>
      <w:r w:rsidRPr="009F38E3">
        <w:rPr>
          <w:rFonts w:ascii="Arial" w:eastAsia="Calibri" w:hAnsi="Arial" w:cs="Arial"/>
          <w:kern w:val="0"/>
          <w:sz w:val="24"/>
          <w:szCs w:val="24"/>
          <w14:ligatures w14:val="none"/>
        </w:rPr>
        <w:t>: 93-118.</w:t>
      </w:r>
    </w:p>
    <w:p w14:paraId="27D63AF7" w14:textId="214407CC"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CROSBY</w:t>
      </w:r>
      <w:r w:rsidR="007553DE">
        <w:rPr>
          <w:rFonts w:ascii="Arial" w:eastAsia="Calibri" w:hAnsi="Arial" w:cs="Arial"/>
          <w:kern w:val="0"/>
          <w:sz w:val="24"/>
          <w:szCs w:val="24"/>
          <w14:ligatures w14:val="none"/>
        </w:rPr>
        <w:t xml:space="preserve"> </w:t>
      </w:r>
      <w:r w:rsidRPr="00BB7375">
        <w:rPr>
          <w:rFonts w:ascii="Arial" w:eastAsia="Calibri" w:hAnsi="Arial" w:cs="Arial"/>
          <w:kern w:val="0"/>
          <w:sz w:val="24"/>
          <w:szCs w:val="24"/>
          <w14:ligatures w14:val="none"/>
        </w:rPr>
        <w:t>FJ</w:t>
      </w:r>
    </w:p>
    <w:p w14:paraId="64C5501E" w14:textId="3F3098A1" w:rsidR="00BB7375"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1994. Understanding affirmative action. </w:t>
      </w:r>
      <w:r w:rsidRPr="00BB7375">
        <w:rPr>
          <w:rFonts w:ascii="Arial" w:eastAsia="Calibri" w:hAnsi="Arial" w:cs="Arial"/>
          <w:i/>
          <w:iCs/>
          <w:kern w:val="0"/>
          <w:sz w:val="24"/>
          <w:szCs w:val="24"/>
          <w14:ligatures w14:val="none"/>
        </w:rPr>
        <w:t>Basic and Applied Social Psychology</w:t>
      </w:r>
      <w:r w:rsidRPr="00BB7375">
        <w:rPr>
          <w:rFonts w:ascii="Arial" w:eastAsia="Calibri" w:hAnsi="Arial" w:cs="Arial"/>
          <w:kern w:val="0"/>
          <w:sz w:val="24"/>
          <w:szCs w:val="24"/>
          <w14:ligatures w14:val="none"/>
        </w:rPr>
        <w:t>, </w:t>
      </w:r>
      <w:r w:rsidRPr="00BB7375">
        <w:rPr>
          <w:rFonts w:ascii="Arial" w:eastAsia="Calibri" w:hAnsi="Arial" w:cs="Arial"/>
          <w:i/>
          <w:iCs/>
          <w:kern w:val="0"/>
          <w:sz w:val="24"/>
          <w:szCs w:val="24"/>
          <w14:ligatures w14:val="none"/>
        </w:rPr>
        <w:t>15</w:t>
      </w:r>
      <w:r w:rsidRPr="00BB7375">
        <w:rPr>
          <w:rFonts w:ascii="Arial" w:eastAsia="Calibri" w:hAnsi="Arial" w:cs="Arial"/>
          <w:kern w:val="0"/>
          <w:sz w:val="24"/>
          <w:szCs w:val="24"/>
          <w14:ligatures w14:val="none"/>
        </w:rPr>
        <w:t>(1-2):13-41.</w:t>
      </w:r>
    </w:p>
    <w:p w14:paraId="269CFBA0" w14:textId="78D6D564"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CURRIE I &amp; DE WAAL J</w:t>
      </w:r>
    </w:p>
    <w:p w14:paraId="7EA649C6" w14:textId="7D35C4E4"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2013. </w:t>
      </w:r>
      <w:r w:rsidRPr="009F38E3">
        <w:rPr>
          <w:rFonts w:ascii="Arial" w:eastAsia="Calibri" w:hAnsi="Arial" w:cs="Arial"/>
          <w:i/>
          <w:iCs/>
          <w:kern w:val="0"/>
          <w:sz w:val="24"/>
          <w:szCs w:val="24"/>
          <w14:ligatures w14:val="none"/>
        </w:rPr>
        <w:t>The bill of rights handbook</w:t>
      </w:r>
      <w:r w:rsidRPr="009F38E3">
        <w:rPr>
          <w:rFonts w:ascii="Arial" w:eastAsia="Calibri" w:hAnsi="Arial" w:cs="Arial"/>
          <w:kern w:val="0"/>
          <w:sz w:val="24"/>
          <w:szCs w:val="24"/>
          <w14:ligatures w14:val="none"/>
        </w:rPr>
        <w:t>. Juta and Company Ltd.</w:t>
      </w:r>
    </w:p>
    <w:p w14:paraId="5C202499" w14:textId="0A3A6E4E"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DAVENPORT T &amp; SAUNDERS C</w:t>
      </w:r>
    </w:p>
    <w:p w14:paraId="21AD00E4" w14:textId="12CF4855" w:rsidR="004566FE"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2000. </w:t>
      </w:r>
      <w:r w:rsidRPr="009F38E3">
        <w:rPr>
          <w:rFonts w:ascii="Arial" w:eastAsia="Calibri" w:hAnsi="Arial" w:cs="Arial"/>
          <w:i/>
          <w:iCs/>
          <w:kern w:val="0"/>
          <w:sz w:val="24"/>
          <w:szCs w:val="24"/>
          <w14:ligatures w14:val="none"/>
        </w:rPr>
        <w:t>South Africa: A modern history</w:t>
      </w:r>
      <w:r w:rsidRPr="009F38E3">
        <w:rPr>
          <w:rFonts w:ascii="Arial" w:eastAsia="Calibri" w:hAnsi="Arial" w:cs="Arial"/>
          <w:kern w:val="0"/>
          <w:sz w:val="24"/>
          <w:szCs w:val="24"/>
          <w14:ligatures w14:val="none"/>
        </w:rPr>
        <w:t>. Springer.</w:t>
      </w:r>
    </w:p>
    <w:p w14:paraId="776471BC" w14:textId="77777777" w:rsidR="00DF6BC2" w:rsidRPr="009F38E3" w:rsidRDefault="00DF6BC2" w:rsidP="00DF6BC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DAVIS D </w:t>
      </w:r>
    </w:p>
    <w:p w14:paraId="636C42CA" w14:textId="77777777" w:rsidR="00DF6BC2" w:rsidRPr="009F38E3" w:rsidRDefault="00DF6BC2" w:rsidP="00DF6BC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1999. </w:t>
      </w:r>
      <w:r w:rsidRPr="009F38E3">
        <w:rPr>
          <w:rFonts w:ascii="Arial" w:eastAsia="Calibri" w:hAnsi="Arial" w:cs="Arial"/>
          <w:i/>
          <w:iCs/>
          <w:kern w:val="0"/>
          <w:sz w:val="24"/>
          <w:szCs w:val="24"/>
          <w14:ligatures w14:val="none"/>
        </w:rPr>
        <w:t>Democracy and deliberation</w:t>
      </w:r>
      <w:r w:rsidRPr="009F38E3">
        <w:rPr>
          <w:rFonts w:ascii="Arial" w:eastAsia="Calibri" w:hAnsi="Arial" w:cs="Arial"/>
          <w:kern w:val="0"/>
          <w:sz w:val="24"/>
          <w:szCs w:val="24"/>
          <w14:ligatures w14:val="none"/>
        </w:rPr>
        <w:t>. Juta and Company Ltd.</w:t>
      </w:r>
    </w:p>
    <w:p w14:paraId="2BC439F4" w14:textId="77777777" w:rsidR="00DF6BC2" w:rsidRPr="009F38E3" w:rsidRDefault="00DF6BC2" w:rsidP="001D48E4">
      <w:pPr>
        <w:suppressAutoHyphens/>
        <w:autoSpaceDN w:val="0"/>
        <w:spacing w:line="360" w:lineRule="auto"/>
        <w:rPr>
          <w:rFonts w:ascii="Arial" w:eastAsia="Calibri" w:hAnsi="Arial" w:cs="Arial"/>
          <w:kern w:val="0"/>
          <w:sz w:val="24"/>
          <w:szCs w:val="24"/>
          <w14:ligatures w14:val="none"/>
        </w:rPr>
      </w:pPr>
    </w:p>
    <w:p w14:paraId="3429E0B1" w14:textId="2F675F6A"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DAVIES R, KAPLAN D, MORRIS M &amp; O'MEARA D.</w:t>
      </w:r>
    </w:p>
    <w:p w14:paraId="1D6EBF67" w14:textId="35168EC4" w:rsidR="004566FE"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1976. Class struggle and the periodisation of the state in South Africa. </w:t>
      </w:r>
      <w:r w:rsidRPr="009F38E3">
        <w:rPr>
          <w:rFonts w:ascii="Arial" w:eastAsia="Calibri" w:hAnsi="Arial" w:cs="Arial"/>
          <w:i/>
          <w:iCs/>
          <w:kern w:val="0"/>
          <w:sz w:val="24"/>
          <w:szCs w:val="24"/>
          <w14:ligatures w14:val="none"/>
        </w:rPr>
        <w:t>Review of African Political Economy</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3</w:t>
      </w:r>
      <w:r w:rsidRPr="009F38E3">
        <w:rPr>
          <w:rFonts w:ascii="Arial" w:eastAsia="Calibri" w:hAnsi="Arial" w:cs="Arial"/>
          <w:kern w:val="0"/>
          <w:sz w:val="24"/>
          <w:szCs w:val="24"/>
          <w14:ligatures w14:val="none"/>
        </w:rPr>
        <w:t>(7):4-30</w:t>
      </w:r>
    </w:p>
    <w:p w14:paraId="3CB18FC9"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DAVIS D CHEADLE H &amp; HAYSOM N </w:t>
      </w:r>
    </w:p>
    <w:p w14:paraId="483A583E" w14:textId="3D6FBD49" w:rsidR="004566FE" w:rsidRPr="009F38E3" w:rsidRDefault="004566FE"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1997. </w:t>
      </w:r>
      <w:r w:rsidRPr="009F38E3">
        <w:rPr>
          <w:rFonts w:ascii="Arial" w:eastAsia="Calibri" w:hAnsi="Arial" w:cs="Arial"/>
          <w:i/>
          <w:iCs/>
          <w:kern w:val="0"/>
          <w:sz w:val="24"/>
          <w:szCs w:val="24"/>
          <w14:ligatures w14:val="none"/>
        </w:rPr>
        <w:t>Fundamental rights in the constitution: Commentary and cases: a commentary on chapter 3 on fundamental rights of the 1993 constitution and chapter 2 of the 1996 constitution</w:t>
      </w:r>
      <w:r w:rsidRPr="009F38E3">
        <w:rPr>
          <w:rFonts w:ascii="Arial" w:eastAsia="Calibri" w:hAnsi="Arial" w:cs="Arial"/>
          <w:kern w:val="0"/>
          <w:sz w:val="24"/>
          <w:szCs w:val="24"/>
          <w14:ligatures w14:val="none"/>
        </w:rPr>
        <w:t>. Juta.</w:t>
      </w:r>
    </w:p>
    <w:p w14:paraId="01581BD8"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DEPARTMENT FOR COMMUNITIES AND LOCAL GOVERNMENT</w:t>
      </w:r>
    </w:p>
    <w:p w14:paraId="377E336D" w14:textId="465C31E1" w:rsidR="00B5558B" w:rsidRPr="009F38E3" w:rsidRDefault="004566FE"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2007. </w:t>
      </w:r>
      <w:r w:rsidRPr="009F38E3">
        <w:rPr>
          <w:rFonts w:ascii="Arial" w:eastAsia="Calibri" w:hAnsi="Arial" w:cs="Arial"/>
          <w:i/>
          <w:iCs/>
          <w:kern w:val="0"/>
          <w:sz w:val="24"/>
          <w:szCs w:val="24"/>
          <w14:ligatures w14:val="none"/>
        </w:rPr>
        <w:t>“Discrimination Law Review, A Framework for Fairness: Proposals for a Single Equality Bill for Great Britain, a consultation paper”</w:t>
      </w:r>
    </w:p>
    <w:p w14:paraId="0D78784C" w14:textId="77777777"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DE VOS P </w:t>
      </w:r>
    </w:p>
    <w:p w14:paraId="61ABC3FD" w14:textId="77777777"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2000. Equality for All: A Critical Analysis of the Equality Jurisprudence of the Constitutional Court. </w:t>
      </w:r>
      <w:r w:rsidRPr="009F38E3">
        <w:rPr>
          <w:rFonts w:ascii="Arial" w:eastAsia="Calibri" w:hAnsi="Arial" w:cs="Arial"/>
          <w:i/>
          <w:iCs/>
          <w:kern w:val="0"/>
          <w:sz w:val="24"/>
          <w:szCs w:val="24"/>
          <w14:ligatures w14:val="none"/>
        </w:rPr>
        <w:t>THRHR</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63</w:t>
      </w:r>
      <w:r w:rsidRPr="009F38E3">
        <w:rPr>
          <w:rFonts w:ascii="Arial" w:eastAsia="Calibri" w:hAnsi="Arial" w:cs="Arial"/>
          <w:kern w:val="0"/>
          <w:sz w:val="24"/>
          <w:szCs w:val="24"/>
          <w14:ligatures w14:val="none"/>
        </w:rPr>
        <w:t>: 68.</w:t>
      </w:r>
    </w:p>
    <w:p w14:paraId="158AAC96" w14:textId="77777777"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DE VOS P &amp; FREEDMAN W</w:t>
      </w:r>
    </w:p>
    <w:p w14:paraId="040BAAA5" w14:textId="77777777"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2021. </w:t>
      </w:r>
      <w:r w:rsidRPr="009F38E3">
        <w:rPr>
          <w:rFonts w:ascii="Arial" w:eastAsia="Calibri" w:hAnsi="Arial" w:cs="Arial"/>
          <w:i/>
          <w:iCs/>
          <w:kern w:val="0"/>
          <w:sz w:val="24"/>
          <w:szCs w:val="24"/>
          <w14:ligatures w14:val="none"/>
        </w:rPr>
        <w:t>South African constitutional law in context</w:t>
      </w:r>
      <w:r w:rsidRPr="009F38E3">
        <w:rPr>
          <w:rFonts w:ascii="Arial" w:eastAsia="Calibri" w:hAnsi="Arial" w:cs="Arial"/>
          <w:kern w:val="0"/>
          <w:sz w:val="24"/>
          <w:szCs w:val="24"/>
          <w14:ligatures w14:val="none"/>
        </w:rPr>
        <w:t>. Oxford University Press.</w:t>
      </w:r>
    </w:p>
    <w:p w14:paraId="4E9E3F9A" w14:textId="77777777" w:rsidR="00B5558B" w:rsidRPr="009F38E3" w:rsidRDefault="00B5558B" w:rsidP="00B5558B">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DE WAAL C</w:t>
      </w:r>
    </w:p>
    <w:p w14:paraId="10E2783C" w14:textId="0C7E2A75" w:rsidR="00B5558B" w:rsidRPr="009F38E3" w:rsidRDefault="00B5558B"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2001. Erasmus The Bill of Rights Handbook. </w:t>
      </w:r>
      <w:r w:rsidRPr="009F38E3">
        <w:rPr>
          <w:rFonts w:ascii="Arial" w:eastAsia="Calibri" w:hAnsi="Arial" w:cs="Arial"/>
          <w:i/>
          <w:iCs/>
          <w:kern w:val="0"/>
          <w:sz w:val="24"/>
          <w:szCs w:val="24"/>
          <w14:ligatures w14:val="none"/>
        </w:rPr>
        <w:t>De Waal J, Currie I and Erasmus G The Bill of Rights Handbook</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4</w:t>
      </w:r>
      <w:r w:rsidRPr="009F38E3">
        <w:rPr>
          <w:rFonts w:ascii="Arial" w:eastAsia="Calibri" w:hAnsi="Arial" w:cs="Arial"/>
          <w:kern w:val="0"/>
          <w:sz w:val="24"/>
          <w:szCs w:val="24"/>
          <w14:ligatures w14:val="none"/>
        </w:rPr>
        <w:t>: 128-134.</w:t>
      </w:r>
    </w:p>
    <w:p w14:paraId="2FD90404" w14:textId="7F879EC2"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DE WAAL J CURRIE I &amp; ERASMUS G</w:t>
      </w:r>
    </w:p>
    <w:p w14:paraId="337BDEC0"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2001. </w:t>
      </w:r>
      <w:r w:rsidRPr="009F38E3">
        <w:rPr>
          <w:rFonts w:ascii="Arial" w:eastAsia="Calibri" w:hAnsi="Arial" w:cs="Arial"/>
          <w:i/>
          <w:iCs/>
          <w:kern w:val="0"/>
          <w:sz w:val="24"/>
          <w:szCs w:val="24"/>
          <w14:ligatures w14:val="none"/>
        </w:rPr>
        <w:t>The bill of rights handbook</w:t>
      </w:r>
      <w:r w:rsidRPr="009F38E3">
        <w:rPr>
          <w:rFonts w:ascii="Arial" w:eastAsia="Calibri" w:hAnsi="Arial" w:cs="Arial"/>
          <w:kern w:val="0"/>
          <w:sz w:val="24"/>
          <w:szCs w:val="24"/>
          <w14:ligatures w14:val="none"/>
        </w:rPr>
        <w:t>. Juta &amp; Company.</w:t>
      </w:r>
    </w:p>
    <w:p w14:paraId="7121F08C"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DUPPER O</w:t>
      </w:r>
    </w:p>
    <w:p w14:paraId="3E160EE4"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2002. Affirmative action and substantive equality: the South African experience. </w:t>
      </w:r>
      <w:r w:rsidRPr="009F38E3">
        <w:rPr>
          <w:rFonts w:ascii="Arial" w:eastAsia="Calibri" w:hAnsi="Arial" w:cs="Arial"/>
          <w:i/>
          <w:iCs/>
          <w:kern w:val="0"/>
          <w:sz w:val="24"/>
          <w:szCs w:val="24"/>
          <w14:ligatures w14:val="none"/>
        </w:rPr>
        <w:t>S. Afr. Mercantile LJ</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14</w:t>
      </w:r>
      <w:r w:rsidRPr="009F38E3">
        <w:rPr>
          <w:rFonts w:ascii="Arial" w:eastAsia="Calibri" w:hAnsi="Arial" w:cs="Arial"/>
          <w:kern w:val="0"/>
          <w:sz w:val="24"/>
          <w:szCs w:val="24"/>
          <w14:ligatures w14:val="none"/>
        </w:rPr>
        <w:t>: 275.</w:t>
      </w:r>
    </w:p>
    <w:p w14:paraId="6C8E856A"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2004. </w:t>
      </w:r>
      <w:r w:rsidRPr="009F38E3">
        <w:rPr>
          <w:rFonts w:ascii="Arial" w:eastAsia="Calibri" w:hAnsi="Arial" w:cs="Arial"/>
          <w:i/>
          <w:iCs/>
          <w:kern w:val="0"/>
          <w:sz w:val="24"/>
          <w:szCs w:val="24"/>
          <w14:ligatures w14:val="none"/>
        </w:rPr>
        <w:t>Essential employment discrimination law</w:t>
      </w:r>
      <w:r w:rsidRPr="009F38E3">
        <w:rPr>
          <w:rFonts w:ascii="Arial" w:eastAsia="Calibri" w:hAnsi="Arial" w:cs="Arial"/>
          <w:kern w:val="0"/>
          <w:sz w:val="24"/>
          <w:szCs w:val="24"/>
          <w14:ligatures w14:val="none"/>
        </w:rPr>
        <w:t>. Juta and Company Ltd.</w:t>
      </w:r>
    </w:p>
    <w:p w14:paraId="590792AA" w14:textId="58C7665D"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 xml:space="preserve">2006. Affirmative Action in South Africa:(M) Any Lessons for </w:t>
      </w:r>
      <w:proofErr w:type="gramStart"/>
      <w:r w:rsidRPr="009F38E3">
        <w:rPr>
          <w:rFonts w:ascii="Arial" w:eastAsia="Calibri" w:hAnsi="Arial" w:cs="Arial"/>
          <w:kern w:val="0"/>
          <w:sz w:val="24"/>
          <w:szCs w:val="24"/>
          <w14:ligatures w14:val="none"/>
        </w:rPr>
        <w:t>Europe?.</w:t>
      </w:r>
      <w:proofErr w:type="gramEnd"/>
      <w:r w:rsidRPr="009F38E3">
        <w:rPr>
          <w:rFonts w:ascii="Arial" w:eastAsia="Calibri" w:hAnsi="Arial" w:cs="Arial"/>
          <w:kern w:val="0"/>
          <w:sz w:val="24"/>
          <w:szCs w:val="24"/>
          <w14:ligatures w14:val="none"/>
        </w:rPr>
        <w:t> </w:t>
      </w:r>
      <w:proofErr w:type="spellStart"/>
      <w:r w:rsidRPr="009F38E3">
        <w:rPr>
          <w:rFonts w:ascii="Arial" w:eastAsia="Calibri" w:hAnsi="Arial" w:cs="Arial"/>
          <w:i/>
          <w:iCs/>
          <w:kern w:val="0"/>
          <w:sz w:val="24"/>
          <w:szCs w:val="24"/>
          <w14:ligatures w14:val="none"/>
        </w:rPr>
        <w:t>Verfassung</w:t>
      </w:r>
      <w:proofErr w:type="spellEnd"/>
      <w:r w:rsidRPr="009F38E3">
        <w:rPr>
          <w:rFonts w:ascii="Arial" w:eastAsia="Calibri" w:hAnsi="Arial" w:cs="Arial"/>
          <w:i/>
          <w:iCs/>
          <w:kern w:val="0"/>
          <w:sz w:val="24"/>
          <w:szCs w:val="24"/>
          <w14:ligatures w14:val="none"/>
        </w:rPr>
        <w:t xml:space="preserve"> und Recht in </w:t>
      </w:r>
      <w:proofErr w:type="spellStart"/>
      <w:r w:rsidRPr="009F38E3">
        <w:rPr>
          <w:rFonts w:ascii="Arial" w:eastAsia="Calibri" w:hAnsi="Arial" w:cs="Arial"/>
          <w:i/>
          <w:iCs/>
          <w:kern w:val="0"/>
          <w:sz w:val="24"/>
          <w:szCs w:val="24"/>
          <w14:ligatures w14:val="none"/>
        </w:rPr>
        <w:t>Übersee</w:t>
      </w:r>
      <w:proofErr w:type="spellEnd"/>
      <w:r w:rsidRPr="009F38E3">
        <w:rPr>
          <w:rFonts w:ascii="Arial" w:eastAsia="Calibri" w:hAnsi="Arial" w:cs="Arial"/>
          <w:i/>
          <w:iCs/>
          <w:kern w:val="0"/>
          <w:sz w:val="24"/>
          <w:szCs w:val="24"/>
          <w14:ligatures w14:val="none"/>
        </w:rPr>
        <w:t>/Law and Politics in Africa, Asia and Latin America</w:t>
      </w:r>
      <w:r w:rsidRPr="009F38E3">
        <w:rPr>
          <w:rFonts w:ascii="Arial" w:eastAsia="Calibri" w:hAnsi="Arial" w:cs="Arial"/>
          <w:kern w:val="0"/>
          <w:sz w:val="24"/>
          <w:szCs w:val="24"/>
          <w14:ligatures w14:val="none"/>
        </w:rPr>
        <w:t>: 138-164.</w:t>
      </w:r>
    </w:p>
    <w:p w14:paraId="6ADC0DF4" w14:textId="74AEE795" w:rsidR="004566FE"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2008. Affirmative action: who, how and how </w:t>
      </w:r>
      <w:proofErr w:type="gramStart"/>
      <w:r w:rsidRPr="009F38E3">
        <w:rPr>
          <w:rFonts w:ascii="Arial" w:eastAsia="Calibri" w:hAnsi="Arial" w:cs="Arial"/>
          <w:kern w:val="0"/>
          <w:sz w:val="24"/>
          <w:szCs w:val="24"/>
          <w14:ligatures w14:val="none"/>
        </w:rPr>
        <w:t>long?.</w:t>
      </w:r>
      <w:proofErr w:type="gramEnd"/>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South African Journal on Human Rights</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24</w:t>
      </w:r>
      <w:r w:rsidRPr="009F38E3">
        <w:rPr>
          <w:rFonts w:ascii="Arial" w:eastAsia="Calibri" w:hAnsi="Arial" w:cs="Arial"/>
          <w:kern w:val="0"/>
          <w:sz w:val="24"/>
          <w:szCs w:val="24"/>
          <w14:ligatures w14:val="none"/>
        </w:rPr>
        <w:t>(3):425-444.</w:t>
      </w:r>
    </w:p>
    <w:p w14:paraId="171047EF"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DUPPER O BHOOLA U AND GARBERS C</w:t>
      </w:r>
    </w:p>
    <w:p w14:paraId="66A46879" w14:textId="77777777" w:rsidR="004566FE" w:rsidRPr="009F38E3" w:rsidRDefault="004566FE" w:rsidP="004566FE">
      <w:pPr>
        <w:suppressAutoHyphens/>
        <w:autoSpaceDN w:val="0"/>
        <w:spacing w:line="360" w:lineRule="auto"/>
        <w:ind w:left="720"/>
        <w:rPr>
          <w:rFonts w:ascii="Arial" w:eastAsia="Calibri" w:hAnsi="Arial" w:cs="Arial"/>
          <w:i/>
          <w:iCs/>
          <w:kern w:val="0"/>
          <w:sz w:val="24"/>
          <w:szCs w:val="24"/>
          <w14:ligatures w14:val="none"/>
        </w:rPr>
      </w:pPr>
      <w:r w:rsidRPr="009F38E3">
        <w:rPr>
          <w:rFonts w:ascii="Arial" w:eastAsia="Calibri" w:hAnsi="Arial" w:cs="Arial"/>
          <w:i/>
          <w:iCs/>
          <w:kern w:val="0"/>
          <w:sz w:val="24"/>
          <w:szCs w:val="24"/>
          <w14:ligatures w14:val="none"/>
        </w:rPr>
        <w:t>2009. Understanding the Employment Equity Act. Juta and Company Ltd.</w:t>
      </w:r>
    </w:p>
    <w:p w14:paraId="15BA2423"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DU PLESSIS LM &amp; CORDER H</w:t>
      </w:r>
    </w:p>
    <w:p w14:paraId="21091328"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1994. </w:t>
      </w:r>
      <w:r w:rsidRPr="009F38E3">
        <w:rPr>
          <w:rFonts w:ascii="Arial" w:eastAsia="Calibri" w:hAnsi="Arial" w:cs="Arial"/>
          <w:i/>
          <w:iCs/>
          <w:kern w:val="0"/>
          <w:sz w:val="24"/>
          <w:szCs w:val="24"/>
          <w14:ligatures w14:val="none"/>
        </w:rPr>
        <w:t>Understanding South Africa's Transitional Bill of Rights</w:t>
      </w:r>
      <w:r w:rsidRPr="009F38E3">
        <w:rPr>
          <w:rFonts w:ascii="Arial" w:eastAsia="Calibri" w:hAnsi="Arial" w:cs="Arial"/>
          <w:kern w:val="0"/>
          <w:sz w:val="24"/>
          <w:szCs w:val="24"/>
          <w14:ligatures w14:val="none"/>
        </w:rPr>
        <w:t>. Juta: 139-140.</w:t>
      </w:r>
    </w:p>
    <w:p w14:paraId="7430A119"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DU TOIT D </w:t>
      </w:r>
    </w:p>
    <w:p w14:paraId="08A1256F"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2006. </w:t>
      </w:r>
      <w:r w:rsidRPr="009F38E3">
        <w:rPr>
          <w:rFonts w:ascii="Arial" w:eastAsia="Calibri" w:hAnsi="Arial" w:cs="Arial"/>
          <w:i/>
          <w:iCs/>
          <w:kern w:val="0"/>
          <w:sz w:val="24"/>
          <w:szCs w:val="24"/>
          <w14:ligatures w14:val="none"/>
        </w:rPr>
        <w:t>Labour relations law: A comprehensive guide</w:t>
      </w:r>
      <w:r w:rsidRPr="009F38E3">
        <w:rPr>
          <w:rFonts w:ascii="Arial" w:eastAsia="Calibri" w:hAnsi="Arial" w:cs="Arial"/>
          <w:kern w:val="0"/>
          <w:sz w:val="24"/>
          <w:szCs w:val="24"/>
          <w14:ligatures w14:val="none"/>
        </w:rPr>
        <w:t>. LexisNexis.</w:t>
      </w:r>
    </w:p>
    <w:p w14:paraId="2925D5CA" w14:textId="08262D8D"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DUVENHAGE JC </w:t>
      </w:r>
    </w:p>
    <w:p w14:paraId="239BFFF1" w14:textId="063A5D9E"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2022. The interplay between the rule of law, substantive equality and affirmative action in employment and higher education: An international perspective, Doctor of Laws in the subject mercantile law at the university of South Africa.</w:t>
      </w:r>
    </w:p>
    <w:p w14:paraId="1380AD87" w14:textId="3BAE21B6"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ELPHICK R &amp; GILIOMEE HB</w:t>
      </w:r>
    </w:p>
    <w:p w14:paraId="311608A3" w14:textId="59F252F6" w:rsidR="001D48E4" w:rsidRPr="009F38E3" w:rsidRDefault="001D48E4" w:rsidP="00BB7375">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1979. The shaping of South African society, 1652-1820. </w:t>
      </w:r>
    </w:p>
    <w:p w14:paraId="63CEB602" w14:textId="77777777" w:rsidR="00DD7122" w:rsidRPr="009F38E3" w:rsidRDefault="004566FE" w:rsidP="00DD712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FAUNDEZ J</w:t>
      </w:r>
    </w:p>
    <w:p w14:paraId="01F7343D" w14:textId="276EE187" w:rsidR="004566FE" w:rsidRPr="009F38E3" w:rsidRDefault="004566FE"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i/>
          <w:iCs/>
          <w:kern w:val="0"/>
          <w:sz w:val="24"/>
          <w:szCs w:val="24"/>
          <w14:ligatures w14:val="none"/>
        </w:rPr>
        <w:t>1994. Affirmative action: International perspectives. International Labour Organization.</w:t>
      </w:r>
    </w:p>
    <w:p w14:paraId="6B8AEED0" w14:textId="1439BDFD"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 xml:space="preserve">FERGUS E </w:t>
      </w:r>
    </w:p>
    <w:p w14:paraId="14BDF607" w14:textId="25289ABD" w:rsidR="00BB7375" w:rsidRPr="009F38E3" w:rsidRDefault="00BB7375" w:rsidP="00DA70E2">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2015. Towards Unity-Reconciling Fairness and Rationality in Affirmative Action Disputes. </w:t>
      </w:r>
      <w:r w:rsidRPr="00BB7375">
        <w:rPr>
          <w:rFonts w:ascii="Arial" w:eastAsia="Calibri" w:hAnsi="Arial" w:cs="Arial"/>
          <w:i/>
          <w:iCs/>
          <w:kern w:val="0"/>
          <w:sz w:val="24"/>
          <w:szCs w:val="24"/>
          <w14:ligatures w14:val="none"/>
        </w:rPr>
        <w:t>Indus. LJ</w:t>
      </w:r>
      <w:r w:rsidRPr="00BB7375">
        <w:rPr>
          <w:rFonts w:ascii="Arial" w:eastAsia="Calibri" w:hAnsi="Arial" w:cs="Arial"/>
          <w:kern w:val="0"/>
          <w:sz w:val="24"/>
          <w:szCs w:val="24"/>
          <w14:ligatures w14:val="none"/>
        </w:rPr>
        <w:t>, </w:t>
      </w:r>
      <w:r w:rsidRPr="00BB7375">
        <w:rPr>
          <w:rFonts w:ascii="Arial" w:eastAsia="Calibri" w:hAnsi="Arial" w:cs="Arial"/>
          <w:i/>
          <w:iCs/>
          <w:kern w:val="0"/>
          <w:sz w:val="24"/>
          <w:szCs w:val="24"/>
          <w14:ligatures w14:val="none"/>
        </w:rPr>
        <w:t>36</w:t>
      </w:r>
      <w:r w:rsidRPr="00BB7375">
        <w:rPr>
          <w:rFonts w:ascii="Arial" w:eastAsia="Calibri" w:hAnsi="Arial" w:cs="Arial"/>
          <w:kern w:val="0"/>
          <w:sz w:val="24"/>
          <w:szCs w:val="24"/>
          <w14:ligatures w14:val="none"/>
        </w:rPr>
        <w:t>.</w:t>
      </w:r>
    </w:p>
    <w:p w14:paraId="03B98917" w14:textId="4065997C"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FINLEY L M</w:t>
      </w:r>
    </w:p>
    <w:p w14:paraId="7FCCE4AF"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1986. Transcending equality theory: A way out of the maternity and the workplace debate. </w:t>
      </w:r>
      <w:r w:rsidRPr="009F38E3">
        <w:rPr>
          <w:rFonts w:ascii="Arial" w:eastAsia="Calibri" w:hAnsi="Arial" w:cs="Arial"/>
          <w:i/>
          <w:iCs/>
          <w:kern w:val="0"/>
          <w:sz w:val="24"/>
          <w:szCs w:val="24"/>
          <w14:ligatures w14:val="none"/>
        </w:rPr>
        <w:t>Colum. L. Rev.</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86</w:t>
      </w:r>
      <w:r w:rsidRPr="009F38E3">
        <w:rPr>
          <w:rFonts w:ascii="Arial" w:eastAsia="Calibri" w:hAnsi="Arial" w:cs="Arial"/>
          <w:kern w:val="0"/>
          <w:sz w:val="24"/>
          <w:szCs w:val="24"/>
          <w14:ligatures w14:val="none"/>
        </w:rPr>
        <w:t>: 1118.</w:t>
      </w:r>
    </w:p>
    <w:p w14:paraId="726E09A7"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FLAX J</w:t>
      </w:r>
    </w:p>
    <w:p w14:paraId="02754415"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2005. Beyond equality: gender, justice and difference. In </w:t>
      </w:r>
      <w:r w:rsidRPr="009F38E3">
        <w:rPr>
          <w:rFonts w:ascii="Arial" w:eastAsia="Calibri" w:hAnsi="Arial" w:cs="Arial"/>
          <w:i/>
          <w:iCs/>
          <w:kern w:val="0"/>
          <w:sz w:val="24"/>
          <w:szCs w:val="24"/>
          <w14:ligatures w14:val="none"/>
        </w:rPr>
        <w:t>Beyond equality and difference</w:t>
      </w:r>
      <w:r w:rsidRPr="009F38E3">
        <w:rPr>
          <w:rFonts w:ascii="Arial" w:eastAsia="Calibri" w:hAnsi="Arial" w:cs="Arial"/>
          <w:kern w:val="0"/>
          <w:sz w:val="24"/>
          <w:szCs w:val="24"/>
          <w14:ligatures w14:val="none"/>
        </w:rPr>
        <w:t>: 190-207.</w:t>
      </w:r>
    </w:p>
    <w:p w14:paraId="750367AF"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FRASER N</w:t>
      </w:r>
    </w:p>
    <w:p w14:paraId="1EAD93D8"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2014. </w:t>
      </w:r>
      <w:r w:rsidRPr="009F38E3">
        <w:rPr>
          <w:rFonts w:ascii="Arial" w:eastAsia="Calibri" w:hAnsi="Arial" w:cs="Arial"/>
          <w:i/>
          <w:iCs/>
          <w:kern w:val="0"/>
          <w:sz w:val="24"/>
          <w:szCs w:val="24"/>
          <w14:ligatures w14:val="none"/>
        </w:rPr>
        <w:t xml:space="preserve">Justice interruptus: Critical reflections on the" </w:t>
      </w:r>
      <w:proofErr w:type="spellStart"/>
      <w:r w:rsidRPr="009F38E3">
        <w:rPr>
          <w:rFonts w:ascii="Arial" w:eastAsia="Calibri" w:hAnsi="Arial" w:cs="Arial"/>
          <w:i/>
          <w:iCs/>
          <w:kern w:val="0"/>
          <w:sz w:val="24"/>
          <w:szCs w:val="24"/>
          <w14:ligatures w14:val="none"/>
        </w:rPr>
        <w:t>postsocialist</w:t>
      </w:r>
      <w:proofErr w:type="spellEnd"/>
      <w:r w:rsidRPr="009F38E3">
        <w:rPr>
          <w:rFonts w:ascii="Arial" w:eastAsia="Calibri" w:hAnsi="Arial" w:cs="Arial"/>
          <w:i/>
          <w:iCs/>
          <w:kern w:val="0"/>
          <w:sz w:val="24"/>
          <w:szCs w:val="24"/>
          <w14:ligatures w14:val="none"/>
        </w:rPr>
        <w:t>" condition</w:t>
      </w:r>
      <w:r w:rsidRPr="009F38E3">
        <w:rPr>
          <w:rFonts w:ascii="Arial" w:eastAsia="Calibri" w:hAnsi="Arial" w:cs="Arial"/>
          <w:kern w:val="0"/>
          <w:sz w:val="24"/>
          <w:szCs w:val="24"/>
          <w14:ligatures w14:val="none"/>
        </w:rPr>
        <w:t xml:space="preserve">. </w:t>
      </w:r>
    </w:p>
    <w:p w14:paraId="040D9545"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FREDMAN S</w:t>
      </w:r>
    </w:p>
    <w:p w14:paraId="18243CB4"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2001. Equality: a new </w:t>
      </w:r>
      <w:proofErr w:type="gramStart"/>
      <w:r w:rsidRPr="009F38E3">
        <w:rPr>
          <w:rFonts w:ascii="Arial" w:eastAsia="Calibri" w:hAnsi="Arial" w:cs="Arial"/>
          <w:kern w:val="0"/>
          <w:sz w:val="24"/>
          <w:szCs w:val="24"/>
          <w14:ligatures w14:val="none"/>
        </w:rPr>
        <w:t>generation?.</w:t>
      </w:r>
      <w:proofErr w:type="gramEnd"/>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Industrial Law Journal</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30</w:t>
      </w:r>
      <w:r w:rsidRPr="009F38E3">
        <w:rPr>
          <w:rFonts w:ascii="Arial" w:eastAsia="Calibri" w:hAnsi="Arial" w:cs="Arial"/>
          <w:kern w:val="0"/>
          <w:sz w:val="24"/>
          <w:szCs w:val="24"/>
          <w14:ligatures w14:val="none"/>
        </w:rPr>
        <w:t>(2): 145-168.</w:t>
      </w:r>
    </w:p>
    <w:p w14:paraId="039BB38C" w14:textId="12B87828" w:rsidR="004566FE"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2011. The public sector equality duty. </w:t>
      </w:r>
      <w:r w:rsidRPr="009F38E3">
        <w:rPr>
          <w:rFonts w:ascii="Arial" w:eastAsia="Calibri" w:hAnsi="Arial" w:cs="Arial"/>
          <w:i/>
          <w:iCs/>
          <w:kern w:val="0"/>
          <w:sz w:val="24"/>
          <w:szCs w:val="24"/>
          <w14:ligatures w14:val="none"/>
        </w:rPr>
        <w:t>Industrial Law Journal</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40</w:t>
      </w:r>
      <w:r w:rsidRPr="009F38E3">
        <w:rPr>
          <w:rFonts w:ascii="Arial" w:eastAsia="Calibri" w:hAnsi="Arial" w:cs="Arial"/>
          <w:kern w:val="0"/>
          <w:sz w:val="24"/>
          <w:szCs w:val="24"/>
          <w14:ligatures w14:val="none"/>
        </w:rPr>
        <w:t>(4): 405-427.</w:t>
      </w:r>
    </w:p>
    <w:p w14:paraId="7A8B3A3A"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FRIEDMAN S</w:t>
      </w:r>
    </w:p>
    <w:p w14:paraId="4A45AA52"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1987. Building tomorrow today: African workers in trade unions, 1970-1984.</w:t>
      </w:r>
    </w:p>
    <w:p w14:paraId="6B733599"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GARDNER J</w:t>
      </w:r>
    </w:p>
    <w:p w14:paraId="3DDC0C9E"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1989. Liberals and unlawful discrimination. </w:t>
      </w:r>
      <w:r w:rsidRPr="009F38E3">
        <w:rPr>
          <w:rFonts w:ascii="Arial" w:eastAsia="Calibri" w:hAnsi="Arial" w:cs="Arial"/>
          <w:i/>
          <w:iCs/>
          <w:kern w:val="0"/>
          <w:sz w:val="24"/>
          <w:szCs w:val="24"/>
          <w14:ligatures w14:val="none"/>
        </w:rPr>
        <w:t>Oxford J. Legal Stud.</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9</w:t>
      </w:r>
      <w:r w:rsidRPr="009F38E3">
        <w:rPr>
          <w:rFonts w:ascii="Arial" w:eastAsia="Calibri" w:hAnsi="Arial" w:cs="Arial"/>
          <w:kern w:val="0"/>
          <w:sz w:val="24"/>
          <w:szCs w:val="24"/>
          <w14:ligatures w14:val="none"/>
        </w:rPr>
        <w:t>, p.1.</w:t>
      </w:r>
    </w:p>
    <w:p w14:paraId="3DDCE1BD"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GRANT E</w:t>
      </w:r>
    </w:p>
    <w:p w14:paraId="48C278E7" w14:textId="637ECE2D"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2007. </w:t>
      </w:r>
      <w:r w:rsidRPr="009F38E3">
        <w:rPr>
          <w:rFonts w:ascii="Arial" w:eastAsia="Calibri" w:hAnsi="Arial" w:cs="Arial"/>
          <w:i/>
          <w:iCs/>
          <w:kern w:val="0"/>
          <w:sz w:val="24"/>
          <w:szCs w:val="24"/>
          <w14:ligatures w14:val="none"/>
        </w:rPr>
        <w:t>Dignity and Equality</w:t>
      </w:r>
      <w:r w:rsidRPr="009F38E3">
        <w:rPr>
          <w:rFonts w:ascii="Arial" w:eastAsia="Calibri" w:hAnsi="Arial" w:cs="Arial"/>
          <w:kern w:val="0"/>
          <w:sz w:val="24"/>
          <w:szCs w:val="24"/>
          <w14:ligatures w14:val="none"/>
        </w:rPr>
        <w:t>. Human Rights Law Review, Vol. 7, No.2: 300.</w:t>
      </w:r>
    </w:p>
    <w:p w14:paraId="487E5FCB" w14:textId="4C85EC2E"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HARRIES P</w:t>
      </w:r>
    </w:p>
    <w:p w14:paraId="332DC716"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1994. </w:t>
      </w:r>
      <w:r w:rsidRPr="009F38E3">
        <w:rPr>
          <w:rFonts w:ascii="Arial" w:eastAsia="Calibri" w:hAnsi="Arial" w:cs="Arial"/>
          <w:i/>
          <w:iCs/>
          <w:kern w:val="0"/>
          <w:sz w:val="24"/>
          <w:szCs w:val="24"/>
          <w14:ligatures w14:val="none"/>
        </w:rPr>
        <w:t xml:space="preserve">Work, culture, and identity: migrant </w:t>
      </w:r>
      <w:proofErr w:type="spellStart"/>
      <w:r w:rsidRPr="009F38E3">
        <w:rPr>
          <w:rFonts w:ascii="Arial" w:eastAsia="Calibri" w:hAnsi="Arial" w:cs="Arial"/>
          <w:i/>
          <w:iCs/>
          <w:kern w:val="0"/>
          <w:sz w:val="24"/>
          <w:szCs w:val="24"/>
          <w14:ligatures w14:val="none"/>
        </w:rPr>
        <w:t>laborers</w:t>
      </w:r>
      <w:proofErr w:type="spellEnd"/>
      <w:r w:rsidRPr="009F38E3">
        <w:rPr>
          <w:rFonts w:ascii="Arial" w:eastAsia="Calibri" w:hAnsi="Arial" w:cs="Arial"/>
          <w:i/>
          <w:iCs/>
          <w:kern w:val="0"/>
          <w:sz w:val="24"/>
          <w:szCs w:val="24"/>
          <w14:ligatures w14:val="none"/>
        </w:rPr>
        <w:t xml:space="preserve"> in Mozambique and South Africa, c. 1860-1910</w:t>
      </w:r>
      <w:r w:rsidRPr="009F38E3">
        <w:rPr>
          <w:rFonts w:ascii="Arial" w:eastAsia="Calibri" w:hAnsi="Arial" w:cs="Arial"/>
          <w:kern w:val="0"/>
          <w:sz w:val="24"/>
          <w:szCs w:val="24"/>
          <w14:ligatures w14:val="none"/>
        </w:rPr>
        <w:t>. Pearson Education Ltd.</w:t>
      </w:r>
    </w:p>
    <w:p w14:paraId="2A7B2EED" w14:textId="35CB063C"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HEPPLE BA &amp; SZYSZCZAK EM </w:t>
      </w:r>
    </w:p>
    <w:p w14:paraId="52C4058D"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1992. Discrimination: The limits of law.</w:t>
      </w:r>
    </w:p>
    <w:p w14:paraId="5275085A" w14:textId="1438D638"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HERBERT</w:t>
      </w:r>
      <w:r w:rsidR="007553DE">
        <w:rPr>
          <w:rFonts w:ascii="Arial" w:eastAsia="Calibri" w:hAnsi="Arial" w:cs="Arial"/>
          <w:kern w:val="0"/>
          <w:sz w:val="24"/>
          <w:szCs w:val="24"/>
          <w14:ligatures w14:val="none"/>
        </w:rPr>
        <w:t xml:space="preserve"> </w:t>
      </w:r>
      <w:r w:rsidRPr="00BB7375">
        <w:rPr>
          <w:rFonts w:ascii="Arial" w:eastAsia="Calibri" w:hAnsi="Arial" w:cs="Arial"/>
          <w:kern w:val="0"/>
          <w:sz w:val="24"/>
          <w:szCs w:val="24"/>
          <w14:ligatures w14:val="none"/>
        </w:rPr>
        <w:t>T</w:t>
      </w:r>
    </w:p>
    <w:p w14:paraId="07C84E94" w14:textId="70AF229C" w:rsidR="00DA70E2"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1994. </w:t>
      </w:r>
      <w:r w:rsidRPr="00BB7375">
        <w:rPr>
          <w:rFonts w:ascii="Arial" w:eastAsia="Calibri" w:hAnsi="Arial" w:cs="Arial"/>
          <w:i/>
          <w:iCs/>
          <w:kern w:val="0"/>
          <w:sz w:val="24"/>
          <w:szCs w:val="24"/>
          <w14:ligatures w14:val="none"/>
        </w:rPr>
        <w:t xml:space="preserve">Affirmative action in the South African </w:t>
      </w:r>
      <w:proofErr w:type="gramStart"/>
      <w:r w:rsidRPr="00BB7375">
        <w:rPr>
          <w:rFonts w:ascii="Arial" w:eastAsia="Calibri" w:hAnsi="Arial" w:cs="Arial"/>
          <w:i/>
          <w:iCs/>
          <w:kern w:val="0"/>
          <w:sz w:val="24"/>
          <w:szCs w:val="24"/>
          <w14:ligatures w14:val="none"/>
        </w:rPr>
        <w:t>work place</w:t>
      </w:r>
      <w:proofErr w:type="gramEnd"/>
      <w:r w:rsidRPr="00BB7375">
        <w:rPr>
          <w:rFonts w:ascii="Arial" w:eastAsia="Calibri" w:hAnsi="Arial" w:cs="Arial"/>
          <w:i/>
          <w:iCs/>
          <w:kern w:val="0"/>
          <w:sz w:val="24"/>
          <w:szCs w:val="24"/>
          <w14:ligatures w14:val="none"/>
        </w:rPr>
        <w:t>: Allowing black eagles to soar</w:t>
      </w:r>
      <w:r w:rsidRPr="00BB7375">
        <w:rPr>
          <w:rFonts w:ascii="Arial" w:eastAsia="Calibri" w:hAnsi="Arial" w:cs="Arial"/>
          <w:kern w:val="0"/>
          <w:sz w:val="24"/>
          <w:szCs w:val="24"/>
          <w14:ligatures w14:val="none"/>
        </w:rPr>
        <w:t>. T. Herbert.</w:t>
      </w:r>
    </w:p>
    <w:p w14:paraId="7E3B76BF" w14:textId="2A15220E"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HIRSON B </w:t>
      </w:r>
    </w:p>
    <w:p w14:paraId="4A4782D5"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1979). </w:t>
      </w:r>
      <w:r w:rsidRPr="009F38E3">
        <w:rPr>
          <w:rFonts w:ascii="Arial" w:eastAsia="Calibri" w:hAnsi="Arial" w:cs="Arial"/>
          <w:i/>
          <w:iCs/>
          <w:kern w:val="0"/>
          <w:sz w:val="24"/>
          <w:szCs w:val="24"/>
          <w14:ligatures w14:val="none"/>
        </w:rPr>
        <w:t>White Supremacy in the South African Labour Market.</w:t>
      </w:r>
      <w:r w:rsidRPr="009F38E3">
        <w:rPr>
          <w:rFonts w:ascii="Arial" w:eastAsia="Calibri" w:hAnsi="Arial" w:cs="Arial"/>
          <w:kern w:val="0"/>
          <w:sz w:val="24"/>
          <w:szCs w:val="24"/>
          <w14:ligatures w14:val="none"/>
        </w:rPr>
        <w:t xml:space="preserve"> South African Journal of Economics, 47(2).</w:t>
      </w:r>
    </w:p>
    <w:p w14:paraId="3473128D"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HORRELL M</w:t>
      </w:r>
    </w:p>
    <w:p w14:paraId="7E9CD477" w14:textId="448E1AA6" w:rsidR="007553DE" w:rsidRDefault="007553DE" w:rsidP="007553DE">
      <w:pPr>
        <w:suppressAutoHyphens/>
        <w:autoSpaceDN w:val="0"/>
        <w:spacing w:line="360" w:lineRule="auto"/>
        <w:ind w:left="454"/>
        <w:rPr>
          <w:rFonts w:ascii="Arial" w:eastAsia="Calibri" w:hAnsi="Arial" w:cs="Arial"/>
          <w:kern w:val="0"/>
          <w:sz w:val="24"/>
          <w:szCs w:val="24"/>
          <w14:ligatures w14:val="none"/>
        </w:rPr>
      </w:pPr>
      <w:r w:rsidRPr="007553DE">
        <w:rPr>
          <w:rFonts w:ascii="Arial" w:eastAsia="Calibri" w:hAnsi="Arial" w:cs="Arial"/>
          <w:kern w:val="0"/>
          <w:sz w:val="24"/>
          <w:szCs w:val="24"/>
          <w14:ligatures w14:val="none"/>
        </w:rPr>
        <w:lastRenderedPageBreak/>
        <w:t>1970. </w:t>
      </w:r>
      <w:r w:rsidRPr="007553DE">
        <w:rPr>
          <w:rFonts w:ascii="Arial" w:eastAsia="Calibri" w:hAnsi="Arial" w:cs="Arial"/>
          <w:i/>
          <w:iCs/>
          <w:kern w:val="0"/>
          <w:sz w:val="24"/>
          <w:szCs w:val="24"/>
          <w14:ligatures w14:val="none"/>
        </w:rPr>
        <w:t>A survey of race relations</w:t>
      </w:r>
      <w:r w:rsidRPr="007553DE">
        <w:rPr>
          <w:rFonts w:ascii="Arial" w:eastAsia="Calibri" w:hAnsi="Arial" w:cs="Arial"/>
          <w:kern w:val="0"/>
          <w:sz w:val="24"/>
          <w:szCs w:val="24"/>
          <w14:ligatures w14:val="none"/>
        </w:rPr>
        <w:t>. Johannesburg: South African Institute of Race Relations.</w:t>
      </w:r>
    </w:p>
    <w:p w14:paraId="3D9B77A6" w14:textId="01D25F40"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1978. Laws affecting race relations in South Africa (to the end of 1976).</w:t>
      </w:r>
    </w:p>
    <w:p w14:paraId="009D8E04" w14:textId="56D4650E"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JOSEPH JL </w:t>
      </w:r>
    </w:p>
    <w:p w14:paraId="375DF0B7"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2016. </w:t>
      </w:r>
      <w:r w:rsidRPr="009F38E3">
        <w:rPr>
          <w:rFonts w:ascii="Arial" w:eastAsia="Calibri" w:hAnsi="Arial" w:cs="Arial"/>
          <w:i/>
          <w:iCs/>
          <w:kern w:val="0"/>
          <w:sz w:val="24"/>
          <w:szCs w:val="24"/>
          <w14:ligatures w14:val="none"/>
        </w:rPr>
        <w:t>The effectiveness of South African labour legislation in dealing with mass industrial action before and after the promulgation of The Constitution Act 108 of 1996</w:t>
      </w:r>
      <w:r w:rsidRPr="009F38E3">
        <w:rPr>
          <w:rFonts w:ascii="Arial" w:eastAsia="Calibri" w:hAnsi="Arial" w:cs="Arial"/>
          <w:kern w:val="0"/>
          <w:sz w:val="24"/>
          <w:szCs w:val="24"/>
          <w14:ligatures w14:val="none"/>
        </w:rPr>
        <w:t> (Doctoral dissertation).</w:t>
      </w:r>
    </w:p>
    <w:p w14:paraId="460BF50E" w14:textId="7C0494FB"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INNES</w:t>
      </w:r>
      <w:r w:rsidR="007553DE">
        <w:rPr>
          <w:rFonts w:ascii="Arial" w:eastAsia="Calibri" w:hAnsi="Arial" w:cs="Arial"/>
          <w:kern w:val="0"/>
          <w:sz w:val="24"/>
          <w:szCs w:val="24"/>
          <w14:ligatures w14:val="none"/>
        </w:rPr>
        <w:t xml:space="preserve"> </w:t>
      </w:r>
      <w:r w:rsidRPr="00BB7375">
        <w:rPr>
          <w:rFonts w:ascii="Arial" w:eastAsia="Calibri" w:hAnsi="Arial" w:cs="Arial"/>
          <w:kern w:val="0"/>
          <w:sz w:val="24"/>
          <w:szCs w:val="24"/>
          <w14:ligatures w14:val="none"/>
        </w:rPr>
        <w:t>D</w:t>
      </w:r>
    </w:p>
    <w:p w14:paraId="7D7560D5" w14:textId="4C53E145" w:rsidR="00BB7375"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1993. Affirmative action: Issues and strategies. </w:t>
      </w:r>
      <w:r w:rsidRPr="00BB7375">
        <w:rPr>
          <w:rFonts w:ascii="Arial" w:eastAsia="Calibri" w:hAnsi="Arial" w:cs="Arial"/>
          <w:i/>
          <w:iCs/>
          <w:kern w:val="0"/>
          <w:sz w:val="24"/>
          <w:szCs w:val="24"/>
          <w14:ligatures w14:val="none"/>
        </w:rPr>
        <w:t>Reversing discrimination: Affirmative action in the workplace</w:t>
      </w:r>
      <w:r w:rsidRPr="009F38E3">
        <w:rPr>
          <w:rFonts w:ascii="Arial" w:eastAsia="Calibri" w:hAnsi="Arial" w:cs="Arial"/>
          <w:kern w:val="0"/>
          <w:sz w:val="24"/>
          <w:szCs w:val="24"/>
          <w14:ligatures w14:val="none"/>
        </w:rPr>
        <w:t>:</w:t>
      </w:r>
      <w:r w:rsidRPr="00BB7375">
        <w:rPr>
          <w:rFonts w:ascii="Arial" w:eastAsia="Calibri" w:hAnsi="Arial" w:cs="Arial"/>
          <w:kern w:val="0"/>
          <w:sz w:val="24"/>
          <w:szCs w:val="24"/>
          <w14:ligatures w14:val="none"/>
        </w:rPr>
        <w:t>4-21.</w:t>
      </w:r>
    </w:p>
    <w:p w14:paraId="29E87E57" w14:textId="09CFA18D"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JEFFREY RS</w:t>
      </w:r>
    </w:p>
    <w:p w14:paraId="57439716"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1993. Social and Economic Rights in the South African Constitution: Legal Consequences and Practical Considerations. </w:t>
      </w:r>
      <w:r w:rsidRPr="009F38E3">
        <w:rPr>
          <w:rFonts w:ascii="Arial" w:eastAsia="Calibri" w:hAnsi="Arial" w:cs="Arial"/>
          <w:i/>
          <w:iCs/>
          <w:kern w:val="0"/>
          <w:sz w:val="24"/>
          <w:szCs w:val="24"/>
          <w14:ligatures w14:val="none"/>
        </w:rPr>
        <w:t>Colum. JL &amp; Soc. Probs.</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27</w:t>
      </w:r>
      <w:r w:rsidRPr="009F38E3">
        <w:rPr>
          <w:rFonts w:ascii="Arial" w:eastAsia="Calibri" w:hAnsi="Arial" w:cs="Arial"/>
          <w:kern w:val="0"/>
          <w:sz w:val="24"/>
          <w:szCs w:val="24"/>
          <w14:ligatures w14:val="none"/>
        </w:rPr>
        <w:t>:1-8.</w:t>
      </w:r>
    </w:p>
    <w:p w14:paraId="57080BC5"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KEEGAN T J</w:t>
      </w:r>
    </w:p>
    <w:p w14:paraId="6AB86A2B"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1988. </w:t>
      </w:r>
      <w:r w:rsidRPr="009F38E3">
        <w:rPr>
          <w:rFonts w:ascii="Arial" w:eastAsia="Calibri" w:hAnsi="Arial" w:cs="Arial"/>
          <w:i/>
          <w:iCs/>
          <w:kern w:val="0"/>
          <w:sz w:val="24"/>
          <w:szCs w:val="24"/>
          <w14:ligatures w14:val="none"/>
        </w:rPr>
        <w:t>Facing the storm: Portraits of black lives in rural South Africa</w:t>
      </w:r>
      <w:r w:rsidRPr="009F38E3">
        <w:rPr>
          <w:rFonts w:ascii="Arial" w:eastAsia="Calibri" w:hAnsi="Arial" w:cs="Arial"/>
          <w:kern w:val="0"/>
          <w:sz w:val="24"/>
          <w:szCs w:val="24"/>
          <w14:ligatures w14:val="none"/>
        </w:rPr>
        <w:t>. New Africa Books.</w:t>
      </w:r>
    </w:p>
    <w:p w14:paraId="3FCDD926"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KENNEDY D </w:t>
      </w:r>
    </w:p>
    <w:p w14:paraId="5710655D"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1990. A cultural pluralist case for affirmative action in legal academia. </w:t>
      </w:r>
      <w:r w:rsidRPr="009F38E3">
        <w:rPr>
          <w:rFonts w:ascii="Arial" w:eastAsia="Calibri" w:hAnsi="Arial" w:cs="Arial"/>
          <w:i/>
          <w:iCs/>
          <w:kern w:val="0"/>
          <w:sz w:val="24"/>
          <w:szCs w:val="24"/>
          <w14:ligatures w14:val="none"/>
        </w:rPr>
        <w:t>Duke LJ</w:t>
      </w:r>
      <w:r w:rsidRPr="009F38E3">
        <w:rPr>
          <w:rFonts w:ascii="Arial" w:eastAsia="Calibri" w:hAnsi="Arial" w:cs="Arial"/>
          <w:kern w:val="0"/>
          <w:sz w:val="24"/>
          <w:szCs w:val="24"/>
          <w14:ligatures w14:val="none"/>
        </w:rPr>
        <w:t>:705.</w:t>
      </w:r>
    </w:p>
    <w:p w14:paraId="6F61F406"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KC S F </w:t>
      </w:r>
      <w:proofErr w:type="spellStart"/>
      <w:r w:rsidRPr="009F38E3">
        <w:rPr>
          <w:rFonts w:ascii="Arial" w:eastAsia="Calibri" w:hAnsi="Arial" w:cs="Arial"/>
          <w:kern w:val="0"/>
          <w:sz w:val="24"/>
          <w:szCs w:val="24"/>
          <w14:ligatures w14:val="none"/>
        </w:rPr>
        <w:t>F</w:t>
      </w:r>
      <w:proofErr w:type="spellEnd"/>
    </w:p>
    <w:p w14:paraId="3636CCF7" w14:textId="0ABC31A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2022. </w:t>
      </w:r>
      <w:r w:rsidRPr="009F38E3">
        <w:rPr>
          <w:rFonts w:ascii="Arial" w:eastAsia="Calibri" w:hAnsi="Arial" w:cs="Arial"/>
          <w:i/>
          <w:iCs/>
          <w:kern w:val="0"/>
          <w:sz w:val="24"/>
          <w:szCs w:val="24"/>
          <w14:ligatures w14:val="none"/>
        </w:rPr>
        <w:t>Discrimination law</w:t>
      </w:r>
      <w:r w:rsidRPr="009F38E3">
        <w:rPr>
          <w:rFonts w:ascii="Arial" w:eastAsia="Calibri" w:hAnsi="Arial" w:cs="Arial"/>
          <w:kern w:val="0"/>
          <w:sz w:val="24"/>
          <w:szCs w:val="24"/>
          <w14:ligatures w14:val="none"/>
        </w:rPr>
        <w:t>. Oxford University Press.</w:t>
      </w:r>
    </w:p>
    <w:p w14:paraId="2343FD1B" w14:textId="77777777"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 xml:space="preserve">KHOZA, H., </w:t>
      </w:r>
    </w:p>
    <w:p w14:paraId="1C366028" w14:textId="47613B4F" w:rsidR="00BB7375"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1993. Affirmative action: a personal view. </w:t>
      </w:r>
      <w:r w:rsidRPr="00BB7375">
        <w:rPr>
          <w:rFonts w:ascii="Arial" w:eastAsia="Calibri" w:hAnsi="Arial" w:cs="Arial"/>
          <w:i/>
          <w:iCs/>
          <w:kern w:val="0"/>
          <w:sz w:val="24"/>
          <w:szCs w:val="24"/>
          <w14:ligatures w14:val="none"/>
        </w:rPr>
        <w:t>Innes, D., Kentridge, M. &amp; Perold, H.(eds.)</w:t>
      </w:r>
      <w:r w:rsidRPr="00BB7375">
        <w:rPr>
          <w:rFonts w:ascii="Arial" w:eastAsia="Calibri" w:hAnsi="Arial" w:cs="Arial"/>
          <w:kern w:val="0"/>
          <w:sz w:val="24"/>
          <w:szCs w:val="24"/>
          <w14:ligatures w14:val="none"/>
        </w:rPr>
        <w:t>.</w:t>
      </w:r>
    </w:p>
    <w:p w14:paraId="05C27265" w14:textId="70BA4D5D"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LEWIS J </w:t>
      </w:r>
    </w:p>
    <w:p w14:paraId="0FAB4677"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1984. </w:t>
      </w:r>
      <w:r w:rsidRPr="009F38E3">
        <w:rPr>
          <w:rFonts w:ascii="Arial" w:eastAsia="Calibri" w:hAnsi="Arial" w:cs="Arial"/>
          <w:i/>
          <w:iCs/>
          <w:kern w:val="0"/>
          <w:sz w:val="24"/>
          <w:szCs w:val="24"/>
          <w14:ligatures w14:val="none"/>
        </w:rPr>
        <w:t>Industrialisation and Trade Union Organization in South Africa, 1924-1955: the Rise and Fall of the South African Trades and Labour Council</w:t>
      </w:r>
      <w:r w:rsidRPr="009F38E3">
        <w:rPr>
          <w:rFonts w:ascii="Arial" w:eastAsia="Calibri" w:hAnsi="Arial" w:cs="Arial"/>
          <w:kern w:val="0"/>
          <w:sz w:val="24"/>
          <w:szCs w:val="24"/>
          <w14:ligatures w14:val="none"/>
        </w:rPr>
        <w:t>. Cambridge University Press.</w:t>
      </w:r>
    </w:p>
    <w:p w14:paraId="38BAF86E" w14:textId="7CF7BED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LEWIS DH, NGOASHENG MM, BASKIN JM, BUHLUNGU SM &amp; BIRD AP</w:t>
      </w:r>
    </w:p>
    <w:p w14:paraId="77D96C73"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1996. </w:t>
      </w:r>
      <w:r w:rsidRPr="009F38E3">
        <w:rPr>
          <w:rFonts w:ascii="Arial" w:eastAsia="Calibri" w:hAnsi="Arial" w:cs="Arial"/>
          <w:i/>
          <w:iCs/>
          <w:kern w:val="0"/>
          <w:sz w:val="24"/>
          <w:szCs w:val="24"/>
          <w14:ligatures w14:val="none"/>
        </w:rPr>
        <w:t>Restructuring the South African labour market: report of the Presidential Commission to Investigate Labour Market Policy</w:t>
      </w:r>
      <w:r w:rsidRPr="009F38E3">
        <w:rPr>
          <w:rFonts w:ascii="Arial" w:eastAsia="Calibri" w:hAnsi="Arial" w:cs="Arial"/>
          <w:kern w:val="0"/>
          <w:sz w:val="24"/>
          <w:szCs w:val="24"/>
          <w14:ligatures w14:val="none"/>
        </w:rPr>
        <w:t>. CTP Book Printers, Cape Town, ZA.</w:t>
      </w:r>
    </w:p>
    <w:p w14:paraId="09E9E9BF"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LIEBENBERG S </w:t>
      </w:r>
    </w:p>
    <w:p w14:paraId="6DB9092C" w14:textId="5AD471DE"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1995. The international covenant on economic, social and cultural rights and its implications for South Africa. </w:t>
      </w:r>
      <w:r w:rsidRPr="009F38E3">
        <w:rPr>
          <w:rFonts w:ascii="Arial" w:eastAsia="Calibri" w:hAnsi="Arial" w:cs="Arial"/>
          <w:i/>
          <w:iCs/>
          <w:kern w:val="0"/>
          <w:sz w:val="24"/>
          <w:szCs w:val="24"/>
          <w14:ligatures w14:val="none"/>
        </w:rPr>
        <w:t>South African Journal on Human Rights</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11</w:t>
      </w:r>
      <w:r w:rsidRPr="009F38E3">
        <w:rPr>
          <w:rFonts w:ascii="Arial" w:eastAsia="Calibri" w:hAnsi="Arial" w:cs="Arial"/>
          <w:kern w:val="0"/>
          <w:sz w:val="24"/>
          <w:szCs w:val="24"/>
          <w14:ligatures w14:val="none"/>
        </w:rPr>
        <w:t>(3):359-378.</w:t>
      </w:r>
    </w:p>
    <w:p w14:paraId="4EEBFB92" w14:textId="0C294CE3" w:rsidR="001D48E4" w:rsidRPr="009F38E3" w:rsidRDefault="001D48E4" w:rsidP="00DD7122">
      <w:pPr>
        <w:suppressAutoHyphens/>
        <w:autoSpaceDN w:val="0"/>
        <w:spacing w:line="360" w:lineRule="auto"/>
        <w:ind w:left="454"/>
        <w:rPr>
          <w:rFonts w:ascii="Arial" w:eastAsia="Calibri" w:hAnsi="Arial" w:cs="Arial"/>
          <w:i/>
          <w:iCs/>
          <w:kern w:val="0"/>
          <w:sz w:val="24"/>
          <w:szCs w:val="24"/>
          <w14:ligatures w14:val="none"/>
        </w:rPr>
      </w:pPr>
      <w:r w:rsidRPr="009F38E3">
        <w:rPr>
          <w:rFonts w:ascii="Arial" w:eastAsia="Calibri" w:hAnsi="Arial" w:cs="Arial"/>
          <w:kern w:val="0"/>
          <w:sz w:val="24"/>
          <w:szCs w:val="24"/>
          <w14:ligatures w14:val="none"/>
        </w:rPr>
        <w:t>2006. The interpretation of socio-economic rights. </w:t>
      </w:r>
      <w:r w:rsidRPr="009F38E3">
        <w:rPr>
          <w:rFonts w:ascii="Arial" w:eastAsia="Calibri" w:hAnsi="Arial" w:cs="Arial"/>
          <w:i/>
          <w:iCs/>
          <w:kern w:val="0"/>
          <w:sz w:val="24"/>
          <w:szCs w:val="24"/>
          <w14:ligatures w14:val="none"/>
        </w:rPr>
        <w:t>Constitutional Law of South Africa</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2.</w:t>
      </w:r>
    </w:p>
    <w:p w14:paraId="4A66AFC9" w14:textId="77777777" w:rsidR="00DF6BC2" w:rsidRPr="009F38E3" w:rsidRDefault="00DF6BC2" w:rsidP="00DF6BC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LIEBENBERG S</w:t>
      </w:r>
    </w:p>
    <w:p w14:paraId="5C59C298" w14:textId="1F8202B7" w:rsidR="001D48E4" w:rsidRPr="009F38E3" w:rsidRDefault="00DF6BC2"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2010. </w:t>
      </w:r>
      <w:r w:rsidRPr="009F38E3">
        <w:rPr>
          <w:rFonts w:ascii="Arial" w:eastAsia="Calibri" w:hAnsi="Arial" w:cs="Arial"/>
          <w:i/>
          <w:iCs/>
          <w:kern w:val="0"/>
          <w:sz w:val="24"/>
          <w:szCs w:val="24"/>
          <w14:ligatures w14:val="none"/>
        </w:rPr>
        <w:t>Socio-economic rights: Adjudication under a transformative constitution</w:t>
      </w:r>
      <w:r w:rsidRPr="009F38E3">
        <w:rPr>
          <w:rFonts w:ascii="Arial" w:eastAsia="Calibri" w:hAnsi="Arial" w:cs="Arial"/>
          <w:kern w:val="0"/>
          <w:sz w:val="24"/>
          <w:szCs w:val="24"/>
          <w14:ligatures w14:val="none"/>
        </w:rPr>
        <w:t>. Juta and Company Ltd.</w:t>
      </w:r>
    </w:p>
    <w:p w14:paraId="0743BBDC" w14:textId="252D77CD"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LIPPERT-RASMUSSEN K </w:t>
      </w:r>
    </w:p>
    <w:p w14:paraId="4C8AA1A8" w14:textId="77777777" w:rsidR="004566FE" w:rsidRPr="009F38E3" w:rsidRDefault="004566FE" w:rsidP="004566FE">
      <w:pPr>
        <w:suppressAutoHyphens/>
        <w:autoSpaceDN w:val="0"/>
        <w:spacing w:line="360" w:lineRule="auto"/>
        <w:ind w:left="720"/>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2020. </w:t>
      </w:r>
      <w:r w:rsidRPr="009F38E3">
        <w:rPr>
          <w:rFonts w:ascii="Arial" w:eastAsia="Calibri" w:hAnsi="Arial" w:cs="Arial"/>
          <w:i/>
          <w:iCs/>
          <w:kern w:val="0"/>
          <w:sz w:val="24"/>
          <w:szCs w:val="24"/>
          <w14:ligatures w14:val="none"/>
        </w:rPr>
        <w:t>Making sense of affirmative action</w:t>
      </w:r>
      <w:r w:rsidRPr="009F38E3">
        <w:rPr>
          <w:rFonts w:ascii="Arial" w:eastAsia="Calibri" w:hAnsi="Arial" w:cs="Arial"/>
          <w:kern w:val="0"/>
          <w:sz w:val="24"/>
          <w:szCs w:val="24"/>
          <w14:ligatures w14:val="none"/>
        </w:rPr>
        <w:t>. Oxford University Press.</w:t>
      </w:r>
    </w:p>
    <w:p w14:paraId="1502C063"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LIPTON M</w:t>
      </w:r>
    </w:p>
    <w:p w14:paraId="259B4BFD" w14:textId="77777777" w:rsidR="001D48E4" w:rsidRPr="009F38E3" w:rsidRDefault="001D48E4" w:rsidP="001D48E4">
      <w:pPr>
        <w:suppressAutoHyphens/>
        <w:autoSpaceDN w:val="0"/>
        <w:spacing w:line="360" w:lineRule="auto"/>
        <w:ind w:left="720"/>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1989. </w:t>
      </w:r>
      <w:r w:rsidRPr="009F38E3">
        <w:rPr>
          <w:rFonts w:ascii="Arial" w:eastAsia="Calibri" w:hAnsi="Arial" w:cs="Arial"/>
          <w:i/>
          <w:iCs/>
          <w:kern w:val="0"/>
          <w:sz w:val="24"/>
          <w:szCs w:val="24"/>
          <w14:ligatures w14:val="none"/>
        </w:rPr>
        <w:t>Capitalism and apartheid: South Africa, 1910-1986</w:t>
      </w:r>
      <w:r w:rsidRPr="009F38E3">
        <w:rPr>
          <w:rFonts w:ascii="Arial" w:eastAsia="Calibri" w:hAnsi="Arial" w:cs="Arial"/>
          <w:kern w:val="0"/>
          <w:sz w:val="24"/>
          <w:szCs w:val="24"/>
          <w14:ligatures w14:val="none"/>
        </w:rPr>
        <w:t>. New Africa Books.</w:t>
      </w:r>
    </w:p>
    <w:p w14:paraId="49DA1B65"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MACKINNON C A </w:t>
      </w:r>
    </w:p>
    <w:p w14:paraId="724B326B" w14:textId="2AB5E795"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2011. Substantive equality: A perspective. </w:t>
      </w:r>
      <w:r w:rsidRPr="009F38E3">
        <w:rPr>
          <w:rFonts w:ascii="Arial" w:eastAsia="Calibri" w:hAnsi="Arial" w:cs="Arial"/>
          <w:i/>
          <w:iCs/>
          <w:kern w:val="0"/>
          <w:sz w:val="24"/>
          <w:szCs w:val="24"/>
          <w14:ligatures w14:val="none"/>
        </w:rPr>
        <w:t>Minn. L. Rev.</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96</w:t>
      </w:r>
      <w:r w:rsidRPr="009F38E3">
        <w:rPr>
          <w:rFonts w:ascii="Arial" w:eastAsia="Calibri" w:hAnsi="Arial" w:cs="Arial"/>
          <w:kern w:val="0"/>
          <w:sz w:val="24"/>
          <w:szCs w:val="24"/>
          <w14:ligatures w14:val="none"/>
        </w:rPr>
        <w:t>: 1.</w:t>
      </w:r>
    </w:p>
    <w:p w14:paraId="12C8E788" w14:textId="0C2E965D"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MAREE J &amp; BUDLENDER D</w:t>
      </w:r>
    </w:p>
    <w:p w14:paraId="4066FA30" w14:textId="277751FF" w:rsidR="001D48E4" w:rsidRPr="009F38E3" w:rsidRDefault="001D48E4" w:rsidP="00DD7122">
      <w:pPr>
        <w:suppressAutoHyphens/>
        <w:autoSpaceDN w:val="0"/>
        <w:spacing w:line="360" w:lineRule="auto"/>
        <w:ind w:left="454"/>
        <w:rPr>
          <w:rFonts w:ascii="Arial" w:eastAsia="Calibri" w:hAnsi="Arial" w:cs="Arial"/>
          <w:i/>
          <w:iCs/>
          <w:kern w:val="0"/>
          <w:sz w:val="24"/>
          <w:szCs w:val="24"/>
          <w14:ligatures w14:val="none"/>
        </w:rPr>
      </w:pPr>
      <w:r w:rsidRPr="009F38E3">
        <w:rPr>
          <w:rFonts w:ascii="Arial" w:eastAsia="Calibri" w:hAnsi="Arial" w:cs="Arial"/>
          <w:kern w:val="0"/>
          <w:sz w:val="24"/>
          <w:szCs w:val="24"/>
          <w14:ligatures w14:val="none"/>
        </w:rPr>
        <w:t>1974. Overview: State Policy and Labour Legislation. </w:t>
      </w:r>
      <w:r w:rsidRPr="009F38E3">
        <w:rPr>
          <w:rFonts w:ascii="Arial" w:eastAsia="Calibri" w:hAnsi="Arial" w:cs="Arial"/>
          <w:i/>
          <w:iCs/>
          <w:kern w:val="0"/>
          <w:sz w:val="24"/>
          <w:szCs w:val="24"/>
          <w14:ligatures w14:val="none"/>
        </w:rPr>
        <w:t>The Independent Trade Unions</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1984.</w:t>
      </w:r>
    </w:p>
    <w:p w14:paraId="531CCC93"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MCCRUDDEN C</w:t>
      </w:r>
    </w:p>
    <w:p w14:paraId="12E10796"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2003. Theorising European Equality Law. </w:t>
      </w:r>
      <w:r w:rsidRPr="009F38E3">
        <w:rPr>
          <w:rFonts w:ascii="Arial" w:eastAsia="Calibri" w:hAnsi="Arial" w:cs="Arial"/>
          <w:i/>
          <w:iCs/>
          <w:kern w:val="0"/>
          <w:sz w:val="24"/>
          <w:szCs w:val="24"/>
          <w14:ligatures w14:val="none"/>
        </w:rPr>
        <w:t>Equality in Diversity: The New Equality Directives</w:t>
      </w:r>
      <w:r w:rsidRPr="009F38E3">
        <w:rPr>
          <w:rFonts w:ascii="Arial" w:eastAsia="Calibri" w:hAnsi="Arial" w:cs="Arial"/>
          <w:kern w:val="0"/>
          <w:sz w:val="24"/>
          <w:szCs w:val="24"/>
          <w14:ligatures w14:val="none"/>
        </w:rPr>
        <w:t>: 1-38.</w:t>
      </w:r>
    </w:p>
    <w:p w14:paraId="0ACC02CC" w14:textId="404C43F7"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2004. Equality and non-discrimination: 581-668.</w:t>
      </w:r>
    </w:p>
    <w:p w14:paraId="4998DC9A" w14:textId="372E6B02"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MCDONALD JD</w:t>
      </w:r>
    </w:p>
    <w:p w14:paraId="7D688432" w14:textId="48D83D56" w:rsidR="004566FE" w:rsidRPr="009F38E3" w:rsidRDefault="001D48E4"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1994. Changing The Colour of South Africa’s Management. </w:t>
      </w:r>
      <w:r w:rsidRPr="009F38E3">
        <w:rPr>
          <w:rFonts w:ascii="Arial" w:eastAsia="Calibri" w:hAnsi="Arial" w:cs="Arial"/>
          <w:i/>
          <w:iCs/>
          <w:kern w:val="0"/>
          <w:sz w:val="24"/>
          <w:szCs w:val="24"/>
          <w14:ligatures w14:val="none"/>
        </w:rPr>
        <w:t>South African Journal of Labour Relations</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18</w:t>
      </w:r>
      <w:r w:rsidRPr="009F38E3">
        <w:rPr>
          <w:rFonts w:ascii="Arial" w:eastAsia="Calibri" w:hAnsi="Arial" w:cs="Arial"/>
          <w:kern w:val="0"/>
          <w:sz w:val="24"/>
          <w:szCs w:val="24"/>
          <w14:ligatures w14:val="none"/>
        </w:rPr>
        <w:t>(2):41-65.</w:t>
      </w:r>
    </w:p>
    <w:p w14:paraId="2DA46721" w14:textId="77777777" w:rsidR="004566FE" w:rsidRPr="009F38E3" w:rsidRDefault="004566FE" w:rsidP="004566FE">
      <w:pPr>
        <w:suppressAutoHyphens/>
        <w:autoSpaceDN w:val="0"/>
        <w:spacing w:line="360" w:lineRule="auto"/>
        <w:rPr>
          <w:rFonts w:ascii="Arial" w:eastAsia="Calibri" w:hAnsi="Arial" w:cs="Arial"/>
          <w:i/>
          <w:iCs/>
          <w:kern w:val="0"/>
          <w:sz w:val="24"/>
          <w:szCs w:val="24"/>
          <w14:ligatures w14:val="none"/>
        </w:rPr>
      </w:pPr>
      <w:r w:rsidRPr="009F38E3">
        <w:rPr>
          <w:rFonts w:ascii="Arial" w:eastAsia="Calibri" w:hAnsi="Arial" w:cs="Arial"/>
          <w:kern w:val="0"/>
          <w:sz w:val="24"/>
          <w:szCs w:val="24"/>
          <w14:ligatures w14:val="none"/>
        </w:rPr>
        <w:t>MCGREGOR M</w:t>
      </w:r>
    </w:p>
    <w:p w14:paraId="1715254C" w14:textId="77777777" w:rsidR="004566FE" w:rsidRPr="009F38E3" w:rsidRDefault="004566FE" w:rsidP="007553DE">
      <w:pPr>
        <w:suppressAutoHyphens/>
        <w:autoSpaceDN w:val="0"/>
        <w:spacing w:line="360" w:lineRule="auto"/>
        <w:ind w:left="454"/>
        <w:rPr>
          <w:rFonts w:ascii="Arial" w:eastAsia="Calibri" w:hAnsi="Arial" w:cs="Arial"/>
          <w:i/>
          <w:iCs/>
          <w:kern w:val="0"/>
          <w:sz w:val="24"/>
          <w:szCs w:val="24"/>
          <w14:ligatures w14:val="none"/>
        </w:rPr>
      </w:pPr>
      <w:r w:rsidRPr="009F38E3">
        <w:rPr>
          <w:rFonts w:ascii="Arial" w:eastAsia="Calibri" w:hAnsi="Arial" w:cs="Arial"/>
          <w:i/>
          <w:iCs/>
          <w:kern w:val="0"/>
          <w:sz w:val="24"/>
          <w:szCs w:val="24"/>
          <w14:ligatures w14:val="none"/>
        </w:rPr>
        <w:t>2003. Affirmative action and the constitutional requirement of efficiency’ for the public service: analyses. SA Mercantile Law Journal, 15(1).</w:t>
      </w:r>
    </w:p>
    <w:p w14:paraId="1730816F" w14:textId="1574E39A" w:rsidR="004566FE" w:rsidRPr="009F38E3" w:rsidRDefault="004566FE"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2005. </w:t>
      </w:r>
      <w:r w:rsidRPr="009F38E3">
        <w:rPr>
          <w:rFonts w:ascii="Arial" w:eastAsia="Calibri" w:hAnsi="Arial" w:cs="Arial"/>
          <w:i/>
          <w:iCs/>
          <w:kern w:val="0"/>
          <w:sz w:val="24"/>
          <w:szCs w:val="24"/>
          <w14:ligatures w14:val="none"/>
        </w:rPr>
        <w:t>Affirmative action for South African citizens: the role of the Department of Labour. Obiter</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26</w:t>
      </w:r>
      <w:r w:rsidRPr="009F38E3">
        <w:rPr>
          <w:rFonts w:ascii="Arial" w:eastAsia="Calibri" w:hAnsi="Arial" w:cs="Arial"/>
          <w:kern w:val="0"/>
          <w:sz w:val="24"/>
          <w:szCs w:val="24"/>
          <w14:ligatures w14:val="none"/>
        </w:rPr>
        <w:t>(3)</w:t>
      </w:r>
      <w:r w:rsidR="004D15A2" w:rsidRPr="009F38E3">
        <w:rPr>
          <w:rFonts w:ascii="Arial" w:eastAsia="Calibri" w:hAnsi="Arial" w:cs="Arial"/>
          <w:kern w:val="0"/>
          <w:sz w:val="24"/>
          <w:szCs w:val="24"/>
          <w14:ligatures w14:val="none"/>
        </w:rPr>
        <w:t>:</w:t>
      </w:r>
      <w:r w:rsidRPr="009F38E3">
        <w:rPr>
          <w:rFonts w:ascii="Arial" w:eastAsia="Calibri" w:hAnsi="Arial" w:cs="Arial"/>
          <w:kern w:val="0"/>
          <w:sz w:val="24"/>
          <w:szCs w:val="24"/>
          <w14:ligatures w14:val="none"/>
        </w:rPr>
        <w:t>657-664.</w:t>
      </w:r>
    </w:p>
    <w:p w14:paraId="7377C8B2"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2006. No right to affirmative action. </w:t>
      </w:r>
      <w:r w:rsidRPr="009F38E3">
        <w:rPr>
          <w:rFonts w:ascii="Arial" w:eastAsia="Calibri" w:hAnsi="Arial" w:cs="Arial"/>
          <w:i/>
          <w:iCs/>
          <w:kern w:val="0"/>
          <w:sz w:val="24"/>
          <w:szCs w:val="24"/>
          <w14:ligatures w14:val="none"/>
        </w:rPr>
        <w:t>Juta's Business Law</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14</w:t>
      </w:r>
      <w:r w:rsidRPr="009F38E3">
        <w:rPr>
          <w:rFonts w:ascii="Arial" w:eastAsia="Calibri" w:hAnsi="Arial" w:cs="Arial"/>
          <w:kern w:val="0"/>
          <w:sz w:val="24"/>
          <w:szCs w:val="24"/>
          <w14:ligatures w14:val="none"/>
        </w:rPr>
        <w:t>(1): 16-19.</w:t>
      </w:r>
    </w:p>
    <w:p w14:paraId="52B8E4D4" w14:textId="0972077D" w:rsidR="00BB7375"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2013. Affirmative action on trial-determining the legitimacy and fair application of remedial measures. </w:t>
      </w:r>
      <w:r w:rsidRPr="00BB7375">
        <w:rPr>
          <w:rFonts w:ascii="Arial" w:eastAsia="Calibri" w:hAnsi="Arial" w:cs="Arial"/>
          <w:i/>
          <w:iCs/>
          <w:kern w:val="0"/>
          <w:sz w:val="24"/>
          <w:szCs w:val="24"/>
          <w14:ligatures w14:val="none"/>
        </w:rPr>
        <w:t>Journal of South African Law/</w:t>
      </w:r>
      <w:proofErr w:type="spellStart"/>
      <w:r w:rsidRPr="00BB7375">
        <w:rPr>
          <w:rFonts w:ascii="Arial" w:eastAsia="Calibri" w:hAnsi="Arial" w:cs="Arial"/>
          <w:i/>
          <w:iCs/>
          <w:kern w:val="0"/>
          <w:sz w:val="24"/>
          <w:szCs w:val="24"/>
          <w14:ligatures w14:val="none"/>
        </w:rPr>
        <w:t>Tydskrif</w:t>
      </w:r>
      <w:proofErr w:type="spellEnd"/>
      <w:r w:rsidRPr="00BB7375">
        <w:rPr>
          <w:rFonts w:ascii="Arial" w:eastAsia="Calibri" w:hAnsi="Arial" w:cs="Arial"/>
          <w:i/>
          <w:iCs/>
          <w:kern w:val="0"/>
          <w:sz w:val="24"/>
          <w:szCs w:val="24"/>
          <w14:ligatures w14:val="none"/>
        </w:rPr>
        <w:t xml:space="preserve"> </w:t>
      </w:r>
      <w:proofErr w:type="spellStart"/>
      <w:r w:rsidRPr="00BB7375">
        <w:rPr>
          <w:rFonts w:ascii="Arial" w:eastAsia="Calibri" w:hAnsi="Arial" w:cs="Arial"/>
          <w:i/>
          <w:iCs/>
          <w:kern w:val="0"/>
          <w:sz w:val="24"/>
          <w:szCs w:val="24"/>
          <w14:ligatures w14:val="none"/>
        </w:rPr>
        <w:t>vir</w:t>
      </w:r>
      <w:proofErr w:type="spellEnd"/>
      <w:r w:rsidRPr="00BB7375">
        <w:rPr>
          <w:rFonts w:ascii="Arial" w:eastAsia="Calibri" w:hAnsi="Arial" w:cs="Arial"/>
          <w:i/>
          <w:iCs/>
          <w:kern w:val="0"/>
          <w:sz w:val="24"/>
          <w:szCs w:val="24"/>
          <w14:ligatures w14:val="none"/>
        </w:rPr>
        <w:t xml:space="preserve"> die </w:t>
      </w:r>
      <w:proofErr w:type="spellStart"/>
      <w:r w:rsidRPr="00BB7375">
        <w:rPr>
          <w:rFonts w:ascii="Arial" w:eastAsia="Calibri" w:hAnsi="Arial" w:cs="Arial"/>
          <w:i/>
          <w:iCs/>
          <w:kern w:val="0"/>
          <w:sz w:val="24"/>
          <w:szCs w:val="24"/>
          <w14:ligatures w14:val="none"/>
        </w:rPr>
        <w:t>Suid-Afrikaanse</w:t>
      </w:r>
      <w:proofErr w:type="spellEnd"/>
      <w:r w:rsidRPr="00BB7375">
        <w:rPr>
          <w:rFonts w:ascii="Arial" w:eastAsia="Calibri" w:hAnsi="Arial" w:cs="Arial"/>
          <w:i/>
          <w:iCs/>
          <w:kern w:val="0"/>
          <w:sz w:val="24"/>
          <w:szCs w:val="24"/>
          <w14:ligatures w14:val="none"/>
        </w:rPr>
        <w:t xml:space="preserve"> Reg</w:t>
      </w:r>
      <w:r w:rsidRPr="00BB7375">
        <w:rPr>
          <w:rFonts w:ascii="Arial" w:eastAsia="Calibri" w:hAnsi="Arial" w:cs="Arial"/>
          <w:kern w:val="0"/>
          <w:sz w:val="24"/>
          <w:szCs w:val="24"/>
          <w14:ligatures w14:val="none"/>
        </w:rPr>
        <w:t>, </w:t>
      </w:r>
      <w:r w:rsidRPr="00BB7375">
        <w:rPr>
          <w:rFonts w:ascii="Arial" w:eastAsia="Calibri" w:hAnsi="Arial" w:cs="Arial"/>
          <w:i/>
          <w:iCs/>
          <w:kern w:val="0"/>
          <w:sz w:val="24"/>
          <w:szCs w:val="24"/>
          <w14:ligatures w14:val="none"/>
        </w:rPr>
        <w:t>2013</w:t>
      </w:r>
      <w:r w:rsidRPr="00BB7375">
        <w:rPr>
          <w:rFonts w:ascii="Arial" w:eastAsia="Calibri" w:hAnsi="Arial" w:cs="Arial"/>
          <w:kern w:val="0"/>
          <w:sz w:val="24"/>
          <w:szCs w:val="24"/>
          <w14:ligatures w14:val="none"/>
        </w:rPr>
        <w:t>(4):650-675.</w:t>
      </w:r>
    </w:p>
    <w:p w14:paraId="2441DE19" w14:textId="1F015F11"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MILL JS &amp; COLLINI S</w:t>
      </w:r>
    </w:p>
    <w:p w14:paraId="0DF22766" w14:textId="77777777" w:rsidR="00DA70E2" w:rsidRPr="009F38E3" w:rsidRDefault="00DA70E2"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1989. On liberty, with, The subjection of women, and Chapters on socialism.</w:t>
      </w:r>
    </w:p>
    <w:p w14:paraId="09D9DFF3"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MKHWANAZI D</w:t>
      </w:r>
    </w:p>
    <w:p w14:paraId="37AE2888" w14:textId="5164B1AF"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1993. New breed of managers needed for a new South Africa. </w:t>
      </w:r>
      <w:r w:rsidRPr="009F38E3">
        <w:rPr>
          <w:rFonts w:ascii="Arial" w:eastAsia="Calibri" w:hAnsi="Arial" w:cs="Arial"/>
          <w:i/>
          <w:iCs/>
          <w:kern w:val="0"/>
          <w:sz w:val="24"/>
          <w:szCs w:val="24"/>
          <w14:ligatures w14:val="none"/>
        </w:rPr>
        <w:t>Human Resources Management</w:t>
      </w:r>
      <w:r w:rsidRPr="009F38E3">
        <w:rPr>
          <w:rFonts w:ascii="Arial" w:eastAsia="Calibri" w:hAnsi="Arial" w:cs="Arial"/>
          <w:kern w:val="0"/>
          <w:sz w:val="24"/>
          <w:szCs w:val="24"/>
          <w14:ligatures w14:val="none"/>
        </w:rPr>
        <w:t>:14-17.</w:t>
      </w:r>
    </w:p>
    <w:p w14:paraId="3AE23F3D" w14:textId="78AA488C"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MODISHA G</w:t>
      </w:r>
    </w:p>
    <w:p w14:paraId="2B240FF6" w14:textId="70FDBDBB" w:rsidR="001D48E4" w:rsidRPr="009F38E3" w:rsidRDefault="004566FE"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(2007). </w:t>
      </w:r>
      <w:r w:rsidRPr="009F38E3">
        <w:rPr>
          <w:rFonts w:ascii="Arial" w:eastAsia="Calibri" w:hAnsi="Arial" w:cs="Arial"/>
          <w:i/>
          <w:iCs/>
          <w:kern w:val="0"/>
          <w:sz w:val="24"/>
          <w:szCs w:val="24"/>
          <w14:ligatures w14:val="none"/>
        </w:rPr>
        <w:t>Employment equity: Can it produce a representative workforce?</w:t>
      </w:r>
      <w:r w:rsidRPr="009F38E3">
        <w:rPr>
          <w:rFonts w:ascii="Arial" w:eastAsia="Calibri" w:hAnsi="Arial" w:cs="Arial"/>
          <w:kern w:val="0"/>
          <w:sz w:val="24"/>
          <w:szCs w:val="24"/>
          <w14:ligatures w14:val="none"/>
        </w:rPr>
        <w:t xml:space="preserve"> HSRC Review, 5(4). Retrieved from </w:t>
      </w:r>
      <w:hyperlink r:id="rId12" w:history="1">
        <w:r w:rsidRPr="009F38E3">
          <w:rPr>
            <w:rFonts w:ascii="Arial" w:eastAsia="Calibri" w:hAnsi="Arial" w:cs="Arial"/>
            <w:color w:val="0563C1"/>
            <w:kern w:val="0"/>
            <w:sz w:val="24"/>
            <w:szCs w:val="24"/>
            <w:u w:val="single"/>
            <w14:ligatures w14:val="none"/>
          </w:rPr>
          <w:t>http://www.hsrc.ac.za/HSRC _Review_Article-69.phtm</w:t>
        </w:r>
      </w:hyperlink>
      <w:r w:rsidRPr="009F38E3">
        <w:rPr>
          <w:rFonts w:ascii="Arial" w:eastAsia="Calibri" w:hAnsi="Arial" w:cs="Arial"/>
          <w:color w:val="0563C1"/>
          <w:kern w:val="0"/>
          <w:sz w:val="24"/>
          <w:szCs w:val="24"/>
          <w:u w:val="single"/>
          <w14:ligatures w14:val="none"/>
        </w:rPr>
        <w:t>.</w:t>
      </w:r>
    </w:p>
    <w:p w14:paraId="218526FD" w14:textId="63F960A6"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MONCHO RM</w:t>
      </w:r>
    </w:p>
    <w:p w14:paraId="0C356A7E" w14:textId="77777777" w:rsidR="001D48E4" w:rsidRPr="009F38E3" w:rsidRDefault="001D48E4"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2020. </w:t>
      </w:r>
      <w:r w:rsidRPr="009F38E3">
        <w:rPr>
          <w:rFonts w:ascii="Arial" w:eastAsia="Calibri" w:hAnsi="Arial" w:cs="Arial"/>
          <w:i/>
          <w:iCs/>
          <w:kern w:val="0"/>
          <w:sz w:val="24"/>
          <w:szCs w:val="24"/>
          <w14:ligatures w14:val="none"/>
        </w:rPr>
        <w:t>The Aim and Legacy of the Commission of Inquiry into Labour Legislation (</w:t>
      </w:r>
      <w:proofErr w:type="spellStart"/>
      <w:r w:rsidRPr="009F38E3">
        <w:rPr>
          <w:rFonts w:ascii="Arial" w:eastAsia="Calibri" w:hAnsi="Arial" w:cs="Arial"/>
          <w:i/>
          <w:iCs/>
          <w:kern w:val="0"/>
          <w:sz w:val="24"/>
          <w:szCs w:val="24"/>
          <w14:ligatures w14:val="none"/>
        </w:rPr>
        <w:t>Wiehahn</w:t>
      </w:r>
      <w:proofErr w:type="spellEnd"/>
      <w:r w:rsidRPr="009F38E3">
        <w:rPr>
          <w:rFonts w:ascii="Arial" w:eastAsia="Calibri" w:hAnsi="Arial" w:cs="Arial"/>
          <w:i/>
          <w:iCs/>
          <w:kern w:val="0"/>
          <w:sz w:val="24"/>
          <w:szCs w:val="24"/>
          <w14:ligatures w14:val="none"/>
        </w:rPr>
        <w:t xml:space="preserve"> Commission), 1977-1980</w:t>
      </w:r>
      <w:r w:rsidRPr="009F38E3">
        <w:rPr>
          <w:rFonts w:ascii="Arial" w:eastAsia="Calibri" w:hAnsi="Arial" w:cs="Arial"/>
          <w:kern w:val="0"/>
          <w:sz w:val="24"/>
          <w:szCs w:val="24"/>
          <w14:ligatures w14:val="none"/>
        </w:rPr>
        <w:t> (</w:t>
      </w:r>
      <w:proofErr w:type="gramStart"/>
      <w:r w:rsidRPr="009F38E3">
        <w:rPr>
          <w:rFonts w:ascii="Arial" w:eastAsia="Calibri" w:hAnsi="Arial" w:cs="Arial"/>
          <w:kern w:val="0"/>
          <w:sz w:val="24"/>
          <w:szCs w:val="24"/>
          <w14:ligatures w14:val="none"/>
        </w:rPr>
        <w:t>Master's</w:t>
      </w:r>
      <w:proofErr w:type="gramEnd"/>
      <w:r w:rsidRPr="009F38E3">
        <w:rPr>
          <w:rFonts w:ascii="Arial" w:eastAsia="Calibri" w:hAnsi="Arial" w:cs="Arial"/>
          <w:kern w:val="0"/>
          <w:sz w:val="24"/>
          <w:szCs w:val="24"/>
          <w14:ligatures w14:val="none"/>
        </w:rPr>
        <w:t xml:space="preserve"> thesis, University of Pretoria (South Africa).</w:t>
      </w:r>
    </w:p>
    <w:p w14:paraId="287AF8C9"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MUHIČ-DIZDAREVIČ S </w:t>
      </w:r>
    </w:p>
    <w:p w14:paraId="4B5A5846" w14:textId="61A8B452" w:rsidR="007553DE"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2004. Sandra Freedman: Discrimination Law: Oxford University Press, Oxford 2002. </w:t>
      </w:r>
      <w:proofErr w:type="spellStart"/>
      <w:r w:rsidRPr="009F38E3">
        <w:rPr>
          <w:rFonts w:ascii="Arial" w:eastAsia="Calibri" w:hAnsi="Arial" w:cs="Arial"/>
          <w:i/>
          <w:iCs/>
          <w:kern w:val="0"/>
          <w:sz w:val="24"/>
          <w:szCs w:val="24"/>
          <w14:ligatures w14:val="none"/>
        </w:rPr>
        <w:t>Lidé</w:t>
      </w:r>
      <w:proofErr w:type="spellEnd"/>
      <w:r w:rsidRPr="009F38E3">
        <w:rPr>
          <w:rFonts w:ascii="Arial" w:eastAsia="Calibri" w:hAnsi="Arial" w:cs="Arial"/>
          <w:i/>
          <w:iCs/>
          <w:kern w:val="0"/>
          <w:sz w:val="24"/>
          <w:szCs w:val="24"/>
          <w14:ligatures w14:val="none"/>
        </w:rPr>
        <w:t xml:space="preserve"> </w:t>
      </w:r>
      <w:proofErr w:type="spellStart"/>
      <w:r w:rsidRPr="009F38E3">
        <w:rPr>
          <w:rFonts w:ascii="Arial" w:eastAsia="Calibri" w:hAnsi="Arial" w:cs="Arial"/>
          <w:i/>
          <w:iCs/>
          <w:kern w:val="0"/>
          <w:sz w:val="24"/>
          <w:szCs w:val="24"/>
          <w14:ligatures w14:val="none"/>
        </w:rPr>
        <w:t>města</w:t>
      </w:r>
      <w:proofErr w:type="spellEnd"/>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6</w:t>
      </w:r>
      <w:r w:rsidRPr="009F38E3">
        <w:rPr>
          <w:rFonts w:ascii="Arial" w:eastAsia="Calibri" w:hAnsi="Arial" w:cs="Arial"/>
          <w:kern w:val="0"/>
          <w:sz w:val="24"/>
          <w:szCs w:val="24"/>
          <w14:ligatures w14:val="none"/>
        </w:rPr>
        <w:t>(1/13): 153-159.</w:t>
      </w:r>
    </w:p>
    <w:p w14:paraId="7843082F" w14:textId="7092D09F"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MUREINIK E </w:t>
      </w:r>
    </w:p>
    <w:p w14:paraId="7A8B72AD" w14:textId="25BB0A1B" w:rsidR="004566FE" w:rsidRPr="009F38E3" w:rsidRDefault="001D48E4"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1994. A bridge to where? Introducing the Interim Bill of Rights. </w:t>
      </w:r>
      <w:r w:rsidRPr="009F38E3">
        <w:rPr>
          <w:rFonts w:ascii="Arial" w:eastAsia="Calibri" w:hAnsi="Arial" w:cs="Arial"/>
          <w:i/>
          <w:iCs/>
          <w:kern w:val="0"/>
          <w:sz w:val="24"/>
          <w:szCs w:val="24"/>
          <w14:ligatures w14:val="none"/>
        </w:rPr>
        <w:t>South African Journal on Human Rights</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10</w:t>
      </w:r>
      <w:r w:rsidRPr="009F38E3">
        <w:rPr>
          <w:rFonts w:ascii="Arial" w:eastAsia="Calibri" w:hAnsi="Arial" w:cs="Arial"/>
          <w:kern w:val="0"/>
          <w:sz w:val="24"/>
          <w:szCs w:val="24"/>
          <w14:ligatures w14:val="none"/>
        </w:rPr>
        <w:t>(1):31-48.</w:t>
      </w:r>
    </w:p>
    <w:p w14:paraId="52BB6343"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MUSHARIWA M</w:t>
      </w:r>
    </w:p>
    <w:p w14:paraId="04BEAB01" w14:textId="60688B76" w:rsidR="004566FE" w:rsidRPr="007553DE" w:rsidRDefault="004566FE" w:rsidP="007553DE">
      <w:pPr>
        <w:suppressAutoHyphens/>
        <w:autoSpaceDN w:val="0"/>
        <w:spacing w:line="360" w:lineRule="auto"/>
        <w:ind w:left="454"/>
        <w:rPr>
          <w:rFonts w:ascii="Arial" w:eastAsia="Calibri" w:hAnsi="Arial" w:cs="Arial"/>
          <w:i/>
          <w:iCs/>
          <w:kern w:val="0"/>
          <w:sz w:val="24"/>
          <w:szCs w:val="24"/>
          <w14:ligatures w14:val="none"/>
        </w:rPr>
      </w:pPr>
      <w:r w:rsidRPr="009F38E3">
        <w:rPr>
          <w:rFonts w:ascii="Arial" w:eastAsia="Calibri" w:hAnsi="Arial" w:cs="Arial"/>
          <w:kern w:val="0"/>
          <w:sz w:val="24"/>
          <w:szCs w:val="24"/>
          <w14:ligatures w14:val="none"/>
        </w:rPr>
        <w:t xml:space="preserve">2011. </w:t>
      </w:r>
      <w:r w:rsidRPr="009F38E3">
        <w:rPr>
          <w:rFonts w:ascii="Arial" w:eastAsia="Calibri" w:hAnsi="Arial" w:cs="Arial"/>
          <w:i/>
          <w:iCs/>
          <w:kern w:val="0"/>
          <w:sz w:val="24"/>
          <w:szCs w:val="24"/>
          <w14:ligatures w14:val="none"/>
        </w:rPr>
        <w:t>Who are the true beneficiaries of Affirmative Action? -Solidarity obo Barnard v SAPS 2010 5 BLLR 561 (LC):</w:t>
      </w:r>
      <w:r w:rsidRPr="009F38E3">
        <w:rPr>
          <w:rFonts w:ascii="Arial" w:eastAsia="Calibri" w:hAnsi="Arial" w:cs="Arial"/>
          <w:kern w:val="0"/>
          <w:sz w:val="24"/>
          <w:szCs w:val="24"/>
          <w14:ligatures w14:val="none"/>
        </w:rPr>
        <w:t xml:space="preserve"> Case. </w:t>
      </w:r>
      <w:r w:rsidRPr="009F38E3">
        <w:rPr>
          <w:rFonts w:ascii="Arial" w:eastAsia="Calibri" w:hAnsi="Arial" w:cs="Arial"/>
          <w:i/>
          <w:iCs/>
          <w:kern w:val="0"/>
          <w:sz w:val="24"/>
          <w:szCs w:val="24"/>
          <w14:ligatures w14:val="none"/>
        </w:rPr>
        <w:t>Obiter.</w:t>
      </w:r>
    </w:p>
    <w:p w14:paraId="21B2FBD7" w14:textId="77777777" w:rsidR="004566FE" w:rsidRPr="009F38E3" w:rsidRDefault="004566FE" w:rsidP="004566FE">
      <w:pPr>
        <w:suppressAutoHyphens/>
        <w:autoSpaceDN w:val="0"/>
        <w:spacing w:line="360" w:lineRule="auto"/>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NCHOLO P</w:t>
      </w:r>
    </w:p>
    <w:p w14:paraId="037A3450" w14:textId="6DC602DB" w:rsidR="004566FE" w:rsidRPr="007553DE" w:rsidRDefault="004566FE" w:rsidP="007553DE">
      <w:pPr>
        <w:suppressAutoHyphens/>
        <w:autoSpaceDN w:val="0"/>
        <w:spacing w:line="360" w:lineRule="auto"/>
        <w:ind w:left="454"/>
        <w:rPr>
          <w:rFonts w:ascii="Arial" w:eastAsia="Calibri" w:hAnsi="Arial" w:cs="Arial"/>
          <w:color w:val="222222"/>
          <w:kern w:val="0"/>
          <w:sz w:val="24"/>
          <w:szCs w:val="24"/>
          <w:shd w:val="clear" w:color="auto" w:fill="FFFFFF"/>
          <w14:ligatures w14:val="none"/>
        </w:rPr>
      </w:pPr>
      <w:r w:rsidRPr="009F38E3">
        <w:rPr>
          <w:rFonts w:ascii="Arial" w:eastAsia="Calibri" w:hAnsi="Arial" w:cs="Arial"/>
          <w:color w:val="222222"/>
          <w:kern w:val="0"/>
          <w:sz w:val="24"/>
          <w:szCs w:val="24"/>
          <w:shd w:val="clear" w:color="auto" w:fill="FFFFFF"/>
          <w14:ligatures w14:val="none"/>
        </w:rPr>
        <w:t>1992. </w:t>
      </w:r>
      <w:r w:rsidRPr="009F38E3">
        <w:rPr>
          <w:rFonts w:ascii="Arial" w:eastAsia="Calibri" w:hAnsi="Arial" w:cs="Arial"/>
          <w:i/>
          <w:iCs/>
          <w:color w:val="222222"/>
          <w:kern w:val="0"/>
          <w:sz w:val="24"/>
          <w:szCs w:val="24"/>
          <w:shd w:val="clear" w:color="auto" w:fill="FFFFFF"/>
          <w14:ligatures w14:val="none"/>
        </w:rPr>
        <w:t>Equality and affirmative action in constitution-making: The Southern African case</w:t>
      </w:r>
      <w:r w:rsidRPr="009F38E3">
        <w:rPr>
          <w:rFonts w:ascii="Arial" w:eastAsia="Calibri" w:hAnsi="Arial" w:cs="Arial"/>
          <w:color w:val="222222"/>
          <w:kern w:val="0"/>
          <w:sz w:val="24"/>
          <w:szCs w:val="24"/>
          <w:shd w:val="clear" w:color="auto" w:fill="FFFFFF"/>
          <w14:ligatures w14:val="none"/>
        </w:rPr>
        <w:t xml:space="preserve">. </w:t>
      </w:r>
    </w:p>
    <w:p w14:paraId="023597EA"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NCONCO M</w:t>
      </w:r>
    </w:p>
    <w:p w14:paraId="5D119DFC" w14:textId="77777777" w:rsidR="004566FE" w:rsidRPr="009F38E3" w:rsidRDefault="004566FE" w:rsidP="00DD7122">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2012. </w:t>
      </w:r>
      <w:r w:rsidRPr="009F38E3">
        <w:rPr>
          <w:rFonts w:ascii="Arial" w:eastAsia="Calibri" w:hAnsi="Arial" w:cs="Arial"/>
          <w:i/>
          <w:iCs/>
          <w:kern w:val="0"/>
          <w:sz w:val="24"/>
          <w:szCs w:val="24"/>
          <w14:ligatures w14:val="none"/>
        </w:rPr>
        <w:t>Substantive equality and affirmative action in the workplace</w:t>
      </w:r>
      <w:r w:rsidRPr="009F38E3">
        <w:rPr>
          <w:rFonts w:ascii="Arial" w:eastAsia="Calibri" w:hAnsi="Arial" w:cs="Arial"/>
          <w:kern w:val="0"/>
          <w:sz w:val="24"/>
          <w:szCs w:val="24"/>
          <w14:ligatures w14:val="none"/>
        </w:rPr>
        <w:t> (Doctoral dissertation).</w:t>
      </w:r>
    </w:p>
    <w:p w14:paraId="34A85BB5"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NTSEBEZA L</w:t>
      </w:r>
    </w:p>
    <w:p w14:paraId="39D30DB0" w14:textId="63AA125B" w:rsidR="001D48E4" w:rsidRPr="009F38E3" w:rsidRDefault="001D48E4" w:rsidP="000A48D6">
      <w:pPr>
        <w:suppressAutoHyphens/>
        <w:autoSpaceDN w:val="0"/>
        <w:spacing w:line="360" w:lineRule="auto"/>
        <w:ind w:left="454"/>
        <w:rPr>
          <w:rFonts w:ascii="Arial" w:eastAsia="Calibri" w:hAnsi="Arial" w:cs="Arial"/>
          <w:i/>
          <w:iCs/>
          <w:kern w:val="0"/>
          <w:sz w:val="24"/>
          <w:szCs w:val="24"/>
          <w14:ligatures w14:val="none"/>
        </w:rPr>
      </w:pPr>
      <w:r w:rsidRPr="009F38E3">
        <w:rPr>
          <w:rFonts w:ascii="Arial" w:eastAsia="Calibri" w:hAnsi="Arial" w:cs="Arial"/>
          <w:kern w:val="0"/>
          <w:sz w:val="24"/>
          <w:szCs w:val="24"/>
          <w14:ligatures w14:val="none"/>
        </w:rPr>
        <w:t>2007. 5 Land redistribution in South Africa: the property clause revisited. </w:t>
      </w:r>
      <w:r w:rsidRPr="009F38E3">
        <w:rPr>
          <w:rFonts w:ascii="Arial" w:eastAsia="Calibri" w:hAnsi="Arial" w:cs="Arial"/>
          <w:i/>
          <w:iCs/>
          <w:kern w:val="0"/>
          <w:sz w:val="24"/>
          <w:szCs w:val="24"/>
          <w14:ligatures w14:val="none"/>
        </w:rPr>
        <w:t>The land question in South Africa: The challenge of transformation and redistribution.</w:t>
      </w:r>
    </w:p>
    <w:p w14:paraId="01193AA7"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PATEMAN C</w:t>
      </w:r>
    </w:p>
    <w:p w14:paraId="7CB68500" w14:textId="790C73DE"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2005. Equality, difference, subordination: the politics of motherhood and women’s citizenship. In </w:t>
      </w:r>
      <w:r w:rsidRPr="009F38E3">
        <w:rPr>
          <w:rFonts w:ascii="Arial" w:eastAsia="Calibri" w:hAnsi="Arial" w:cs="Arial"/>
          <w:i/>
          <w:iCs/>
          <w:kern w:val="0"/>
          <w:sz w:val="24"/>
          <w:szCs w:val="24"/>
          <w14:ligatures w14:val="none"/>
        </w:rPr>
        <w:t>Beyond equality and difference</w:t>
      </w:r>
      <w:r w:rsidRPr="009F38E3">
        <w:rPr>
          <w:rFonts w:ascii="Arial" w:eastAsia="Calibri" w:hAnsi="Arial" w:cs="Arial"/>
          <w:kern w:val="0"/>
          <w:sz w:val="24"/>
          <w:szCs w:val="24"/>
          <w14:ligatures w14:val="none"/>
        </w:rPr>
        <w:t xml:space="preserve">: 22-35). </w:t>
      </w:r>
    </w:p>
    <w:p w14:paraId="39D351B1" w14:textId="1E995DF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PENN N</w:t>
      </w:r>
    </w:p>
    <w:p w14:paraId="7AF1D8E6" w14:textId="77777777" w:rsidR="001D48E4" w:rsidRPr="009F38E3" w:rsidRDefault="001D48E4"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2005. The forgotten frontier: Colonist and Khoisan on the Cape’s northern frontier in the eighteenth century. </w:t>
      </w:r>
      <w:r w:rsidRPr="009F38E3">
        <w:rPr>
          <w:rFonts w:ascii="Arial" w:eastAsia="Calibri" w:hAnsi="Arial" w:cs="Arial"/>
          <w:i/>
          <w:iCs/>
          <w:kern w:val="0"/>
          <w:sz w:val="24"/>
          <w:szCs w:val="24"/>
          <w14:ligatures w14:val="none"/>
        </w:rPr>
        <w:t>Cape Town: Juta.</w:t>
      </w:r>
    </w:p>
    <w:p w14:paraId="43993223"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PLESSIS LD &amp; CORDER H</w:t>
      </w:r>
    </w:p>
    <w:p w14:paraId="07E6AC50" w14:textId="201AA261" w:rsidR="004566FE" w:rsidRPr="009F38E3" w:rsidRDefault="001D48E4"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1995. Understandings South Africa's Transitional Bill of Rights. </w:t>
      </w:r>
      <w:r w:rsidRPr="009F38E3">
        <w:rPr>
          <w:rFonts w:ascii="Arial" w:eastAsia="Calibri" w:hAnsi="Arial" w:cs="Arial"/>
          <w:i/>
          <w:iCs/>
          <w:kern w:val="0"/>
          <w:sz w:val="24"/>
          <w:szCs w:val="24"/>
          <w14:ligatures w14:val="none"/>
        </w:rPr>
        <w:t>JS Afr. L:</w:t>
      </w:r>
      <w:r w:rsidRPr="009F38E3">
        <w:rPr>
          <w:rFonts w:ascii="Arial" w:eastAsia="Calibri" w:hAnsi="Arial" w:cs="Arial"/>
          <w:kern w:val="0"/>
          <w:sz w:val="24"/>
          <w:szCs w:val="24"/>
          <w14:ligatures w14:val="none"/>
        </w:rPr>
        <w:t>149.</w:t>
      </w:r>
    </w:p>
    <w:p w14:paraId="376D226C"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POJMAN L </w:t>
      </w:r>
    </w:p>
    <w:p w14:paraId="70CE6D43" w14:textId="17369554" w:rsidR="004566FE" w:rsidRPr="009F38E3" w:rsidRDefault="004566FE"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2014. Against affirmative action. </w:t>
      </w:r>
      <w:r w:rsidRPr="009F38E3">
        <w:rPr>
          <w:rFonts w:ascii="Arial" w:eastAsia="Calibri" w:hAnsi="Arial" w:cs="Arial"/>
          <w:i/>
          <w:iCs/>
          <w:kern w:val="0"/>
          <w:sz w:val="24"/>
          <w:szCs w:val="24"/>
          <w14:ligatures w14:val="none"/>
        </w:rPr>
        <w:t>Ethics in Practice: An Anthology. Hoboken, NJ: Wiley-Blackwell</w:t>
      </w:r>
      <w:r w:rsidR="004D15A2" w:rsidRPr="009F38E3">
        <w:rPr>
          <w:rFonts w:ascii="Arial" w:eastAsia="Calibri" w:hAnsi="Arial" w:cs="Arial"/>
          <w:kern w:val="0"/>
          <w:sz w:val="24"/>
          <w:szCs w:val="24"/>
          <w14:ligatures w14:val="none"/>
        </w:rPr>
        <w:t>:</w:t>
      </w:r>
      <w:r w:rsidRPr="009F38E3">
        <w:rPr>
          <w:rFonts w:ascii="Arial" w:eastAsia="Calibri" w:hAnsi="Arial" w:cs="Arial"/>
          <w:kern w:val="0"/>
          <w:sz w:val="24"/>
          <w:szCs w:val="24"/>
          <w14:ligatures w14:val="none"/>
        </w:rPr>
        <w:t>433-442.</w:t>
      </w:r>
    </w:p>
    <w:p w14:paraId="2FC96763" w14:textId="13D1F764"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PRETORIUS JL</w:t>
      </w:r>
    </w:p>
    <w:p w14:paraId="269A9F13" w14:textId="6EF691E7" w:rsidR="004566FE"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2001. </w:t>
      </w:r>
      <w:r w:rsidRPr="00BB7375">
        <w:rPr>
          <w:rFonts w:ascii="Arial" w:eastAsia="Calibri" w:hAnsi="Arial" w:cs="Arial"/>
          <w:i/>
          <w:iCs/>
          <w:kern w:val="0"/>
          <w:sz w:val="24"/>
          <w:szCs w:val="24"/>
          <w14:ligatures w14:val="none"/>
        </w:rPr>
        <w:t>Constitutional standards for affirmative action in South Africa: a comparative overview</w:t>
      </w:r>
      <w:r w:rsidRPr="00BB7375">
        <w:rPr>
          <w:rFonts w:ascii="Arial" w:eastAsia="Calibri" w:hAnsi="Arial" w:cs="Arial"/>
          <w:kern w:val="0"/>
          <w:sz w:val="24"/>
          <w:szCs w:val="24"/>
          <w14:ligatures w14:val="none"/>
        </w:rPr>
        <w:t>.</w:t>
      </w:r>
    </w:p>
    <w:p w14:paraId="588F142C" w14:textId="77777777" w:rsidR="004566FE" w:rsidRPr="009F38E3" w:rsidRDefault="004566FE"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2001. Legal evaluation of affirmative action in South Africa. </w:t>
      </w:r>
      <w:r w:rsidRPr="009F38E3">
        <w:rPr>
          <w:rFonts w:ascii="Arial" w:eastAsia="Calibri" w:hAnsi="Arial" w:cs="Arial"/>
          <w:i/>
          <w:iCs/>
          <w:kern w:val="0"/>
          <w:sz w:val="24"/>
          <w:szCs w:val="24"/>
          <w14:ligatures w14:val="none"/>
        </w:rPr>
        <w:t>Journal for Juridical Science</w:t>
      </w:r>
      <w:r w:rsidRPr="009F38E3">
        <w:rPr>
          <w:rFonts w:ascii="Arial" w:eastAsia="Calibri" w:hAnsi="Arial" w:cs="Arial"/>
          <w:kern w:val="0"/>
          <w:sz w:val="24"/>
          <w:szCs w:val="24"/>
          <w14:ligatures w14:val="none"/>
        </w:rPr>
        <w:t xml:space="preserve">, </w:t>
      </w:r>
      <w:r w:rsidRPr="009F38E3">
        <w:rPr>
          <w:rFonts w:ascii="Arial" w:eastAsia="Calibri" w:hAnsi="Arial" w:cs="Arial"/>
          <w:i/>
          <w:iCs/>
          <w:kern w:val="0"/>
          <w:sz w:val="24"/>
          <w:szCs w:val="24"/>
          <w14:ligatures w14:val="none"/>
        </w:rPr>
        <w:t>26</w:t>
      </w:r>
      <w:r w:rsidRPr="009F38E3">
        <w:rPr>
          <w:rFonts w:ascii="Arial" w:eastAsia="Calibri" w:hAnsi="Arial" w:cs="Arial"/>
          <w:kern w:val="0"/>
          <w:sz w:val="24"/>
          <w:szCs w:val="24"/>
          <w14:ligatures w14:val="none"/>
        </w:rPr>
        <w:t>(3).</w:t>
      </w:r>
    </w:p>
    <w:p w14:paraId="637F8121" w14:textId="10A979E7" w:rsidR="00BB7375"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2010. Fairness in transformation: A critique of the constitutional court’s affirmative action jurisprudence. </w:t>
      </w:r>
      <w:r w:rsidRPr="00BB7375">
        <w:rPr>
          <w:rFonts w:ascii="Arial" w:eastAsia="Calibri" w:hAnsi="Arial" w:cs="Arial"/>
          <w:i/>
          <w:iCs/>
          <w:kern w:val="0"/>
          <w:sz w:val="24"/>
          <w:szCs w:val="24"/>
          <w14:ligatures w14:val="none"/>
        </w:rPr>
        <w:t>South African Journal on Human Rights</w:t>
      </w:r>
      <w:r w:rsidRPr="00BB7375">
        <w:rPr>
          <w:rFonts w:ascii="Arial" w:eastAsia="Calibri" w:hAnsi="Arial" w:cs="Arial"/>
          <w:kern w:val="0"/>
          <w:sz w:val="24"/>
          <w:szCs w:val="24"/>
          <w14:ligatures w14:val="none"/>
        </w:rPr>
        <w:t>, </w:t>
      </w:r>
      <w:r w:rsidRPr="00BB7375">
        <w:rPr>
          <w:rFonts w:ascii="Arial" w:eastAsia="Calibri" w:hAnsi="Arial" w:cs="Arial"/>
          <w:i/>
          <w:iCs/>
          <w:kern w:val="0"/>
          <w:sz w:val="24"/>
          <w:szCs w:val="24"/>
          <w14:ligatures w14:val="none"/>
        </w:rPr>
        <w:t>26</w:t>
      </w:r>
      <w:r w:rsidRPr="00BB7375">
        <w:rPr>
          <w:rFonts w:ascii="Arial" w:eastAsia="Calibri" w:hAnsi="Arial" w:cs="Arial"/>
          <w:kern w:val="0"/>
          <w:sz w:val="24"/>
          <w:szCs w:val="24"/>
          <w14:ligatures w14:val="none"/>
        </w:rPr>
        <w:t>(3):536-570.</w:t>
      </w:r>
    </w:p>
    <w:p w14:paraId="02278F4C" w14:textId="083F7872" w:rsidR="00EF67B5" w:rsidRPr="009F38E3" w:rsidRDefault="00EF67B5"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ROUX T</w:t>
      </w:r>
    </w:p>
    <w:p w14:paraId="59612102" w14:textId="0E31BB50" w:rsidR="00EF67B5" w:rsidRPr="009F38E3" w:rsidRDefault="00EF67B5"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2009. Transformative constitutionalism and the best interpretation of the South African Constitution: Distinction without a </w:t>
      </w:r>
      <w:proofErr w:type="gramStart"/>
      <w:r w:rsidRPr="009F38E3">
        <w:rPr>
          <w:rFonts w:ascii="Arial" w:eastAsia="Calibri" w:hAnsi="Arial" w:cs="Arial"/>
          <w:kern w:val="0"/>
          <w:sz w:val="24"/>
          <w:szCs w:val="24"/>
          <w14:ligatures w14:val="none"/>
        </w:rPr>
        <w:t>difference?.</w:t>
      </w:r>
      <w:proofErr w:type="gramEnd"/>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Stellenbosch Law Review</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20</w:t>
      </w:r>
      <w:r w:rsidRPr="009F38E3">
        <w:rPr>
          <w:rFonts w:ascii="Arial" w:eastAsia="Calibri" w:hAnsi="Arial" w:cs="Arial"/>
          <w:kern w:val="0"/>
          <w:sz w:val="24"/>
          <w:szCs w:val="24"/>
          <w14:ligatures w14:val="none"/>
        </w:rPr>
        <w:t>(2):258-285.</w:t>
      </w:r>
    </w:p>
    <w:p w14:paraId="1A7F2964" w14:textId="4D79EC0A"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ROSS R</w:t>
      </w:r>
    </w:p>
    <w:p w14:paraId="1B639255" w14:textId="77777777" w:rsidR="001D48E4" w:rsidRPr="009F38E3" w:rsidRDefault="001D48E4"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2008. </w:t>
      </w:r>
      <w:r w:rsidRPr="009F38E3">
        <w:rPr>
          <w:rFonts w:ascii="Arial" w:eastAsia="Calibri" w:hAnsi="Arial" w:cs="Arial"/>
          <w:i/>
          <w:iCs/>
          <w:kern w:val="0"/>
          <w:sz w:val="24"/>
          <w:szCs w:val="24"/>
          <w14:ligatures w14:val="none"/>
        </w:rPr>
        <w:t>A concise history of South Africa</w:t>
      </w:r>
      <w:r w:rsidRPr="009F38E3">
        <w:rPr>
          <w:rFonts w:ascii="Arial" w:eastAsia="Calibri" w:hAnsi="Arial" w:cs="Arial"/>
          <w:kern w:val="0"/>
          <w:sz w:val="24"/>
          <w:szCs w:val="24"/>
          <w14:ligatures w14:val="none"/>
        </w:rPr>
        <w:t>. Cambridge University Press.</w:t>
      </w:r>
    </w:p>
    <w:p w14:paraId="765C21B4" w14:textId="40AC9D36"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QUNTA CN</w:t>
      </w:r>
    </w:p>
    <w:p w14:paraId="0405CD48" w14:textId="4C71B153" w:rsidR="004566FE"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1995. Who's afraid of Affirmative action: A survival guide for black professionals.</w:t>
      </w:r>
    </w:p>
    <w:p w14:paraId="6DA0E8D8"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RYCROFT AJ &amp; JORDAAN B</w:t>
      </w:r>
    </w:p>
    <w:p w14:paraId="51118E52" w14:textId="77777777" w:rsidR="004566FE" w:rsidRPr="009F38E3" w:rsidRDefault="004566FE"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1992. </w:t>
      </w:r>
      <w:r w:rsidRPr="009F38E3">
        <w:rPr>
          <w:rFonts w:ascii="Arial" w:eastAsia="Calibri" w:hAnsi="Arial" w:cs="Arial"/>
          <w:i/>
          <w:iCs/>
          <w:kern w:val="0"/>
          <w:sz w:val="24"/>
          <w:szCs w:val="24"/>
          <w14:ligatures w14:val="none"/>
        </w:rPr>
        <w:t>A guide to South African labour law</w:t>
      </w:r>
      <w:r w:rsidRPr="009F38E3">
        <w:rPr>
          <w:rFonts w:ascii="Arial" w:eastAsia="Calibri" w:hAnsi="Arial" w:cs="Arial"/>
          <w:kern w:val="0"/>
          <w:sz w:val="24"/>
          <w:szCs w:val="24"/>
          <w14:ligatures w14:val="none"/>
        </w:rPr>
        <w:t>. Juta.</w:t>
      </w:r>
    </w:p>
    <w:p w14:paraId="2454D94B"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SACHS A</w:t>
      </w:r>
    </w:p>
    <w:p w14:paraId="170E052D" w14:textId="1600FC1A" w:rsidR="001D48E4" w:rsidRPr="009F38E3" w:rsidRDefault="001D48E4"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1991. </w:t>
      </w:r>
      <w:r w:rsidRPr="009F38E3">
        <w:rPr>
          <w:rFonts w:ascii="Arial" w:eastAsia="Calibri" w:hAnsi="Arial" w:cs="Arial"/>
          <w:i/>
          <w:iCs/>
          <w:kern w:val="0"/>
          <w:sz w:val="24"/>
          <w:szCs w:val="24"/>
          <w14:ligatures w14:val="none"/>
        </w:rPr>
        <w:t>Affirmative Action and Good Government: A fresh look at constitutional mechanisms for re-distribution in South Africa</w:t>
      </w:r>
      <w:r w:rsidRPr="009F38E3">
        <w:rPr>
          <w:rFonts w:ascii="Arial" w:eastAsia="Calibri" w:hAnsi="Arial" w:cs="Arial"/>
          <w:kern w:val="0"/>
          <w:sz w:val="24"/>
          <w:szCs w:val="24"/>
          <w14:ligatures w14:val="none"/>
        </w:rPr>
        <w:t>. South Africa Constitutional Studies Centre, Institute of Commonwealth Studies, University of London.</w:t>
      </w:r>
    </w:p>
    <w:p w14:paraId="100706D2" w14:textId="77777777" w:rsidR="001D48E4" w:rsidRPr="009F38E3" w:rsidRDefault="001D48E4"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1993. Affirmative action and black advancement in business. </w:t>
      </w:r>
      <w:r w:rsidRPr="009F38E3">
        <w:rPr>
          <w:rFonts w:ascii="Arial" w:eastAsia="Calibri" w:hAnsi="Arial" w:cs="Arial"/>
          <w:i/>
          <w:iCs/>
          <w:kern w:val="0"/>
          <w:sz w:val="24"/>
          <w:szCs w:val="24"/>
          <w14:ligatures w14:val="none"/>
        </w:rPr>
        <w:t>Adams, C. Affirmative Action. Kenwyn: Juta</w:t>
      </w:r>
      <w:r w:rsidRPr="009F38E3">
        <w:rPr>
          <w:rFonts w:ascii="Arial" w:eastAsia="Calibri" w:hAnsi="Arial" w:cs="Arial"/>
          <w:kern w:val="0"/>
          <w:sz w:val="24"/>
          <w:szCs w:val="24"/>
          <w14:ligatures w14:val="none"/>
        </w:rPr>
        <w:t>:107-138.</w:t>
      </w:r>
    </w:p>
    <w:p w14:paraId="278EFE06" w14:textId="77777777" w:rsidR="00DA70E2" w:rsidRPr="009F38E3" w:rsidRDefault="00DA70E2"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2011. </w:t>
      </w:r>
      <w:r w:rsidRPr="009F38E3">
        <w:rPr>
          <w:rFonts w:ascii="Arial" w:eastAsia="Calibri" w:hAnsi="Arial" w:cs="Arial"/>
          <w:i/>
          <w:iCs/>
          <w:kern w:val="0"/>
          <w:sz w:val="24"/>
          <w:szCs w:val="24"/>
          <w14:ligatures w14:val="none"/>
        </w:rPr>
        <w:t>The strange alchemy of life and law</w:t>
      </w:r>
      <w:r w:rsidRPr="009F38E3">
        <w:rPr>
          <w:rFonts w:ascii="Arial" w:eastAsia="Calibri" w:hAnsi="Arial" w:cs="Arial"/>
          <w:kern w:val="0"/>
          <w:sz w:val="24"/>
          <w:szCs w:val="24"/>
          <w14:ligatures w14:val="none"/>
        </w:rPr>
        <w:t>. Oxford University Press.</w:t>
      </w:r>
    </w:p>
    <w:p w14:paraId="2CA75A77" w14:textId="4AF8F8E8"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SAUNDERS CC &amp; SOUTHEY N </w:t>
      </w:r>
    </w:p>
    <w:p w14:paraId="41808B8D" w14:textId="6BA2FC6C"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2001. </w:t>
      </w:r>
      <w:r w:rsidRPr="009F38E3">
        <w:rPr>
          <w:rFonts w:ascii="Arial" w:eastAsia="Calibri" w:hAnsi="Arial" w:cs="Arial"/>
          <w:i/>
          <w:iCs/>
          <w:kern w:val="0"/>
          <w:sz w:val="24"/>
          <w:szCs w:val="24"/>
          <w14:ligatures w14:val="none"/>
        </w:rPr>
        <w:t>A dictionary of South African history</w:t>
      </w:r>
      <w:r w:rsidRPr="009F38E3">
        <w:rPr>
          <w:rFonts w:ascii="Arial" w:eastAsia="Calibri" w:hAnsi="Arial" w:cs="Arial"/>
          <w:kern w:val="0"/>
          <w:sz w:val="24"/>
          <w:szCs w:val="24"/>
          <w14:ligatures w14:val="none"/>
        </w:rPr>
        <w:t>. New Africa Books.</w:t>
      </w:r>
    </w:p>
    <w:p w14:paraId="789D6AB2"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SEEKINGS J &amp; NATTRASS N </w:t>
      </w:r>
    </w:p>
    <w:p w14:paraId="298DB057" w14:textId="3ED4370E" w:rsidR="004566FE" w:rsidRPr="009F38E3" w:rsidRDefault="001D48E4"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2008. </w:t>
      </w:r>
      <w:r w:rsidRPr="009F38E3">
        <w:rPr>
          <w:rFonts w:ascii="Arial" w:eastAsia="Calibri" w:hAnsi="Arial" w:cs="Arial"/>
          <w:i/>
          <w:iCs/>
          <w:kern w:val="0"/>
          <w:sz w:val="24"/>
          <w:szCs w:val="24"/>
          <w14:ligatures w14:val="none"/>
        </w:rPr>
        <w:t>Class, race, and inequality in South Africa</w:t>
      </w:r>
      <w:r w:rsidRPr="009F38E3">
        <w:rPr>
          <w:rFonts w:ascii="Arial" w:eastAsia="Calibri" w:hAnsi="Arial" w:cs="Arial"/>
          <w:kern w:val="0"/>
          <w:sz w:val="24"/>
          <w:szCs w:val="24"/>
          <w14:ligatures w14:val="none"/>
        </w:rPr>
        <w:t>. Yale University Press.</w:t>
      </w:r>
    </w:p>
    <w:p w14:paraId="144DA19C" w14:textId="6CC7E068" w:rsidR="00BB7375" w:rsidRPr="00BB7375" w:rsidRDefault="00BB7375" w:rsidP="00BB7375">
      <w:pPr>
        <w:suppressAutoHyphens/>
        <w:autoSpaceDN w:val="0"/>
        <w:spacing w:line="360" w:lineRule="auto"/>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SELIG, JL</w:t>
      </w:r>
    </w:p>
    <w:p w14:paraId="7ECCBAC0" w14:textId="614F4D3A" w:rsidR="00BB7375" w:rsidRPr="009F38E3" w:rsidRDefault="00BB7375" w:rsidP="007553DE">
      <w:pPr>
        <w:suppressAutoHyphens/>
        <w:autoSpaceDN w:val="0"/>
        <w:spacing w:line="360" w:lineRule="auto"/>
        <w:ind w:left="454"/>
        <w:rPr>
          <w:rFonts w:ascii="Arial" w:eastAsia="Calibri" w:hAnsi="Arial" w:cs="Arial"/>
          <w:kern w:val="0"/>
          <w:sz w:val="24"/>
          <w:szCs w:val="24"/>
          <w14:ligatures w14:val="none"/>
        </w:rPr>
      </w:pPr>
      <w:r w:rsidRPr="00BB7375">
        <w:rPr>
          <w:rFonts w:ascii="Arial" w:eastAsia="Calibri" w:hAnsi="Arial" w:cs="Arial"/>
          <w:kern w:val="0"/>
          <w:sz w:val="24"/>
          <w:szCs w:val="24"/>
          <w14:ligatures w14:val="none"/>
        </w:rPr>
        <w:t>1990. Affirmative action in employment after Croson and Martin: the legacy remains intact. </w:t>
      </w:r>
      <w:r w:rsidRPr="00BB7375">
        <w:rPr>
          <w:rFonts w:ascii="Arial" w:eastAsia="Calibri" w:hAnsi="Arial" w:cs="Arial"/>
          <w:i/>
          <w:iCs/>
          <w:kern w:val="0"/>
          <w:sz w:val="24"/>
          <w:szCs w:val="24"/>
          <w14:ligatures w14:val="none"/>
        </w:rPr>
        <w:t>Temp. L. Rev.</w:t>
      </w:r>
      <w:r w:rsidRPr="00BB7375">
        <w:rPr>
          <w:rFonts w:ascii="Arial" w:eastAsia="Calibri" w:hAnsi="Arial" w:cs="Arial"/>
          <w:kern w:val="0"/>
          <w:sz w:val="24"/>
          <w:szCs w:val="24"/>
          <w14:ligatures w14:val="none"/>
        </w:rPr>
        <w:t>, </w:t>
      </w:r>
      <w:r w:rsidRPr="00BB7375">
        <w:rPr>
          <w:rFonts w:ascii="Arial" w:eastAsia="Calibri" w:hAnsi="Arial" w:cs="Arial"/>
          <w:i/>
          <w:iCs/>
          <w:kern w:val="0"/>
          <w:sz w:val="24"/>
          <w:szCs w:val="24"/>
          <w14:ligatures w14:val="none"/>
        </w:rPr>
        <w:t>63</w:t>
      </w:r>
      <w:r w:rsidRPr="00BB7375">
        <w:rPr>
          <w:rFonts w:ascii="Arial" w:eastAsia="Calibri" w:hAnsi="Arial" w:cs="Arial"/>
          <w:kern w:val="0"/>
          <w:sz w:val="24"/>
          <w:szCs w:val="24"/>
          <w14:ligatures w14:val="none"/>
        </w:rPr>
        <w:t>.</w:t>
      </w:r>
    </w:p>
    <w:p w14:paraId="7AA2D9FD" w14:textId="02D9F65B"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SEN A </w:t>
      </w:r>
    </w:p>
    <w:p w14:paraId="11977652" w14:textId="2955F2C6"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1995. </w:t>
      </w:r>
      <w:r w:rsidRPr="009F38E3">
        <w:rPr>
          <w:rFonts w:ascii="Arial" w:eastAsia="Calibri" w:hAnsi="Arial" w:cs="Arial"/>
          <w:i/>
          <w:iCs/>
          <w:kern w:val="0"/>
          <w:sz w:val="24"/>
          <w:szCs w:val="24"/>
          <w14:ligatures w14:val="none"/>
        </w:rPr>
        <w:t xml:space="preserve">Inequality </w:t>
      </w:r>
      <w:proofErr w:type="spellStart"/>
      <w:r w:rsidRPr="009F38E3">
        <w:rPr>
          <w:rFonts w:ascii="Arial" w:eastAsia="Calibri" w:hAnsi="Arial" w:cs="Arial"/>
          <w:i/>
          <w:iCs/>
          <w:kern w:val="0"/>
          <w:sz w:val="24"/>
          <w:szCs w:val="24"/>
          <w14:ligatures w14:val="none"/>
        </w:rPr>
        <w:t>reexamined</w:t>
      </w:r>
      <w:proofErr w:type="spellEnd"/>
      <w:r w:rsidRPr="009F38E3">
        <w:rPr>
          <w:rFonts w:ascii="Arial" w:eastAsia="Calibri" w:hAnsi="Arial" w:cs="Arial"/>
          <w:kern w:val="0"/>
          <w:sz w:val="24"/>
          <w:szCs w:val="24"/>
          <w14:ligatures w14:val="none"/>
        </w:rPr>
        <w:t>. Harvard university press: 23-26.</w:t>
      </w:r>
    </w:p>
    <w:p w14:paraId="3BB2B732" w14:textId="5409A8A4"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SHEPHERD A</w:t>
      </w:r>
    </w:p>
    <w:p w14:paraId="3B83A3F9" w14:textId="3A5285DC" w:rsidR="007F3FD9" w:rsidRDefault="004566FE"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1994. </w:t>
      </w:r>
      <w:r w:rsidRPr="009F38E3">
        <w:rPr>
          <w:rFonts w:ascii="Arial" w:eastAsia="Calibri" w:hAnsi="Arial" w:cs="Arial"/>
          <w:i/>
          <w:iCs/>
          <w:kern w:val="0"/>
          <w:sz w:val="24"/>
          <w:szCs w:val="24"/>
          <w14:ligatures w14:val="none"/>
        </w:rPr>
        <w:t>The land inequity</w:t>
      </w:r>
      <w:r w:rsidRPr="009F38E3">
        <w:rPr>
          <w:rFonts w:ascii="Arial" w:eastAsia="Calibri" w:hAnsi="Arial" w:cs="Arial"/>
          <w:kern w:val="0"/>
          <w:sz w:val="24"/>
          <w:szCs w:val="24"/>
          <w14:ligatures w14:val="none"/>
        </w:rPr>
        <w:t xml:space="preserve">. Africa Report, 39(1), 65, </w:t>
      </w:r>
      <w:proofErr w:type="spellStart"/>
      <w:r w:rsidRPr="009F38E3">
        <w:rPr>
          <w:rFonts w:ascii="Arial" w:eastAsia="Calibri" w:hAnsi="Arial" w:cs="Arial"/>
          <w:kern w:val="0"/>
          <w:sz w:val="24"/>
          <w:szCs w:val="24"/>
          <w14:ligatures w14:val="none"/>
        </w:rPr>
        <w:t>MasterFILE</w:t>
      </w:r>
      <w:proofErr w:type="spellEnd"/>
      <w:r w:rsidRPr="009F38E3">
        <w:rPr>
          <w:rFonts w:ascii="Arial" w:eastAsia="Calibri" w:hAnsi="Arial" w:cs="Arial"/>
          <w:kern w:val="0"/>
          <w:sz w:val="24"/>
          <w:szCs w:val="24"/>
          <w14:ligatures w14:val="none"/>
        </w:rPr>
        <w:t xml:space="preserve"> Premier, EBSCOhost.</w:t>
      </w:r>
    </w:p>
    <w:p w14:paraId="55A124E8" w14:textId="0A2B55B5"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SMITH A </w:t>
      </w:r>
    </w:p>
    <w:p w14:paraId="4C6617EB" w14:textId="5B74A95F" w:rsidR="00DA70E2" w:rsidRPr="009F38E3" w:rsidRDefault="00DA70E2"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2014. Equality constitutional adjudication in South Africa: focus: twenty years of the South African Constitution. </w:t>
      </w:r>
      <w:r w:rsidRPr="009F38E3">
        <w:rPr>
          <w:rFonts w:ascii="Arial" w:eastAsia="Calibri" w:hAnsi="Arial" w:cs="Arial"/>
          <w:i/>
          <w:iCs/>
          <w:kern w:val="0"/>
          <w:sz w:val="24"/>
          <w:szCs w:val="24"/>
          <w14:ligatures w14:val="none"/>
        </w:rPr>
        <w:t>African human rights law journal</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14</w:t>
      </w:r>
      <w:r w:rsidRPr="009F38E3">
        <w:rPr>
          <w:rFonts w:ascii="Arial" w:eastAsia="Calibri" w:hAnsi="Arial" w:cs="Arial"/>
          <w:kern w:val="0"/>
          <w:sz w:val="24"/>
          <w:szCs w:val="24"/>
          <w14:ligatures w14:val="none"/>
        </w:rPr>
        <w:t>(2): 609-632</w:t>
      </w:r>
    </w:p>
    <w:p w14:paraId="36FEE4F9" w14:textId="77777777" w:rsidR="007553DE" w:rsidRDefault="007553DE" w:rsidP="004566FE">
      <w:pPr>
        <w:suppressAutoHyphens/>
        <w:autoSpaceDN w:val="0"/>
        <w:spacing w:line="360" w:lineRule="auto"/>
        <w:rPr>
          <w:rFonts w:ascii="Arial" w:eastAsia="Calibri" w:hAnsi="Arial" w:cs="Arial"/>
          <w:kern w:val="0"/>
          <w:sz w:val="24"/>
          <w:szCs w:val="24"/>
          <w14:ligatures w14:val="none"/>
        </w:rPr>
      </w:pPr>
    </w:p>
    <w:p w14:paraId="79705061" w14:textId="0AE60FF5"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SOUTH AFRICA</w:t>
      </w:r>
      <w:r w:rsidR="00DA70E2" w:rsidRPr="009F38E3">
        <w:rPr>
          <w:rFonts w:ascii="Arial" w:eastAsia="Calibri" w:hAnsi="Arial" w:cs="Arial"/>
          <w:kern w:val="0"/>
          <w:sz w:val="24"/>
          <w:szCs w:val="24"/>
          <w14:ligatures w14:val="none"/>
        </w:rPr>
        <w:t>N</w:t>
      </w:r>
      <w:r w:rsidRPr="009F38E3">
        <w:rPr>
          <w:rFonts w:ascii="Arial" w:eastAsia="Calibri" w:hAnsi="Arial" w:cs="Arial"/>
          <w:kern w:val="0"/>
          <w:sz w:val="24"/>
          <w:szCs w:val="24"/>
          <w14:ligatures w14:val="none"/>
        </w:rPr>
        <w:t xml:space="preserve"> GOVERNMENT</w:t>
      </w:r>
    </w:p>
    <w:p w14:paraId="0014E5F8" w14:textId="3F953DE7" w:rsidR="004566FE" w:rsidRPr="009F38E3" w:rsidRDefault="004566FE"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2005. </w:t>
      </w:r>
      <w:r w:rsidRPr="009F38E3">
        <w:rPr>
          <w:rFonts w:ascii="Arial" w:eastAsia="Calibri" w:hAnsi="Arial" w:cs="Arial"/>
          <w:i/>
          <w:iCs/>
          <w:kern w:val="0"/>
          <w:sz w:val="24"/>
          <w:szCs w:val="24"/>
          <w14:ligatures w14:val="none"/>
        </w:rPr>
        <w:t>Constitution of the Republic of South Africa. Cape Town, South Africa</w:t>
      </w:r>
      <w:r w:rsidRPr="009F38E3">
        <w:rPr>
          <w:rFonts w:ascii="Arial" w:eastAsia="Calibri" w:hAnsi="Arial" w:cs="Arial"/>
          <w:kern w:val="0"/>
          <w:sz w:val="24"/>
          <w:szCs w:val="24"/>
          <w14:ligatures w14:val="none"/>
        </w:rPr>
        <w:t>: Juta &amp; Company.</w:t>
      </w:r>
    </w:p>
    <w:p w14:paraId="3C52DF88" w14:textId="54486F33" w:rsidR="004566FE" w:rsidRPr="009F38E3" w:rsidRDefault="004566FE"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1998. </w:t>
      </w:r>
      <w:r w:rsidRPr="009F38E3">
        <w:rPr>
          <w:rFonts w:ascii="Arial" w:eastAsia="Calibri" w:hAnsi="Arial" w:cs="Arial"/>
          <w:i/>
          <w:iCs/>
          <w:kern w:val="0"/>
          <w:sz w:val="24"/>
          <w:szCs w:val="24"/>
          <w14:ligatures w14:val="none"/>
        </w:rPr>
        <w:t>Employment Equity Act No. 55 of 1998. Gazette 19370, Cape Town, South Africa.</w:t>
      </w:r>
      <w:r w:rsidRPr="009F38E3">
        <w:rPr>
          <w:rFonts w:ascii="Arial" w:eastAsia="Calibri" w:hAnsi="Arial" w:cs="Arial"/>
          <w:kern w:val="0"/>
          <w:sz w:val="24"/>
          <w:szCs w:val="24"/>
          <w14:ligatures w14:val="none"/>
        </w:rPr>
        <w:t xml:space="preserve"> Retrieved from https://www.labour.gov.za /legislation/codes-of-good-practice/employment-equity /code-of-good-practice-on-key-aspects-of-</w:t>
      </w:r>
      <w:proofErr w:type="spellStart"/>
      <w:r w:rsidRPr="009F38E3">
        <w:rPr>
          <w:rFonts w:ascii="Arial" w:eastAsia="Calibri" w:hAnsi="Arial" w:cs="Arial"/>
          <w:kern w:val="0"/>
          <w:sz w:val="24"/>
          <w:szCs w:val="24"/>
          <w14:ligatures w14:val="none"/>
        </w:rPr>
        <w:t>hiv</w:t>
      </w:r>
      <w:proofErr w:type="spellEnd"/>
      <w:r w:rsidRPr="009F38E3">
        <w:rPr>
          <w:rFonts w:ascii="Arial" w:eastAsia="Calibri" w:hAnsi="Arial" w:cs="Arial"/>
          <w:kern w:val="0"/>
          <w:sz w:val="24"/>
          <w:szCs w:val="24"/>
          <w14:ligatures w14:val="none"/>
        </w:rPr>
        <w:t>-aids -and-employment.</w:t>
      </w:r>
    </w:p>
    <w:p w14:paraId="237EA4B1"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SOUTH AFRICAN HUMAN COMMISSION </w:t>
      </w:r>
    </w:p>
    <w:p w14:paraId="258CBEC0" w14:textId="25929547" w:rsidR="00DA70E2" w:rsidRPr="009F38E3" w:rsidRDefault="00DA70E2"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2017.</w:t>
      </w:r>
      <w:r w:rsidRPr="009F38E3">
        <w:rPr>
          <w:rFonts w:ascii="Arial" w:eastAsia="Calibri" w:hAnsi="Arial" w:cs="Arial"/>
          <w:i/>
          <w:iCs/>
          <w:kern w:val="0"/>
          <w:sz w:val="24"/>
          <w:szCs w:val="24"/>
          <w14:ligatures w14:val="none"/>
        </w:rPr>
        <w:t>Achieving substantive economic equality through rights-based radical socio-economic transformation in South Africa</w:t>
      </w:r>
      <w:r w:rsidRPr="009F38E3">
        <w:rPr>
          <w:rFonts w:ascii="Arial" w:eastAsia="Calibri" w:hAnsi="Arial" w:cs="Arial"/>
          <w:kern w:val="0"/>
          <w:sz w:val="24"/>
          <w:szCs w:val="24"/>
          <w14:ligatures w14:val="none"/>
        </w:rPr>
        <w:t>, Equality Report: 29.</w:t>
      </w:r>
    </w:p>
    <w:p w14:paraId="00DAD188" w14:textId="03B0828B"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SOUTH AFRICAN LAW COMMISSION </w:t>
      </w:r>
    </w:p>
    <w:p w14:paraId="65A501F4" w14:textId="77777777" w:rsidR="001D48E4" w:rsidRPr="009F38E3" w:rsidRDefault="001D48E4"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1989. Project 58 Group and human rights working paper 25. </w:t>
      </w:r>
      <w:r w:rsidRPr="009F38E3">
        <w:rPr>
          <w:rFonts w:ascii="Arial" w:eastAsia="Calibri" w:hAnsi="Arial" w:cs="Arial"/>
          <w:i/>
          <w:iCs/>
          <w:kern w:val="0"/>
          <w:sz w:val="24"/>
          <w:szCs w:val="24"/>
          <w14:ligatures w14:val="none"/>
        </w:rPr>
        <w:t>Pretoria, South Africa: South Africa Law Commission</w:t>
      </w:r>
      <w:r w:rsidRPr="009F38E3">
        <w:rPr>
          <w:rFonts w:ascii="Arial" w:eastAsia="Calibri" w:hAnsi="Arial" w:cs="Arial"/>
          <w:kern w:val="0"/>
          <w:sz w:val="24"/>
          <w:szCs w:val="24"/>
          <w14:ligatures w14:val="none"/>
        </w:rPr>
        <w:t>”.</w:t>
      </w:r>
    </w:p>
    <w:p w14:paraId="36AB56AD" w14:textId="77777777" w:rsidR="001D48E4" w:rsidRPr="009F38E3" w:rsidRDefault="001D48E4"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1991. </w:t>
      </w:r>
      <w:r w:rsidRPr="009F38E3">
        <w:rPr>
          <w:rFonts w:ascii="Arial" w:eastAsia="Calibri" w:hAnsi="Arial" w:cs="Arial"/>
          <w:i/>
          <w:iCs/>
          <w:kern w:val="0"/>
          <w:sz w:val="24"/>
          <w:szCs w:val="24"/>
          <w14:ligatures w14:val="none"/>
        </w:rPr>
        <w:t>Group and Human Rights: Interim Report</w:t>
      </w:r>
      <w:r w:rsidRPr="009F38E3">
        <w:rPr>
          <w:rFonts w:ascii="Arial" w:eastAsia="Calibri" w:hAnsi="Arial" w:cs="Arial"/>
          <w:kern w:val="0"/>
          <w:sz w:val="24"/>
          <w:szCs w:val="24"/>
          <w14:ligatures w14:val="none"/>
        </w:rPr>
        <w:t> (Vol. 58). The Commission.</w:t>
      </w:r>
    </w:p>
    <w:p w14:paraId="4BC2E6D8" w14:textId="77777777" w:rsidR="001D48E4" w:rsidRPr="009F38E3" w:rsidRDefault="001D48E4"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1994. </w:t>
      </w:r>
      <w:r w:rsidRPr="009F38E3">
        <w:rPr>
          <w:rFonts w:ascii="Arial" w:eastAsia="Calibri" w:hAnsi="Arial" w:cs="Arial"/>
          <w:i/>
          <w:iCs/>
          <w:kern w:val="0"/>
          <w:sz w:val="24"/>
          <w:szCs w:val="24"/>
          <w14:ligatures w14:val="none"/>
        </w:rPr>
        <w:t>Group and human rights</w:t>
      </w:r>
      <w:r w:rsidRPr="009F38E3">
        <w:rPr>
          <w:rFonts w:ascii="Arial" w:eastAsia="Calibri" w:hAnsi="Arial" w:cs="Arial"/>
          <w:kern w:val="0"/>
          <w:sz w:val="24"/>
          <w:szCs w:val="24"/>
          <w14:ligatures w14:val="none"/>
        </w:rPr>
        <w:t> (Vol. 58). The Commission.</w:t>
      </w:r>
    </w:p>
    <w:p w14:paraId="23F0648A" w14:textId="77777777" w:rsidR="00DA70E2" w:rsidRPr="009F38E3" w:rsidRDefault="00DA70E2" w:rsidP="00DA70E2">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SPARKS A</w:t>
      </w:r>
    </w:p>
    <w:p w14:paraId="012FDAFA" w14:textId="38D42EFE" w:rsidR="00DA70E2" w:rsidRPr="009F38E3" w:rsidRDefault="00DA70E2" w:rsidP="007553DE">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1995. Tomorrow is another country: The inside story of South Africa’s negotiated settlement. </w:t>
      </w:r>
      <w:r w:rsidRPr="009F38E3">
        <w:rPr>
          <w:rFonts w:ascii="Arial" w:eastAsia="Calibri" w:hAnsi="Arial" w:cs="Arial"/>
          <w:i/>
          <w:iCs/>
          <w:kern w:val="0"/>
          <w:sz w:val="24"/>
          <w:szCs w:val="24"/>
          <w14:ligatures w14:val="none"/>
        </w:rPr>
        <w:t>Johannesburg: Jonathan Ball Publishers</w:t>
      </w:r>
      <w:r w:rsidRPr="009F38E3">
        <w:rPr>
          <w:rFonts w:ascii="Arial" w:eastAsia="Calibri" w:hAnsi="Arial" w:cs="Arial"/>
          <w:kern w:val="0"/>
          <w:sz w:val="24"/>
          <w:szCs w:val="24"/>
          <w14:ligatures w14:val="none"/>
        </w:rPr>
        <w:t>.</w:t>
      </w:r>
    </w:p>
    <w:p w14:paraId="445F55DC" w14:textId="34DF90A8"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TERREBLANCHE SJ</w:t>
      </w:r>
    </w:p>
    <w:p w14:paraId="186DA101" w14:textId="77777777" w:rsidR="001D48E4" w:rsidRPr="009F38E3" w:rsidRDefault="001D48E4"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2002. A history of inequality in South Africa, 1652-2002.</w:t>
      </w:r>
    </w:p>
    <w:p w14:paraId="40C6732A"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THOMPSON L </w:t>
      </w:r>
    </w:p>
    <w:p w14:paraId="183CD6E5" w14:textId="240B6BF8" w:rsidR="001D48E4" w:rsidRPr="009F38E3" w:rsidRDefault="001D48E4" w:rsidP="007F3FD9">
      <w:pPr>
        <w:suppressAutoHyphens/>
        <w:autoSpaceDN w:val="0"/>
        <w:spacing w:line="360" w:lineRule="auto"/>
        <w:ind w:firstLine="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2001. </w:t>
      </w:r>
      <w:r w:rsidRPr="009F38E3">
        <w:rPr>
          <w:rFonts w:ascii="Arial" w:eastAsia="Calibri" w:hAnsi="Arial" w:cs="Arial"/>
          <w:i/>
          <w:iCs/>
          <w:kern w:val="0"/>
          <w:sz w:val="24"/>
          <w:szCs w:val="24"/>
          <w14:ligatures w14:val="none"/>
        </w:rPr>
        <w:t>A History of South Africa</w:t>
      </w:r>
      <w:r w:rsidRPr="009F38E3">
        <w:rPr>
          <w:rFonts w:ascii="Arial" w:eastAsia="Calibri" w:hAnsi="Arial" w:cs="Arial"/>
          <w:kern w:val="0"/>
          <w:sz w:val="24"/>
          <w:szCs w:val="24"/>
          <w14:ligatures w14:val="none"/>
        </w:rPr>
        <w:t>. Ball:253-254.</w:t>
      </w:r>
    </w:p>
    <w:p w14:paraId="710CD15A"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THOMPSON C, BENJAMIN P &amp; DE KOCK A</w:t>
      </w:r>
    </w:p>
    <w:p w14:paraId="00E6C86D" w14:textId="3B6568EB" w:rsidR="001D48E4" w:rsidRPr="009F38E3" w:rsidRDefault="001D48E4"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1965. </w:t>
      </w:r>
      <w:r w:rsidRPr="009F38E3">
        <w:rPr>
          <w:rFonts w:ascii="Arial" w:eastAsia="Calibri" w:hAnsi="Arial" w:cs="Arial"/>
          <w:i/>
          <w:iCs/>
          <w:kern w:val="0"/>
          <w:sz w:val="24"/>
          <w:szCs w:val="24"/>
          <w14:ligatures w14:val="none"/>
        </w:rPr>
        <w:t>South African Labour Law:(formerly De Kock's Industrial Laws of South Africa)</w:t>
      </w:r>
      <w:r w:rsidRPr="009F38E3">
        <w:rPr>
          <w:rFonts w:ascii="Arial" w:eastAsia="Calibri" w:hAnsi="Arial" w:cs="Arial"/>
          <w:kern w:val="0"/>
          <w:sz w:val="24"/>
          <w:szCs w:val="24"/>
          <w14:ligatures w14:val="none"/>
        </w:rPr>
        <w:t>. Juta.</w:t>
      </w:r>
    </w:p>
    <w:p w14:paraId="30A3C169" w14:textId="77777777" w:rsidR="001D48E4" w:rsidRPr="009F38E3" w:rsidRDefault="001D48E4" w:rsidP="001D48E4">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TRAPIDO S</w:t>
      </w:r>
    </w:p>
    <w:p w14:paraId="52563361" w14:textId="1C712356" w:rsidR="004566FE" w:rsidRPr="009F38E3" w:rsidRDefault="001D48E4"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2008. </w:t>
      </w:r>
      <w:r w:rsidRPr="009F38E3">
        <w:rPr>
          <w:rFonts w:ascii="Arial" w:eastAsia="Calibri" w:hAnsi="Arial" w:cs="Arial"/>
          <w:i/>
          <w:iCs/>
          <w:kern w:val="0"/>
          <w:sz w:val="24"/>
          <w:szCs w:val="24"/>
          <w14:ligatures w14:val="none"/>
        </w:rPr>
        <w:t>White Conflict and Non-White Participation in the Politics of the Cape of Good Hope</w:t>
      </w:r>
      <w:r w:rsidRPr="009F38E3">
        <w:rPr>
          <w:rFonts w:ascii="Arial" w:eastAsia="Calibri" w:hAnsi="Arial" w:cs="Arial"/>
          <w:kern w:val="0"/>
          <w:sz w:val="24"/>
          <w:szCs w:val="24"/>
          <w14:ligatures w14:val="none"/>
        </w:rPr>
        <w:t> (Doctoral dissertation, PhD dissertation, University of London, 1970), 195.</w:t>
      </w:r>
    </w:p>
    <w:p w14:paraId="4FFDFB4F"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UNSEC </w:t>
      </w:r>
    </w:p>
    <w:p w14:paraId="5D9EF531" w14:textId="77777777" w:rsidR="004566FE" w:rsidRPr="009F38E3" w:rsidRDefault="004566FE"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2009. Final Report </w:t>
      </w:r>
      <w:r w:rsidRPr="009F38E3">
        <w:rPr>
          <w:rFonts w:ascii="Arial" w:eastAsia="Calibri" w:hAnsi="Arial" w:cs="Arial"/>
          <w:i/>
          <w:iCs/>
          <w:kern w:val="0"/>
          <w:sz w:val="24"/>
          <w:szCs w:val="24"/>
          <w14:ligatures w14:val="none"/>
        </w:rPr>
        <w:t>Prevention of Discrimination.</w:t>
      </w:r>
    </w:p>
    <w:p w14:paraId="3CF900A4" w14:textId="77777777" w:rsidR="002F6C7E" w:rsidRPr="009F38E3" w:rsidRDefault="002F6C7E" w:rsidP="002F6C7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UNISA </w:t>
      </w:r>
    </w:p>
    <w:p w14:paraId="36313D6E" w14:textId="2F7E5434" w:rsidR="004566FE" w:rsidRPr="009F38E3" w:rsidRDefault="002F6C7E"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2006. Chapter Six The Regulation Of Affirmative Action And Discrimination In Sa.</w:t>
      </w:r>
      <w:hyperlink r:id="rId13" w:history="1">
        <w:r w:rsidRPr="009F38E3">
          <w:rPr>
            <w:rStyle w:val="Hyperlink"/>
            <w:rFonts w:ascii="Arial" w:eastAsia="Calibri" w:hAnsi="Arial" w:cs="Arial"/>
            <w:kern w:val="0"/>
            <w:sz w:val="24"/>
            <w:szCs w:val="24"/>
            <w14:ligatures w14:val="none"/>
          </w:rPr>
          <w:t>https://uir.unisa.ac.za/bitstream/handle/10500/2012/07chapter6.pdf</w:t>
        </w:r>
      </w:hyperlink>
      <w:r w:rsidRPr="009F38E3">
        <w:rPr>
          <w:rFonts w:ascii="Arial" w:eastAsia="Calibri" w:hAnsi="Arial" w:cs="Arial"/>
          <w:kern w:val="0"/>
          <w:sz w:val="24"/>
          <w:szCs w:val="24"/>
          <w14:ligatures w14:val="none"/>
        </w:rPr>
        <w:t xml:space="preserve"> (accessed on 08 November 2006).</w:t>
      </w:r>
    </w:p>
    <w:p w14:paraId="1A0E7CA1"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lastRenderedPageBreak/>
        <w:t>VAN NIEKERK P</w:t>
      </w:r>
    </w:p>
    <w:p w14:paraId="38CFF3E5" w14:textId="242906F3" w:rsidR="004566FE" w:rsidRPr="009F38E3" w:rsidRDefault="004566FE"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1990. Categories of fundamental rights and constitutional reform in South Africa. </w:t>
      </w:r>
      <w:r w:rsidRPr="009F38E3">
        <w:rPr>
          <w:rFonts w:ascii="Arial" w:eastAsia="Calibri" w:hAnsi="Arial" w:cs="Arial"/>
          <w:i/>
          <w:iCs/>
          <w:kern w:val="0"/>
          <w:sz w:val="24"/>
          <w:szCs w:val="24"/>
          <w14:ligatures w14:val="none"/>
        </w:rPr>
        <w:t xml:space="preserve">SA </w:t>
      </w:r>
      <w:proofErr w:type="spellStart"/>
      <w:r w:rsidRPr="009F38E3">
        <w:rPr>
          <w:rFonts w:ascii="Arial" w:eastAsia="Calibri" w:hAnsi="Arial" w:cs="Arial"/>
          <w:i/>
          <w:iCs/>
          <w:kern w:val="0"/>
          <w:sz w:val="24"/>
          <w:szCs w:val="24"/>
          <w14:ligatures w14:val="none"/>
        </w:rPr>
        <w:t>Publiekreg</w:t>
      </w:r>
      <w:proofErr w:type="spellEnd"/>
      <w:r w:rsidRPr="009F38E3">
        <w:rPr>
          <w:rFonts w:ascii="Arial" w:eastAsia="Calibri" w:hAnsi="Arial" w:cs="Arial"/>
          <w:i/>
          <w:iCs/>
          <w:kern w:val="0"/>
          <w:sz w:val="24"/>
          <w:szCs w:val="24"/>
          <w14:ligatures w14:val="none"/>
        </w:rPr>
        <w:t>= SA Public Law</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5</w:t>
      </w:r>
      <w:r w:rsidRPr="009F38E3">
        <w:rPr>
          <w:rFonts w:ascii="Arial" w:eastAsia="Calibri" w:hAnsi="Arial" w:cs="Arial"/>
          <w:kern w:val="0"/>
          <w:sz w:val="24"/>
          <w:szCs w:val="24"/>
          <w14:ligatures w14:val="none"/>
        </w:rPr>
        <w:t>(1)</w:t>
      </w:r>
      <w:r w:rsidR="004D15A2" w:rsidRPr="009F38E3">
        <w:rPr>
          <w:rFonts w:ascii="Arial" w:eastAsia="Calibri" w:hAnsi="Arial" w:cs="Arial"/>
          <w:kern w:val="0"/>
          <w:sz w:val="24"/>
          <w:szCs w:val="24"/>
          <w14:ligatures w14:val="none"/>
        </w:rPr>
        <w:t>:</w:t>
      </w:r>
      <w:r w:rsidRPr="009F38E3">
        <w:rPr>
          <w:rFonts w:ascii="Arial" w:eastAsia="Calibri" w:hAnsi="Arial" w:cs="Arial"/>
          <w:kern w:val="0"/>
          <w:sz w:val="24"/>
          <w:szCs w:val="24"/>
          <w14:ligatures w14:val="none"/>
        </w:rPr>
        <w:t>80-90.</w:t>
      </w:r>
    </w:p>
    <w:p w14:paraId="5E8155FD" w14:textId="77777777" w:rsidR="000A48D6" w:rsidRPr="009F38E3" w:rsidRDefault="002F6C7E" w:rsidP="002F6C7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VAN NIEKERK A, SMIT N, CHRISTIANSON M A, MCGREGOR M &amp; VAN ECK B P S</w:t>
      </w:r>
      <w:r w:rsidR="000A48D6" w:rsidRPr="009F38E3">
        <w:rPr>
          <w:rFonts w:ascii="Arial" w:eastAsia="Calibri" w:hAnsi="Arial" w:cs="Arial"/>
          <w:kern w:val="0"/>
          <w:sz w:val="24"/>
          <w:szCs w:val="24"/>
          <w14:ligatures w14:val="none"/>
        </w:rPr>
        <w:t xml:space="preserve"> </w:t>
      </w:r>
    </w:p>
    <w:p w14:paraId="6AC924FB" w14:textId="1500E5EC" w:rsidR="002F6C7E" w:rsidRPr="009F38E3" w:rsidRDefault="002F6C7E" w:rsidP="007F3FD9">
      <w:pPr>
        <w:suppressAutoHyphens/>
        <w:autoSpaceDN w:val="0"/>
        <w:spacing w:line="360" w:lineRule="auto"/>
        <w:ind w:firstLine="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Law@ work (2019). </w:t>
      </w:r>
      <w:r w:rsidRPr="009F38E3">
        <w:rPr>
          <w:rFonts w:ascii="Arial" w:eastAsia="Calibri" w:hAnsi="Arial" w:cs="Arial"/>
          <w:i/>
          <w:iCs/>
          <w:kern w:val="0"/>
          <w:sz w:val="24"/>
          <w:szCs w:val="24"/>
          <w14:ligatures w14:val="none"/>
        </w:rPr>
        <w:t>Durban: LexisNexis</w:t>
      </w:r>
      <w:r w:rsidRPr="009F38E3">
        <w:rPr>
          <w:rFonts w:ascii="Arial" w:eastAsia="Calibri" w:hAnsi="Arial" w:cs="Arial"/>
          <w:kern w:val="0"/>
          <w:sz w:val="24"/>
          <w:szCs w:val="24"/>
          <w14:ligatures w14:val="none"/>
        </w:rPr>
        <w:t>: 98-104.</w:t>
      </w:r>
    </w:p>
    <w:p w14:paraId="419CA7F2" w14:textId="77777777" w:rsidR="002F6C7E" w:rsidRPr="009F38E3" w:rsidRDefault="002F6C7E" w:rsidP="002F6C7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VISSER W </w:t>
      </w:r>
    </w:p>
    <w:p w14:paraId="31E3C502" w14:textId="77777777" w:rsidR="002F6C7E" w:rsidRPr="009F38E3" w:rsidRDefault="002F6C7E" w:rsidP="000A48D6">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2006. Hyslop, Jonathan. The Notorious Syndicalist. JT Bain–A Scottish Rebel in Colonial South Africa. Jacana Media, Johannesburg 2004.</w:t>
      </w:r>
    </w:p>
    <w:p w14:paraId="0A09AC41" w14:textId="77777777" w:rsidR="002F6C7E" w:rsidRPr="009F38E3" w:rsidRDefault="002F6C7E" w:rsidP="002F6C7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VAN DER HORST S T </w:t>
      </w:r>
    </w:p>
    <w:p w14:paraId="1CCC7601" w14:textId="4F09368B" w:rsidR="004566FE" w:rsidRPr="009F38E3" w:rsidRDefault="002F6C7E"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1942. Native Labour in South Africa.</w:t>
      </w:r>
    </w:p>
    <w:p w14:paraId="6AD7C7B9" w14:textId="77777777" w:rsidR="004566FE" w:rsidRPr="009F38E3" w:rsidRDefault="004566FE" w:rsidP="004566FE">
      <w:pPr>
        <w:suppressAutoHyphens/>
        <w:autoSpaceDN w:val="0"/>
        <w:spacing w:line="360" w:lineRule="auto"/>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WENTHOLT K</w:t>
      </w:r>
    </w:p>
    <w:p w14:paraId="7315E95C" w14:textId="77777777" w:rsidR="004566FE" w:rsidRPr="009F38E3" w:rsidRDefault="004566FE" w:rsidP="007F3FD9">
      <w:pPr>
        <w:suppressAutoHyphens/>
        <w:autoSpaceDN w:val="0"/>
        <w:spacing w:line="360" w:lineRule="auto"/>
        <w:ind w:left="454"/>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1999. </w:t>
      </w:r>
      <w:r w:rsidRPr="009F38E3">
        <w:rPr>
          <w:rFonts w:ascii="Arial" w:eastAsia="Calibri" w:hAnsi="Arial" w:cs="Arial"/>
          <w:i/>
          <w:iCs/>
          <w:kern w:val="0"/>
          <w:sz w:val="24"/>
          <w:szCs w:val="24"/>
          <w14:ligatures w14:val="none"/>
        </w:rPr>
        <w:t>Formal and Substantive Equal Treatment: the limitations and the Potential of the Legal Concept of Equality</w:t>
      </w:r>
      <w:r w:rsidRPr="009F38E3">
        <w:rPr>
          <w:rFonts w:ascii="Arial" w:eastAsia="Calibri" w:hAnsi="Arial" w:cs="Arial"/>
          <w:kern w:val="0"/>
          <w:sz w:val="24"/>
          <w:szCs w:val="24"/>
          <w14:ligatures w14:val="none"/>
        </w:rPr>
        <w:t>. In </w:t>
      </w:r>
      <w:r w:rsidRPr="009F38E3">
        <w:rPr>
          <w:rFonts w:ascii="Arial" w:eastAsia="Calibri" w:hAnsi="Arial" w:cs="Arial"/>
          <w:i/>
          <w:iCs/>
          <w:kern w:val="0"/>
          <w:sz w:val="24"/>
          <w:szCs w:val="24"/>
          <w14:ligatures w14:val="none"/>
        </w:rPr>
        <w:t>Non-discrimination law: comparative perspectives</w:t>
      </w:r>
      <w:r w:rsidRPr="009F38E3">
        <w:rPr>
          <w:rFonts w:ascii="Arial" w:eastAsia="Calibri" w:hAnsi="Arial" w:cs="Arial"/>
          <w:kern w:val="0"/>
          <w:sz w:val="24"/>
          <w:szCs w:val="24"/>
          <w14:ligatures w14:val="none"/>
        </w:rPr>
        <w:t xml:space="preserve"> (pp. 53-64). Brill </w:t>
      </w:r>
      <w:proofErr w:type="spellStart"/>
      <w:r w:rsidRPr="009F38E3">
        <w:rPr>
          <w:rFonts w:ascii="Arial" w:eastAsia="Calibri" w:hAnsi="Arial" w:cs="Arial"/>
          <w:kern w:val="0"/>
          <w:sz w:val="24"/>
          <w:szCs w:val="24"/>
          <w14:ligatures w14:val="none"/>
        </w:rPr>
        <w:t>Nijhoff</w:t>
      </w:r>
      <w:proofErr w:type="spellEnd"/>
      <w:r w:rsidRPr="009F38E3">
        <w:rPr>
          <w:rFonts w:ascii="Arial" w:eastAsia="Calibri" w:hAnsi="Arial" w:cs="Arial"/>
          <w:kern w:val="0"/>
          <w:sz w:val="24"/>
          <w:szCs w:val="24"/>
          <w14:ligatures w14:val="none"/>
        </w:rPr>
        <w:t>.</w:t>
      </w:r>
    </w:p>
    <w:p w14:paraId="48B65B49" w14:textId="77777777" w:rsidR="001F057D" w:rsidRPr="009F38E3" w:rsidRDefault="001F057D" w:rsidP="001F057D">
      <w:pPr>
        <w:suppressAutoHyphens/>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WESTEN P</w:t>
      </w:r>
    </w:p>
    <w:p w14:paraId="16D8DFE1" w14:textId="77777777" w:rsidR="001F057D" w:rsidRPr="009F38E3" w:rsidRDefault="001F057D" w:rsidP="000A48D6">
      <w:pPr>
        <w:suppressAutoHyphens/>
        <w:autoSpaceDN w:val="0"/>
        <w:spacing w:line="360" w:lineRule="auto"/>
        <w:ind w:left="454"/>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1982. The empty idea of equality. </w:t>
      </w:r>
      <w:r w:rsidRPr="009F38E3">
        <w:rPr>
          <w:rFonts w:ascii="Arial" w:eastAsia="Calibri" w:hAnsi="Arial" w:cs="Arial"/>
          <w:i/>
          <w:iCs/>
          <w:kern w:val="0"/>
          <w:sz w:val="24"/>
          <w:szCs w:val="24"/>
          <w14:ligatures w14:val="none"/>
        </w:rPr>
        <w:t>Harvard Law Review</w:t>
      </w:r>
      <w:r w:rsidRPr="009F38E3">
        <w:rPr>
          <w:rFonts w:ascii="Arial" w:eastAsia="Calibri" w:hAnsi="Arial" w:cs="Arial"/>
          <w:kern w:val="0"/>
          <w:sz w:val="24"/>
          <w:szCs w:val="24"/>
          <w14:ligatures w14:val="none"/>
        </w:rPr>
        <w:t>: 537-596.</w:t>
      </w:r>
    </w:p>
    <w:p w14:paraId="4568EE05" w14:textId="77777777" w:rsidR="001F057D" w:rsidRPr="009F38E3" w:rsidRDefault="001F057D" w:rsidP="001F057D">
      <w:pPr>
        <w:suppressAutoHyphens/>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 xml:space="preserve">WOOLMAN S </w:t>
      </w:r>
    </w:p>
    <w:p w14:paraId="2F46C312" w14:textId="57CF8409" w:rsidR="001F057D" w:rsidRPr="009F38E3" w:rsidRDefault="001F057D" w:rsidP="007F3FD9">
      <w:pPr>
        <w:suppressAutoHyphens/>
        <w:autoSpaceDN w:val="0"/>
        <w:spacing w:line="360" w:lineRule="auto"/>
        <w:ind w:left="454"/>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2017. Constitutional Law of South Africa.</w:t>
      </w:r>
    </w:p>
    <w:p w14:paraId="1C810A60" w14:textId="779F2476" w:rsidR="002F6C7E" w:rsidRPr="009F38E3" w:rsidRDefault="002F6C7E" w:rsidP="002F6C7E">
      <w:pPr>
        <w:suppressAutoHyphens/>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WORDEN N</w:t>
      </w:r>
    </w:p>
    <w:p w14:paraId="1D77B881" w14:textId="77777777" w:rsidR="002F6C7E" w:rsidRPr="009F38E3" w:rsidRDefault="002F6C7E" w:rsidP="000A48D6">
      <w:pPr>
        <w:suppressAutoHyphens/>
        <w:autoSpaceDN w:val="0"/>
        <w:spacing w:line="360" w:lineRule="auto"/>
        <w:ind w:left="454"/>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1985. </w:t>
      </w:r>
      <w:r w:rsidRPr="009F38E3">
        <w:rPr>
          <w:rFonts w:ascii="Arial" w:eastAsia="Calibri" w:hAnsi="Arial" w:cs="Arial"/>
          <w:i/>
          <w:iCs/>
          <w:kern w:val="0"/>
          <w:sz w:val="24"/>
          <w:szCs w:val="24"/>
          <w14:ligatures w14:val="none"/>
        </w:rPr>
        <w:t>Slavery in Dutch South Africa</w:t>
      </w:r>
      <w:r w:rsidRPr="009F38E3">
        <w:rPr>
          <w:rFonts w:ascii="Arial" w:eastAsia="Calibri" w:hAnsi="Arial" w:cs="Arial"/>
          <w:kern w:val="0"/>
          <w:sz w:val="24"/>
          <w:szCs w:val="24"/>
          <w14:ligatures w14:val="none"/>
        </w:rPr>
        <w:t> (Vol. 44). Cambridge University Press.</w:t>
      </w:r>
    </w:p>
    <w:p w14:paraId="05A19153" w14:textId="77777777" w:rsidR="002F6C7E" w:rsidRPr="009F38E3" w:rsidRDefault="002F6C7E" w:rsidP="000A48D6">
      <w:pPr>
        <w:suppressAutoHyphens/>
        <w:autoSpaceDN w:val="0"/>
        <w:spacing w:line="360" w:lineRule="auto"/>
        <w:ind w:left="454"/>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1996. The Making of Modern South Africa: Conquest, Segregation and Apartheid. </w:t>
      </w:r>
      <w:r w:rsidRPr="009F38E3">
        <w:rPr>
          <w:rFonts w:ascii="Arial" w:eastAsia="Calibri" w:hAnsi="Arial" w:cs="Arial"/>
          <w:i/>
          <w:iCs/>
          <w:kern w:val="0"/>
          <w:sz w:val="24"/>
          <w:szCs w:val="24"/>
          <w14:ligatures w14:val="none"/>
        </w:rPr>
        <w:t>The English Historical Review</w:t>
      </w:r>
      <w:r w:rsidRPr="009F38E3">
        <w:rPr>
          <w:rFonts w:ascii="Arial" w:eastAsia="Calibri" w:hAnsi="Arial" w:cs="Arial"/>
          <w:kern w:val="0"/>
          <w:sz w:val="24"/>
          <w:szCs w:val="24"/>
          <w14:ligatures w14:val="none"/>
        </w:rPr>
        <w:t>, </w:t>
      </w:r>
      <w:r w:rsidRPr="009F38E3">
        <w:rPr>
          <w:rFonts w:ascii="Arial" w:eastAsia="Calibri" w:hAnsi="Arial" w:cs="Arial"/>
          <w:i/>
          <w:iCs/>
          <w:kern w:val="0"/>
          <w:sz w:val="24"/>
          <w:szCs w:val="24"/>
          <w14:ligatures w14:val="none"/>
        </w:rPr>
        <w:t>111</w:t>
      </w:r>
      <w:r w:rsidRPr="009F38E3">
        <w:rPr>
          <w:rFonts w:ascii="Arial" w:eastAsia="Calibri" w:hAnsi="Arial" w:cs="Arial"/>
          <w:kern w:val="0"/>
          <w:sz w:val="24"/>
          <w:szCs w:val="24"/>
          <w14:ligatures w14:val="none"/>
        </w:rPr>
        <w:t>(443).</w:t>
      </w:r>
    </w:p>
    <w:p w14:paraId="2250C5C4" w14:textId="77777777" w:rsidR="002F6C7E" w:rsidRPr="009F38E3" w:rsidRDefault="002F6C7E" w:rsidP="002F6C7E">
      <w:pPr>
        <w:suppressAutoHyphens/>
        <w:autoSpaceDN w:val="0"/>
        <w:spacing w:line="360" w:lineRule="auto"/>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WORGER W H</w:t>
      </w:r>
    </w:p>
    <w:p w14:paraId="0FBFB4EA" w14:textId="77777777" w:rsidR="002F6C7E" w:rsidRPr="009F38E3" w:rsidRDefault="002F6C7E" w:rsidP="000A48D6">
      <w:pPr>
        <w:suppressAutoHyphens/>
        <w:autoSpaceDN w:val="0"/>
        <w:spacing w:line="360" w:lineRule="auto"/>
        <w:ind w:left="454"/>
        <w:jc w:val="both"/>
        <w:rPr>
          <w:rFonts w:ascii="Arial" w:eastAsia="Calibri" w:hAnsi="Arial" w:cs="Arial"/>
          <w:kern w:val="0"/>
          <w:sz w:val="24"/>
          <w:szCs w:val="24"/>
          <w14:ligatures w14:val="none"/>
        </w:rPr>
      </w:pPr>
      <w:r w:rsidRPr="009F38E3">
        <w:rPr>
          <w:rFonts w:ascii="Arial" w:eastAsia="Calibri" w:hAnsi="Arial" w:cs="Arial"/>
          <w:kern w:val="0"/>
          <w:sz w:val="24"/>
          <w:szCs w:val="24"/>
          <w14:ligatures w14:val="none"/>
        </w:rPr>
        <w:t>1987. South Africa's city of diamonds: mine workers and monopoly capitalism in Kimberley, 1867-1895.</w:t>
      </w:r>
    </w:p>
    <w:p w14:paraId="0D8AF41C" w14:textId="236BF927" w:rsidR="004566FE" w:rsidRDefault="007553DE" w:rsidP="00965D37">
      <w:pPr>
        <w:pStyle w:val="Heading1"/>
        <w:rPr>
          <w:rFonts w:eastAsia="Calibri"/>
        </w:rPr>
      </w:pPr>
      <w:bookmarkStart w:id="240" w:name="_Toc189739386"/>
      <w:r>
        <w:rPr>
          <w:rFonts w:eastAsia="Calibri"/>
        </w:rPr>
        <w:lastRenderedPageBreak/>
        <w:t>Case Law</w:t>
      </w:r>
      <w:bookmarkEnd w:id="240"/>
    </w:p>
    <w:p w14:paraId="016FB0FA" w14:textId="318E501D" w:rsidR="007553DE"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Abbott v Bargaining Council for the Motor Industry (Western Cape) [1999] 1 BLLR 1 (LC)</w:t>
      </w:r>
    </w:p>
    <w:p w14:paraId="3B9B3599" w14:textId="5EE4E8E2"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Alexandre v Provincial Administration of the Western Cape Department of Health (2005) ZALC 81</w:t>
      </w:r>
    </w:p>
    <w:p w14:paraId="3A091E01" w14:textId="0184AA50" w:rsidR="00714FDD" w:rsidRDefault="00714FDD" w:rsidP="004566FE">
      <w:pPr>
        <w:suppressAutoHyphens/>
        <w:autoSpaceDN w:val="0"/>
        <w:spacing w:line="360" w:lineRule="auto"/>
        <w:jc w:val="both"/>
        <w:rPr>
          <w:rFonts w:ascii="Arial" w:eastAsia="Calibri" w:hAnsi="Arial" w:cs="Arial"/>
          <w:i/>
          <w:iCs/>
          <w:kern w:val="0"/>
          <w:sz w:val="24"/>
          <w:szCs w:val="24"/>
          <w:lang w:val="en-ZA"/>
          <w14:ligatures w14:val="none"/>
        </w:rPr>
      </w:pPr>
      <w:r w:rsidRPr="00714FDD">
        <w:rPr>
          <w:rFonts w:ascii="Arial" w:eastAsia="Calibri" w:hAnsi="Arial" w:cs="Arial"/>
          <w:i/>
          <w:iCs/>
          <w:kern w:val="0"/>
          <w:sz w:val="24"/>
          <w:szCs w:val="24"/>
          <w:lang w:val="en-ZA"/>
          <w14:ligatures w14:val="none"/>
        </w:rPr>
        <w:t xml:space="preserve">Auf Der Heyde v University of Cape Town [2001] ZALAC 5. </w:t>
      </w:r>
    </w:p>
    <w:p w14:paraId="12F53D40" w14:textId="41356FA7" w:rsidR="00E9008B" w:rsidRPr="00E9008B" w:rsidRDefault="00E9008B" w:rsidP="004566FE">
      <w:pPr>
        <w:suppressAutoHyphens/>
        <w:autoSpaceDN w:val="0"/>
        <w:spacing w:line="360" w:lineRule="auto"/>
        <w:jc w:val="both"/>
        <w:rPr>
          <w:rFonts w:ascii="Arial" w:eastAsia="Calibri" w:hAnsi="Arial" w:cs="Arial"/>
          <w:i/>
          <w:iCs/>
          <w:kern w:val="0"/>
          <w:sz w:val="24"/>
          <w:szCs w:val="24"/>
          <w:lang w:val="en-ZA"/>
          <w14:ligatures w14:val="none"/>
        </w:rPr>
      </w:pPr>
      <w:proofErr w:type="spellStart"/>
      <w:r w:rsidRPr="00E9008B">
        <w:rPr>
          <w:rFonts w:ascii="Arial" w:eastAsia="Calibri" w:hAnsi="Arial" w:cs="Arial"/>
          <w:i/>
          <w:iCs/>
          <w:kern w:val="0"/>
          <w:sz w:val="24"/>
          <w:szCs w:val="24"/>
          <w:lang w:val="en-ZA"/>
          <w14:ligatures w14:val="none"/>
        </w:rPr>
        <w:t>Bhe</w:t>
      </w:r>
      <w:proofErr w:type="spellEnd"/>
      <w:r w:rsidRPr="00E9008B">
        <w:rPr>
          <w:rFonts w:ascii="Arial" w:eastAsia="Calibri" w:hAnsi="Arial" w:cs="Arial"/>
          <w:i/>
          <w:iCs/>
          <w:kern w:val="0"/>
          <w:sz w:val="24"/>
          <w:szCs w:val="24"/>
          <w:lang w:val="en-ZA"/>
          <w14:ligatures w14:val="none"/>
        </w:rPr>
        <w:t xml:space="preserve"> and Others v Khayelitsha Magistrate and Others (CCT 49/03) [2004] ZACC 17</w:t>
      </w:r>
    </w:p>
    <w:p w14:paraId="15DC4A32" w14:textId="7E267D23" w:rsidR="00714FDD" w:rsidRDefault="00714FDD" w:rsidP="004566FE">
      <w:pPr>
        <w:suppressAutoHyphens/>
        <w:autoSpaceDN w:val="0"/>
        <w:spacing w:line="360" w:lineRule="auto"/>
        <w:jc w:val="both"/>
        <w:rPr>
          <w:rFonts w:ascii="Arial" w:eastAsia="Calibri" w:hAnsi="Arial" w:cs="Arial"/>
          <w:i/>
          <w:iCs/>
          <w:kern w:val="0"/>
          <w:sz w:val="24"/>
          <w:szCs w:val="24"/>
          <w14:ligatures w14:val="none"/>
        </w:rPr>
      </w:pPr>
      <w:r w:rsidRPr="006D180E">
        <w:rPr>
          <w:rFonts w:ascii="Arial" w:eastAsia="Calibri" w:hAnsi="Arial" w:cs="Arial"/>
          <w:i/>
          <w:iCs/>
          <w:kern w:val="0"/>
          <w:sz w:val="24"/>
          <w:szCs w:val="24"/>
          <w:lang w:val="en-US"/>
          <w14:ligatures w14:val="none"/>
        </w:rPr>
        <w:t xml:space="preserve">Brink v </w:t>
      </w:r>
      <w:proofErr w:type="spellStart"/>
      <w:r w:rsidRPr="006D180E">
        <w:rPr>
          <w:rFonts w:ascii="Arial" w:eastAsia="Calibri" w:hAnsi="Arial" w:cs="Arial"/>
          <w:i/>
          <w:iCs/>
          <w:kern w:val="0"/>
          <w:sz w:val="24"/>
          <w:szCs w:val="24"/>
          <w:lang w:val="en-US"/>
          <w14:ligatures w14:val="none"/>
        </w:rPr>
        <w:t>Kitshoff</w:t>
      </w:r>
      <w:proofErr w:type="spellEnd"/>
      <w:r w:rsidRPr="006D180E">
        <w:rPr>
          <w:rFonts w:ascii="Arial" w:eastAsia="Calibri" w:hAnsi="Arial" w:cs="Arial"/>
          <w:i/>
          <w:iCs/>
          <w:kern w:val="0"/>
          <w:sz w:val="24"/>
          <w:szCs w:val="24"/>
          <w:lang w:val="en-US"/>
          <w14:ligatures w14:val="none"/>
        </w:rPr>
        <w:t xml:space="preserve"> NO (CCT15/95) [1996] ZACC 9</w:t>
      </w:r>
    </w:p>
    <w:p w14:paraId="5B870BAC" w14:textId="59867250"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City Council of Pretoria v Walker (1998) ZACC 1</w:t>
      </w:r>
    </w:p>
    <w:p w14:paraId="5B003DD1" w14:textId="754E22FF" w:rsidR="001E4F83" w:rsidRDefault="001E4F83" w:rsidP="004566FE">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 xml:space="preserve">City of Tshwane Metropolitan Municipality v </w:t>
      </w:r>
      <w:proofErr w:type="spellStart"/>
      <w:r w:rsidRPr="001E4F83">
        <w:rPr>
          <w:rFonts w:ascii="Arial" w:eastAsia="Calibri" w:hAnsi="Arial" w:cs="Arial"/>
          <w:i/>
          <w:iCs/>
          <w:kern w:val="0"/>
          <w:sz w:val="24"/>
          <w:szCs w:val="24"/>
          <w14:ligatures w14:val="none"/>
        </w:rPr>
        <w:t>Afriforum</w:t>
      </w:r>
      <w:proofErr w:type="spellEnd"/>
      <w:r w:rsidRPr="001E4F83">
        <w:rPr>
          <w:rFonts w:ascii="Arial" w:eastAsia="Calibri" w:hAnsi="Arial" w:cs="Arial"/>
          <w:i/>
          <w:iCs/>
          <w:kern w:val="0"/>
          <w:sz w:val="24"/>
          <w:szCs w:val="24"/>
          <w14:ligatures w14:val="none"/>
        </w:rPr>
        <w:t xml:space="preserve"> and Another (157/15) [2016] ZACC 19</w:t>
      </w:r>
    </w:p>
    <w:p w14:paraId="7D450808" w14:textId="22C0D6E1"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Coetzer v Minister of Safety and Security (2003) ZALC 54</w:t>
      </w:r>
    </w:p>
    <w:p w14:paraId="7F81E672" w14:textId="6832AEBF"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Dudley v City of Cape Town (2004) 25 ILJ 305 (LC)</w:t>
      </w:r>
    </w:p>
    <w:p w14:paraId="650AAEC0" w14:textId="310586E2"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Du Preez v Minister of Justice and Constitutional Development and Others (2006) ZALC 39</w:t>
      </w:r>
    </w:p>
    <w:p w14:paraId="59D2A0E5" w14:textId="52750742" w:rsidR="001E4F83" w:rsidRDefault="001E4F83" w:rsidP="004566FE">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Durban Metropolitan Council (Parks Department) v SAMWU (1998) 7 ARB</w:t>
      </w:r>
    </w:p>
    <w:p w14:paraId="5235E2BB" w14:textId="5FAF0EAB"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Ferreira v Levin NO and Others (1996) ZACC 27</w:t>
      </w:r>
    </w:p>
    <w:p w14:paraId="3AE63942" w14:textId="11EA108D" w:rsidR="00714FDD" w:rsidRDefault="00714FDD" w:rsidP="004566FE">
      <w:pPr>
        <w:suppressAutoHyphens/>
        <w:autoSpaceDN w:val="0"/>
        <w:spacing w:line="360" w:lineRule="auto"/>
        <w:jc w:val="both"/>
        <w:rPr>
          <w:rFonts w:ascii="Arial" w:eastAsia="Calibri" w:hAnsi="Arial" w:cs="Arial"/>
          <w:i/>
          <w:iCs/>
          <w:kern w:val="0"/>
          <w:sz w:val="24"/>
          <w:szCs w:val="24"/>
          <w14:ligatures w14:val="none"/>
        </w:rPr>
      </w:pPr>
      <w:r w:rsidRPr="006D180E">
        <w:rPr>
          <w:rFonts w:ascii="Arial" w:eastAsia="Calibri" w:hAnsi="Arial" w:cs="Arial"/>
          <w:i/>
          <w:iCs/>
          <w:kern w:val="0"/>
          <w:sz w:val="24"/>
          <w:szCs w:val="24"/>
          <w:lang w:val="en-US"/>
          <w14:ligatures w14:val="none"/>
        </w:rPr>
        <w:t>Government of the Republic of South Africa and Others v Grootboom and Others (CCT11/00) [2000] ZACC 19</w:t>
      </w:r>
    </w:p>
    <w:p w14:paraId="5D4046E5" w14:textId="02420C80"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Harksen v Lane NO and Others (1997) ZACC 12</w:t>
      </w:r>
    </w:p>
    <w:p w14:paraId="18502345" w14:textId="77777777" w:rsidR="001E4F83" w:rsidRPr="001E4F83" w:rsidRDefault="001E4F83" w:rsidP="001E4F83">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Jooste v Score Supermarket Trading (Pty) Ltd </w:t>
      </w:r>
      <w:hyperlink r:id="rId14" w:tooltip="View Case" w:history="1">
        <w:r w:rsidRPr="001E4F83">
          <w:rPr>
            <w:rStyle w:val="Hyperlink"/>
            <w:rFonts w:ascii="Arial" w:eastAsia="Calibri" w:hAnsi="Arial" w:cs="Arial"/>
            <w:i/>
            <w:iCs/>
            <w:kern w:val="0"/>
            <w:sz w:val="24"/>
            <w:szCs w:val="24"/>
            <w14:ligatures w14:val="none"/>
          </w:rPr>
          <w:t>[1998] ZACC 18</w:t>
        </w:r>
      </w:hyperlink>
    </w:p>
    <w:p w14:paraId="2B6D86C7" w14:textId="75EECB0A" w:rsidR="001E4F83" w:rsidRPr="001E4F83" w:rsidRDefault="003A0828" w:rsidP="001E4F83">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Legal Aid South Africa v Jansen (2016) ZALCCT 4</w:t>
      </w:r>
    </w:p>
    <w:p w14:paraId="5EACEF84" w14:textId="51A185D3" w:rsidR="001E4F83" w:rsidRDefault="001E4F83" w:rsidP="001E4F83">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 xml:space="preserve">Lufuno </w:t>
      </w:r>
      <w:proofErr w:type="spellStart"/>
      <w:r w:rsidRPr="001E4F83">
        <w:rPr>
          <w:rFonts w:ascii="Arial" w:eastAsia="Calibri" w:hAnsi="Arial" w:cs="Arial"/>
          <w:i/>
          <w:iCs/>
          <w:kern w:val="0"/>
          <w:sz w:val="24"/>
          <w:szCs w:val="24"/>
          <w14:ligatures w14:val="none"/>
        </w:rPr>
        <w:t>Mphaphuli</w:t>
      </w:r>
      <w:proofErr w:type="spellEnd"/>
      <w:r w:rsidRPr="001E4F83">
        <w:rPr>
          <w:rFonts w:ascii="Arial" w:eastAsia="Calibri" w:hAnsi="Arial" w:cs="Arial"/>
          <w:i/>
          <w:iCs/>
          <w:kern w:val="0"/>
          <w:sz w:val="24"/>
          <w:szCs w:val="24"/>
          <w14:ligatures w14:val="none"/>
        </w:rPr>
        <w:t xml:space="preserve"> &amp; Associates (Pty) Ltd v Andrews and Another </w:t>
      </w:r>
      <w:hyperlink r:id="rId15" w:tooltip="View Case" w:history="1">
        <w:r w:rsidRPr="001E4F83">
          <w:rPr>
            <w:rStyle w:val="Hyperlink"/>
            <w:rFonts w:ascii="Arial" w:eastAsia="Calibri" w:hAnsi="Arial" w:cs="Arial"/>
            <w:i/>
            <w:iCs/>
            <w:kern w:val="0"/>
            <w:sz w:val="24"/>
            <w:szCs w:val="24"/>
            <w14:ligatures w14:val="none"/>
          </w:rPr>
          <w:t>[2009] ZACC 6</w:t>
        </w:r>
      </w:hyperlink>
    </w:p>
    <w:p w14:paraId="455FA5EC" w14:textId="2F6BB7C0" w:rsidR="001E4F83" w:rsidRDefault="001E4F83" w:rsidP="001E4F83">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 xml:space="preserve">Manitoba Rice Farmers Association v Human Rights Commission (1987), 50 </w:t>
      </w:r>
      <w:proofErr w:type="spellStart"/>
      <w:r w:rsidRPr="001E4F83">
        <w:rPr>
          <w:rFonts w:ascii="Arial" w:eastAsia="Calibri" w:hAnsi="Arial" w:cs="Arial"/>
          <w:i/>
          <w:iCs/>
          <w:kern w:val="0"/>
          <w:sz w:val="24"/>
          <w:szCs w:val="24"/>
          <w14:ligatures w14:val="none"/>
        </w:rPr>
        <w:t>Man.R</w:t>
      </w:r>
      <w:proofErr w:type="spellEnd"/>
      <w:r w:rsidRPr="001E4F83">
        <w:rPr>
          <w:rFonts w:ascii="Arial" w:eastAsia="Calibri" w:hAnsi="Arial" w:cs="Arial"/>
          <w:i/>
          <w:iCs/>
          <w:kern w:val="0"/>
          <w:sz w:val="24"/>
          <w:szCs w:val="24"/>
          <w14:ligatures w14:val="none"/>
        </w:rPr>
        <w:t>.(2d) 92(QB)</w:t>
      </w:r>
    </w:p>
    <w:p w14:paraId="09CF5921" w14:textId="01BC49E6" w:rsidR="001E4F83" w:rsidRDefault="001E4F83" w:rsidP="004566FE">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McInnes v Technikon Natal (D322/98) [2000] ZALC 152 (1 March 2000)</w:t>
      </w:r>
    </w:p>
    <w:p w14:paraId="2CD5DCD0" w14:textId="122E0054"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lastRenderedPageBreak/>
        <w:t>Minister of Finance v Van Heerden (2004) ZACC 3</w:t>
      </w:r>
    </w:p>
    <w:p w14:paraId="5BC2B124" w14:textId="5EABD94D" w:rsidR="001E4F83" w:rsidRPr="001E4F83" w:rsidRDefault="001E4F83" w:rsidP="004566FE">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MWU obo van Coller v Eskom [1998] 9 BALR 1089 (IMSSA)</w:t>
      </w:r>
    </w:p>
    <w:p w14:paraId="718A5807" w14:textId="67950A8D" w:rsidR="00E9008B" w:rsidRDefault="00E9008B" w:rsidP="004566FE">
      <w:pPr>
        <w:suppressAutoHyphens/>
        <w:autoSpaceDN w:val="0"/>
        <w:spacing w:line="360" w:lineRule="auto"/>
        <w:jc w:val="both"/>
        <w:rPr>
          <w:rFonts w:ascii="Arial" w:eastAsia="Calibri" w:hAnsi="Arial" w:cs="Arial"/>
          <w:i/>
          <w:iCs/>
          <w:kern w:val="0"/>
          <w:sz w:val="24"/>
          <w:szCs w:val="24"/>
          <w:lang w:val="en-ZA"/>
          <w14:ligatures w14:val="none"/>
        </w:rPr>
      </w:pPr>
      <w:r w:rsidRPr="00E9008B">
        <w:rPr>
          <w:rFonts w:ascii="Arial" w:eastAsia="Calibri" w:hAnsi="Arial" w:cs="Arial"/>
          <w:i/>
          <w:iCs/>
          <w:kern w:val="0"/>
          <w:sz w:val="24"/>
          <w:szCs w:val="24"/>
          <w:lang w:val="en-ZA"/>
          <w14:ligatures w14:val="none"/>
        </w:rPr>
        <w:t>National Coalition for Gay and Lesbian Equality and Another v Minister of Justice and Others (CCT11/98) [1998] ZACC 15</w:t>
      </w:r>
    </w:p>
    <w:p w14:paraId="7EF330EA" w14:textId="402693BA" w:rsidR="00714FDD" w:rsidRPr="00714FDD" w:rsidRDefault="00714FDD" w:rsidP="004566FE">
      <w:pPr>
        <w:suppressAutoHyphens/>
        <w:autoSpaceDN w:val="0"/>
        <w:spacing w:line="360" w:lineRule="auto"/>
        <w:jc w:val="both"/>
        <w:rPr>
          <w:rFonts w:ascii="Arial" w:eastAsia="Calibri" w:hAnsi="Arial" w:cs="Arial"/>
          <w:i/>
          <w:iCs/>
          <w:kern w:val="0"/>
          <w:sz w:val="24"/>
          <w:szCs w:val="24"/>
          <w14:ligatures w14:val="none"/>
        </w:rPr>
      </w:pPr>
      <w:r w:rsidRPr="00714FDD">
        <w:rPr>
          <w:rFonts w:ascii="Arial" w:eastAsia="Calibri" w:hAnsi="Arial" w:cs="Arial"/>
          <w:i/>
          <w:iCs/>
          <w:kern w:val="0"/>
          <w:sz w:val="24"/>
          <w:szCs w:val="24"/>
          <w14:ligatures w14:val="none"/>
        </w:rPr>
        <w:t>National Education Health &amp; Allied Workers Union (NEHAWU) v University of Cape Town and Others (CCT2/02) [2002] ZACC 27</w:t>
      </w:r>
    </w:p>
    <w:p w14:paraId="7842C441" w14:textId="0C9F8487" w:rsidR="001E4F83" w:rsidRPr="001E4F83" w:rsidRDefault="001E4F83" w:rsidP="001E4F83">
      <w:pPr>
        <w:suppressAutoHyphens/>
        <w:autoSpaceDN w:val="0"/>
        <w:spacing w:line="360" w:lineRule="auto"/>
        <w:jc w:val="both"/>
        <w:rPr>
          <w:rFonts w:ascii="Arial" w:eastAsia="Calibri" w:hAnsi="Arial" w:cs="Arial"/>
          <w:kern w:val="0"/>
          <w:sz w:val="24"/>
          <w:szCs w:val="24"/>
          <w14:ligatures w14:val="none"/>
        </w:rPr>
      </w:pPr>
      <w:r w:rsidRPr="001E4F83">
        <w:rPr>
          <w:rFonts w:ascii="Arial" w:eastAsia="Calibri" w:hAnsi="Arial" w:cs="Arial"/>
          <w:i/>
          <w:iCs/>
          <w:kern w:val="0"/>
          <w:sz w:val="24"/>
          <w:szCs w:val="24"/>
          <w14:ligatures w14:val="none"/>
        </w:rPr>
        <w:t xml:space="preserve">National Union of Metalworkers of SA v </w:t>
      </w:r>
      <w:proofErr w:type="spellStart"/>
      <w:r w:rsidRPr="001E4F83">
        <w:rPr>
          <w:rFonts w:ascii="Arial" w:eastAsia="Calibri" w:hAnsi="Arial" w:cs="Arial"/>
          <w:i/>
          <w:iCs/>
          <w:kern w:val="0"/>
          <w:sz w:val="24"/>
          <w:szCs w:val="24"/>
          <w14:ligatures w14:val="none"/>
        </w:rPr>
        <w:t>Vetsak</w:t>
      </w:r>
      <w:proofErr w:type="spellEnd"/>
      <w:r w:rsidRPr="001E4F83">
        <w:rPr>
          <w:rFonts w:ascii="Arial" w:eastAsia="Calibri" w:hAnsi="Arial" w:cs="Arial"/>
          <w:i/>
          <w:iCs/>
          <w:kern w:val="0"/>
          <w:sz w:val="24"/>
          <w:szCs w:val="24"/>
          <w14:ligatures w14:val="none"/>
        </w:rPr>
        <w:t xml:space="preserve"> Co-operative Ltd and Others </w:t>
      </w:r>
      <w:hyperlink r:id="rId16" w:tooltip="View Case" w:history="1">
        <w:r w:rsidRPr="001E4F83">
          <w:rPr>
            <w:rStyle w:val="Hyperlink"/>
            <w:rFonts w:ascii="Arial" w:eastAsia="Calibri" w:hAnsi="Arial" w:cs="Arial"/>
            <w:color w:val="auto"/>
            <w:kern w:val="0"/>
            <w:sz w:val="24"/>
            <w:szCs w:val="24"/>
            <w:u w:val="none"/>
            <w14:ligatures w14:val="none"/>
          </w:rPr>
          <w:t>[1996] ZASCA 69</w:t>
        </w:r>
      </w:hyperlink>
    </w:p>
    <w:p w14:paraId="20A579A6" w14:textId="233A3F6A" w:rsidR="001E4F83" w:rsidRPr="001E4F83" w:rsidRDefault="001E4F83" w:rsidP="004566FE">
      <w:pPr>
        <w:suppressAutoHyphens/>
        <w:autoSpaceDN w:val="0"/>
        <w:spacing w:line="360" w:lineRule="auto"/>
        <w:jc w:val="both"/>
        <w:rPr>
          <w:rFonts w:ascii="Arial" w:eastAsia="Calibri" w:hAnsi="Arial" w:cs="Arial"/>
          <w:i/>
          <w:iCs/>
          <w:kern w:val="0"/>
          <w:sz w:val="24"/>
          <w:szCs w:val="24"/>
          <w:lang w:val="en-US"/>
          <w14:ligatures w14:val="none"/>
        </w:rPr>
      </w:pPr>
      <w:r w:rsidRPr="001E4F83">
        <w:rPr>
          <w:rFonts w:ascii="Arial" w:eastAsia="Calibri" w:hAnsi="Arial" w:cs="Arial"/>
          <w:i/>
          <w:iCs/>
          <w:kern w:val="0"/>
          <w:sz w:val="24"/>
          <w:szCs w:val="24"/>
          <w:lang w:val="en-US"/>
          <w14:ligatures w14:val="none"/>
        </w:rPr>
        <w:t xml:space="preserve">NEHAWU obo </w:t>
      </w:r>
      <w:proofErr w:type="spellStart"/>
      <w:r w:rsidRPr="001E4F83">
        <w:rPr>
          <w:rFonts w:ascii="Arial" w:eastAsia="Calibri" w:hAnsi="Arial" w:cs="Arial"/>
          <w:i/>
          <w:iCs/>
          <w:kern w:val="0"/>
          <w:sz w:val="24"/>
          <w:szCs w:val="24"/>
          <w:lang w:val="en-US"/>
          <w14:ligatures w14:val="none"/>
        </w:rPr>
        <w:t>Manyana</w:t>
      </w:r>
      <w:proofErr w:type="spellEnd"/>
      <w:r w:rsidRPr="001E4F83">
        <w:rPr>
          <w:rFonts w:ascii="Arial" w:eastAsia="Calibri" w:hAnsi="Arial" w:cs="Arial"/>
          <w:i/>
          <w:iCs/>
          <w:kern w:val="0"/>
          <w:sz w:val="24"/>
          <w:szCs w:val="24"/>
          <w:lang w:val="en-US"/>
          <w14:ligatures w14:val="none"/>
        </w:rPr>
        <w:t xml:space="preserve"> and Another v </w:t>
      </w:r>
      <w:proofErr w:type="spellStart"/>
      <w:r w:rsidRPr="001E4F83">
        <w:rPr>
          <w:rFonts w:ascii="Arial" w:eastAsia="Calibri" w:hAnsi="Arial" w:cs="Arial"/>
          <w:i/>
          <w:iCs/>
          <w:kern w:val="0"/>
          <w:sz w:val="24"/>
          <w:szCs w:val="24"/>
          <w:lang w:val="en-US"/>
          <w14:ligatures w14:val="none"/>
        </w:rPr>
        <w:t>Masege</w:t>
      </w:r>
      <w:proofErr w:type="spellEnd"/>
      <w:r w:rsidRPr="001E4F83">
        <w:rPr>
          <w:rFonts w:ascii="Arial" w:eastAsia="Calibri" w:hAnsi="Arial" w:cs="Arial"/>
          <w:i/>
          <w:iCs/>
          <w:kern w:val="0"/>
          <w:sz w:val="24"/>
          <w:szCs w:val="24"/>
          <w:lang w:val="en-US"/>
          <w14:ligatures w14:val="none"/>
        </w:rPr>
        <w:t xml:space="preserve"> NO and Others (JR363/2012) [2014] ZALCJHB  124 (8 April 2014).</w:t>
      </w:r>
    </w:p>
    <w:p w14:paraId="5E149C30" w14:textId="4166D27A"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President of the Republic of South Africa v Hugo (1997) ZACC 4</w:t>
      </w:r>
    </w:p>
    <w:p w14:paraId="72508050" w14:textId="77777777" w:rsidR="00714FDD" w:rsidRPr="00714FDD" w:rsidRDefault="00714FDD" w:rsidP="00714FDD">
      <w:pPr>
        <w:suppressAutoHyphens/>
        <w:autoSpaceDN w:val="0"/>
        <w:spacing w:line="360" w:lineRule="auto"/>
        <w:jc w:val="both"/>
        <w:rPr>
          <w:rFonts w:ascii="Arial" w:eastAsia="Calibri" w:hAnsi="Arial" w:cs="Arial"/>
          <w:i/>
          <w:iCs/>
          <w:kern w:val="0"/>
          <w:sz w:val="24"/>
          <w:szCs w:val="24"/>
          <w14:ligatures w14:val="none"/>
        </w:rPr>
      </w:pPr>
      <w:r w:rsidRPr="00714FDD">
        <w:rPr>
          <w:rFonts w:ascii="Arial" w:eastAsia="Calibri" w:hAnsi="Arial" w:cs="Arial"/>
          <w:i/>
          <w:iCs/>
          <w:kern w:val="0"/>
          <w:sz w:val="24"/>
          <w:szCs w:val="24"/>
          <w14:ligatures w14:val="none"/>
        </w:rPr>
        <w:t>Prinsloo v Van der Linde and Another (CCT4/96) [1997] ZACC 5</w:t>
      </w:r>
    </w:p>
    <w:p w14:paraId="071A9141" w14:textId="3F89C43D" w:rsidR="00714FDD" w:rsidRPr="001E4F83" w:rsidRDefault="001E4F83" w:rsidP="004566FE">
      <w:pPr>
        <w:suppressAutoHyphens/>
        <w:autoSpaceDN w:val="0"/>
        <w:spacing w:line="360" w:lineRule="auto"/>
        <w:jc w:val="both"/>
        <w:rPr>
          <w:rFonts w:ascii="Arial" w:eastAsia="Calibri" w:hAnsi="Arial" w:cs="Arial"/>
          <w:i/>
          <w:iCs/>
          <w:kern w:val="0"/>
          <w:sz w:val="24"/>
          <w:szCs w:val="24"/>
          <w:lang w:val="en-ZA"/>
          <w14:ligatures w14:val="none"/>
        </w:rPr>
      </w:pPr>
      <w:r w:rsidRPr="001E4F83">
        <w:rPr>
          <w:rFonts w:ascii="Arial" w:eastAsia="Calibri" w:hAnsi="Arial" w:cs="Arial"/>
          <w:i/>
          <w:iCs/>
          <w:kern w:val="0"/>
          <w:sz w:val="24"/>
          <w:szCs w:val="24"/>
          <w:lang w:val="en-ZA"/>
          <w14:ligatures w14:val="none"/>
        </w:rPr>
        <w:t>Public Servants Association (PSA) obo Karriem v South African Police Services (SAPS) and Another (C435/04) [2006] ZALC 39</w:t>
      </w:r>
    </w:p>
    <w:p w14:paraId="2426C6C7" w14:textId="22FE0BE2"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Public Servants Association of South Africa and Others v Minister of Justice and Others (1997) ZACC 17</w:t>
      </w:r>
    </w:p>
    <w:p w14:paraId="2B7B46BA" w14:textId="6480D8A2"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SAPU v Minister of Safety and Security and Another (2005) ZALC 47</w:t>
      </w:r>
    </w:p>
    <w:p w14:paraId="4B38C0B7" w14:textId="5B460A84" w:rsidR="00714FDD" w:rsidRPr="00714FDD" w:rsidRDefault="00714FDD" w:rsidP="004566FE">
      <w:pPr>
        <w:suppressAutoHyphens/>
        <w:autoSpaceDN w:val="0"/>
        <w:spacing w:line="360" w:lineRule="auto"/>
        <w:jc w:val="both"/>
        <w:rPr>
          <w:rFonts w:ascii="Arial" w:eastAsia="Calibri" w:hAnsi="Arial" w:cs="Arial"/>
          <w:i/>
          <w:iCs/>
          <w:kern w:val="0"/>
          <w:sz w:val="24"/>
          <w:szCs w:val="24"/>
          <w14:ligatures w14:val="none"/>
        </w:rPr>
      </w:pPr>
      <w:r w:rsidRPr="00714FDD">
        <w:rPr>
          <w:rFonts w:ascii="Arial" w:eastAsia="Calibri" w:hAnsi="Arial" w:cs="Arial"/>
          <w:i/>
          <w:iCs/>
          <w:kern w:val="0"/>
          <w:sz w:val="24"/>
          <w:szCs w:val="24"/>
          <w14:ligatures w14:val="none"/>
        </w:rPr>
        <w:t>Scaw South Africa (Pty) Ltd v NUMSA obo Members and Others (J 296/2023) [2023] ZALCJHB 39 (</w:t>
      </w:r>
      <w:proofErr w:type="gramStart"/>
      <w:r w:rsidRPr="00714FDD">
        <w:rPr>
          <w:rFonts w:ascii="Arial" w:eastAsia="Calibri" w:hAnsi="Arial" w:cs="Arial"/>
          <w:i/>
          <w:iCs/>
          <w:kern w:val="0"/>
          <w:sz w:val="24"/>
          <w:szCs w:val="24"/>
          <w14:ligatures w14:val="none"/>
        </w:rPr>
        <w:t>9  March</w:t>
      </w:r>
      <w:proofErr w:type="gramEnd"/>
      <w:r w:rsidRPr="00714FDD">
        <w:rPr>
          <w:rFonts w:ascii="Arial" w:eastAsia="Calibri" w:hAnsi="Arial" w:cs="Arial"/>
          <w:i/>
          <w:iCs/>
          <w:kern w:val="0"/>
          <w:sz w:val="24"/>
          <w:szCs w:val="24"/>
          <w14:ligatures w14:val="none"/>
        </w:rPr>
        <w:t xml:space="preserve"> 2023).</w:t>
      </w:r>
    </w:p>
    <w:p w14:paraId="37485EB0" w14:textId="4A2BEC27" w:rsidR="00E9008B" w:rsidRPr="00E9008B" w:rsidRDefault="00E9008B" w:rsidP="004566FE">
      <w:pPr>
        <w:suppressAutoHyphens/>
        <w:autoSpaceDN w:val="0"/>
        <w:spacing w:line="360" w:lineRule="auto"/>
        <w:jc w:val="both"/>
        <w:rPr>
          <w:rFonts w:ascii="Arial" w:eastAsia="Calibri" w:hAnsi="Arial" w:cs="Arial"/>
          <w:i/>
          <w:iCs/>
          <w:kern w:val="0"/>
          <w:sz w:val="24"/>
          <w:szCs w:val="24"/>
          <w:lang w:val="en-ZA"/>
          <w14:ligatures w14:val="none"/>
        </w:rPr>
      </w:pPr>
      <w:r w:rsidRPr="00E9008B">
        <w:rPr>
          <w:rFonts w:ascii="Arial" w:eastAsia="Calibri" w:hAnsi="Arial" w:cs="Arial"/>
          <w:i/>
          <w:iCs/>
          <w:kern w:val="0"/>
          <w:sz w:val="24"/>
          <w:szCs w:val="24"/>
          <w:lang w:val="en-ZA"/>
          <w14:ligatures w14:val="none"/>
        </w:rPr>
        <w:t>Solidarity and Others v Department of Correctional Services and Others (CCT 78/15) [2016] ZACC 18</w:t>
      </w:r>
    </w:p>
    <w:p w14:paraId="42FFD2D6" w14:textId="3C97CCCA" w:rsidR="001E4F83" w:rsidRPr="001E4F83" w:rsidRDefault="001E4F83" w:rsidP="004566FE">
      <w:pPr>
        <w:suppressAutoHyphens/>
        <w:autoSpaceDN w:val="0"/>
        <w:spacing w:line="360" w:lineRule="auto"/>
        <w:jc w:val="both"/>
        <w:rPr>
          <w:rFonts w:ascii="Arial" w:eastAsia="Calibri" w:hAnsi="Arial" w:cs="Arial"/>
          <w:i/>
          <w:iCs/>
          <w:kern w:val="0"/>
          <w:sz w:val="24"/>
          <w:szCs w:val="24"/>
          <w:lang w:val="en-US"/>
          <w14:ligatures w14:val="none"/>
        </w:rPr>
      </w:pPr>
      <w:r w:rsidRPr="001E4F83">
        <w:rPr>
          <w:rFonts w:ascii="Arial" w:eastAsia="Calibri" w:hAnsi="Arial" w:cs="Arial"/>
          <w:i/>
          <w:iCs/>
          <w:kern w:val="0"/>
          <w:sz w:val="24"/>
          <w:szCs w:val="24"/>
          <w:lang w:val="en-ZA"/>
          <w14:ligatures w14:val="none"/>
        </w:rPr>
        <w:t xml:space="preserve">Solidarity on behalf of </w:t>
      </w:r>
      <w:proofErr w:type="spellStart"/>
      <w:r w:rsidRPr="001E4F83">
        <w:rPr>
          <w:rFonts w:ascii="Arial" w:eastAsia="Calibri" w:hAnsi="Arial" w:cs="Arial"/>
          <w:i/>
          <w:iCs/>
          <w:kern w:val="0"/>
          <w:sz w:val="24"/>
          <w:szCs w:val="24"/>
          <w:lang w:val="en-ZA"/>
          <w14:ligatures w14:val="none"/>
        </w:rPr>
        <w:t>Christiaans</w:t>
      </w:r>
      <w:proofErr w:type="spellEnd"/>
      <w:r w:rsidRPr="001E4F83">
        <w:rPr>
          <w:rFonts w:ascii="Arial" w:eastAsia="Calibri" w:hAnsi="Arial" w:cs="Arial"/>
          <w:i/>
          <w:iCs/>
          <w:kern w:val="0"/>
          <w:sz w:val="24"/>
          <w:szCs w:val="24"/>
          <w:lang w:val="en-ZA"/>
          <w14:ligatures w14:val="none"/>
        </w:rPr>
        <w:t xml:space="preserve"> and Eskom Holdings Ltd</w:t>
      </w:r>
      <w:r w:rsidRPr="001E4F83">
        <w:rPr>
          <w:rFonts w:ascii="Arial" w:eastAsia="Calibri" w:hAnsi="Arial" w:cs="Arial"/>
          <w:i/>
          <w:iCs/>
          <w:kern w:val="0"/>
          <w:sz w:val="24"/>
          <w:szCs w:val="24"/>
          <w:lang w:val="en-US"/>
          <w14:ligatures w14:val="none"/>
        </w:rPr>
        <w:t xml:space="preserve"> </w:t>
      </w:r>
      <w:r w:rsidRPr="001E4F83">
        <w:rPr>
          <w:rFonts w:ascii="Arial" w:eastAsia="Calibri" w:hAnsi="Arial" w:cs="Arial"/>
          <w:i/>
          <w:iCs/>
          <w:kern w:val="0"/>
          <w:sz w:val="24"/>
          <w:szCs w:val="24"/>
          <w:lang w:val="en-ZA"/>
          <w14:ligatures w14:val="none"/>
        </w:rPr>
        <w:t>(2006) 27 ILJ 1291 (ARB)</w:t>
      </w:r>
      <w:r w:rsidRPr="001E4F83">
        <w:rPr>
          <w:rFonts w:ascii="Arial" w:eastAsia="Calibri" w:hAnsi="Arial" w:cs="Arial"/>
          <w:i/>
          <w:iCs/>
          <w:kern w:val="0"/>
          <w:sz w:val="24"/>
          <w:szCs w:val="24"/>
          <w:lang w:val="en-US"/>
          <w14:ligatures w14:val="none"/>
        </w:rPr>
        <w:t>.</w:t>
      </w:r>
    </w:p>
    <w:p w14:paraId="6F406F96" w14:textId="1B025190"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r w:rsidRPr="003A0828">
        <w:rPr>
          <w:rFonts w:ascii="Arial" w:eastAsia="Calibri" w:hAnsi="Arial" w:cs="Arial"/>
          <w:i/>
          <w:iCs/>
          <w:kern w:val="0"/>
          <w:sz w:val="24"/>
          <w:szCs w:val="24"/>
          <w14:ligatures w14:val="none"/>
        </w:rPr>
        <w:t>South African Police Service v Solidarity obo Barnard (2014) ZACC 23</w:t>
      </w:r>
    </w:p>
    <w:p w14:paraId="230F3723" w14:textId="0FDB2F06" w:rsidR="00714FDD" w:rsidRDefault="00714FDD" w:rsidP="004566FE">
      <w:pPr>
        <w:suppressAutoHyphens/>
        <w:autoSpaceDN w:val="0"/>
        <w:spacing w:line="360" w:lineRule="auto"/>
        <w:jc w:val="both"/>
        <w:rPr>
          <w:rFonts w:ascii="Arial" w:eastAsia="Calibri" w:hAnsi="Arial" w:cs="Arial"/>
          <w:i/>
          <w:iCs/>
          <w:kern w:val="0"/>
          <w:sz w:val="24"/>
          <w:szCs w:val="24"/>
          <w14:ligatures w14:val="none"/>
        </w:rPr>
      </w:pPr>
      <w:r w:rsidRPr="00714FDD">
        <w:rPr>
          <w:rFonts w:ascii="Arial" w:eastAsia="Calibri" w:hAnsi="Arial" w:cs="Arial"/>
          <w:i/>
          <w:iCs/>
          <w:kern w:val="0"/>
          <w:sz w:val="24"/>
          <w:szCs w:val="24"/>
          <w14:ligatures w14:val="none"/>
        </w:rPr>
        <w:t>Standard Bank of South Africa v Commission for Conciliation, Mediation and Arbitration and Others (JR 662/06) [2007] ZALC 98</w:t>
      </w:r>
    </w:p>
    <w:p w14:paraId="3C516605" w14:textId="290E4238" w:rsidR="003A0828" w:rsidRPr="003A0828" w:rsidRDefault="003A0828" w:rsidP="004566FE">
      <w:pPr>
        <w:suppressAutoHyphens/>
        <w:autoSpaceDN w:val="0"/>
        <w:spacing w:line="360" w:lineRule="auto"/>
        <w:jc w:val="both"/>
        <w:rPr>
          <w:rFonts w:ascii="Arial" w:eastAsia="Calibri" w:hAnsi="Arial" w:cs="Arial"/>
          <w:i/>
          <w:iCs/>
          <w:kern w:val="0"/>
          <w:sz w:val="24"/>
          <w:szCs w:val="24"/>
          <w14:ligatures w14:val="none"/>
        </w:rPr>
      </w:pPr>
      <w:proofErr w:type="spellStart"/>
      <w:r w:rsidRPr="003A0828">
        <w:rPr>
          <w:rFonts w:ascii="Arial" w:eastAsia="Calibri" w:hAnsi="Arial" w:cs="Arial"/>
          <w:i/>
          <w:iCs/>
          <w:kern w:val="0"/>
          <w:sz w:val="24"/>
          <w:szCs w:val="24"/>
          <w14:ligatures w14:val="none"/>
        </w:rPr>
        <w:t>Stoman</w:t>
      </w:r>
      <w:proofErr w:type="spellEnd"/>
      <w:r w:rsidRPr="003A0828">
        <w:rPr>
          <w:rFonts w:ascii="Arial" w:eastAsia="Calibri" w:hAnsi="Arial" w:cs="Arial"/>
          <w:i/>
          <w:iCs/>
          <w:kern w:val="0"/>
          <w:sz w:val="24"/>
          <w:szCs w:val="24"/>
          <w14:ligatures w14:val="none"/>
        </w:rPr>
        <w:t xml:space="preserve"> v Minister of Safety and Security (2002) 3 SA 468 (T)</w:t>
      </w:r>
    </w:p>
    <w:p w14:paraId="7258032D" w14:textId="77777777" w:rsidR="001E4F83" w:rsidRPr="001E4F83" w:rsidRDefault="001E4F83" w:rsidP="001E4F83">
      <w:pPr>
        <w:suppressAutoHyphens/>
        <w:autoSpaceDN w:val="0"/>
        <w:spacing w:line="360" w:lineRule="auto"/>
        <w:jc w:val="both"/>
        <w:rPr>
          <w:rFonts w:ascii="Arial" w:eastAsia="Calibri" w:hAnsi="Arial" w:cs="Arial"/>
          <w:kern w:val="0"/>
          <w:sz w:val="24"/>
          <w:szCs w:val="24"/>
          <w14:ligatures w14:val="none"/>
        </w:rPr>
      </w:pPr>
      <w:r w:rsidRPr="001E4F83">
        <w:rPr>
          <w:rFonts w:ascii="Arial" w:eastAsia="Calibri" w:hAnsi="Arial" w:cs="Arial"/>
          <w:i/>
          <w:iCs/>
          <w:kern w:val="0"/>
          <w:sz w:val="24"/>
          <w:szCs w:val="24"/>
          <w14:ligatures w14:val="none"/>
        </w:rPr>
        <w:t xml:space="preserve">S v </w:t>
      </w:r>
      <w:proofErr w:type="spellStart"/>
      <w:r w:rsidRPr="001E4F83">
        <w:rPr>
          <w:rFonts w:ascii="Arial" w:eastAsia="Calibri" w:hAnsi="Arial" w:cs="Arial"/>
          <w:i/>
          <w:iCs/>
          <w:kern w:val="0"/>
          <w:sz w:val="24"/>
          <w:szCs w:val="24"/>
          <w14:ligatures w14:val="none"/>
        </w:rPr>
        <w:t>Makwanyane</w:t>
      </w:r>
      <w:proofErr w:type="spellEnd"/>
      <w:r w:rsidRPr="001E4F83">
        <w:rPr>
          <w:rFonts w:ascii="Arial" w:eastAsia="Calibri" w:hAnsi="Arial" w:cs="Arial"/>
          <w:i/>
          <w:iCs/>
          <w:kern w:val="0"/>
          <w:sz w:val="24"/>
          <w:szCs w:val="24"/>
          <w14:ligatures w14:val="none"/>
        </w:rPr>
        <w:t xml:space="preserve"> </w:t>
      </w:r>
      <w:r w:rsidRPr="001E4F83">
        <w:rPr>
          <w:rFonts w:ascii="Arial" w:eastAsia="Calibri" w:hAnsi="Arial" w:cs="Arial"/>
          <w:kern w:val="0"/>
          <w:sz w:val="24"/>
          <w:szCs w:val="24"/>
          <w14:ligatures w14:val="none"/>
        </w:rPr>
        <w:t>1995 3 SA 391 (CC)</w:t>
      </w:r>
    </w:p>
    <w:p w14:paraId="63348ED2" w14:textId="77777777" w:rsidR="001E4F83" w:rsidRDefault="001E4F83" w:rsidP="00E9008B">
      <w:pPr>
        <w:suppressAutoHyphens/>
        <w:autoSpaceDN w:val="0"/>
        <w:spacing w:line="360" w:lineRule="auto"/>
        <w:jc w:val="both"/>
        <w:rPr>
          <w:rFonts w:ascii="Arial" w:eastAsia="Calibri" w:hAnsi="Arial" w:cs="Arial"/>
          <w:kern w:val="0"/>
          <w:sz w:val="24"/>
          <w:szCs w:val="24"/>
          <w:lang w:val="en-ZA"/>
          <w14:ligatures w14:val="none"/>
        </w:rPr>
      </w:pPr>
    </w:p>
    <w:p w14:paraId="37B92746" w14:textId="55D839F7" w:rsidR="00E9008B" w:rsidRDefault="00E9008B" w:rsidP="00E9008B">
      <w:pPr>
        <w:suppressAutoHyphens/>
        <w:autoSpaceDN w:val="0"/>
        <w:spacing w:line="360" w:lineRule="auto"/>
        <w:jc w:val="both"/>
        <w:rPr>
          <w:rFonts w:ascii="Arial" w:eastAsia="Calibri" w:hAnsi="Arial" w:cs="Arial"/>
          <w:kern w:val="0"/>
          <w:sz w:val="24"/>
          <w:szCs w:val="24"/>
          <w:lang w:val="en-ZA"/>
          <w14:ligatures w14:val="none"/>
        </w:rPr>
      </w:pPr>
      <w:r w:rsidRPr="00E9008B">
        <w:rPr>
          <w:rFonts w:ascii="Arial" w:eastAsia="Calibri" w:hAnsi="Arial" w:cs="Arial"/>
          <w:kern w:val="0"/>
          <w:sz w:val="24"/>
          <w:szCs w:val="24"/>
          <w:lang w:val="en-ZA"/>
          <w14:ligatures w14:val="none"/>
        </w:rPr>
        <w:t>Thekiso v IBM South Africa (Pty) Ltd (JS415/05) [2006] ZALC 91</w:t>
      </w:r>
    </w:p>
    <w:p w14:paraId="77C6482B" w14:textId="269832C2" w:rsidR="001E4F83" w:rsidRPr="001E4F83" w:rsidRDefault="001E4F83" w:rsidP="001E4F83">
      <w:pPr>
        <w:suppressAutoHyphens/>
        <w:autoSpaceDN w:val="0"/>
        <w:spacing w:line="360" w:lineRule="auto"/>
        <w:jc w:val="both"/>
        <w:rPr>
          <w:rFonts w:ascii="Arial" w:eastAsia="Calibri" w:hAnsi="Arial" w:cs="Arial"/>
          <w:i/>
          <w:iCs/>
          <w:kern w:val="0"/>
          <w:sz w:val="24"/>
          <w:szCs w:val="24"/>
          <w14:ligatures w14:val="none"/>
        </w:rPr>
      </w:pPr>
      <w:r w:rsidRPr="001E4F83">
        <w:rPr>
          <w:rFonts w:ascii="Arial" w:eastAsia="Calibri" w:hAnsi="Arial" w:cs="Arial"/>
          <w:i/>
          <w:iCs/>
          <w:kern w:val="0"/>
          <w:sz w:val="24"/>
          <w:szCs w:val="24"/>
          <w14:ligatures w14:val="none"/>
        </w:rPr>
        <w:t>Thibaudeau v Canada [1995] 2 SCR 627.</w:t>
      </w:r>
    </w:p>
    <w:p w14:paraId="2A35FB51" w14:textId="68E01659" w:rsidR="001E4F83" w:rsidRPr="001E4F83" w:rsidRDefault="001E4F83" w:rsidP="001E4F83">
      <w:pPr>
        <w:suppressAutoHyphens/>
        <w:autoSpaceDN w:val="0"/>
        <w:spacing w:line="360" w:lineRule="auto"/>
        <w:jc w:val="both"/>
        <w:rPr>
          <w:rFonts w:ascii="Arial" w:eastAsia="Calibri" w:hAnsi="Arial" w:cs="Arial"/>
          <w:kern w:val="0"/>
          <w:sz w:val="24"/>
          <w:szCs w:val="24"/>
          <w:lang w:val="en-US"/>
          <w14:ligatures w14:val="none"/>
        </w:rPr>
      </w:pPr>
      <w:r w:rsidRPr="001E4F83">
        <w:rPr>
          <w:rFonts w:ascii="Arial" w:eastAsia="Calibri" w:hAnsi="Arial" w:cs="Arial"/>
          <w:i/>
          <w:iCs/>
          <w:kern w:val="0"/>
          <w:sz w:val="24"/>
          <w:szCs w:val="24"/>
          <w:lang w:val="en-US"/>
          <w14:ligatures w14:val="none"/>
        </w:rPr>
        <w:t>Thomas auf der Heyde v University of Cape Town</w:t>
      </w:r>
      <w:r w:rsidRPr="001E4F83">
        <w:rPr>
          <w:rFonts w:ascii="Arial" w:eastAsia="Calibri" w:hAnsi="Arial" w:cs="Arial"/>
          <w:kern w:val="0"/>
          <w:sz w:val="24"/>
          <w:szCs w:val="24"/>
          <w:lang w:val="en-US"/>
          <w14:ligatures w14:val="none"/>
        </w:rPr>
        <w:t xml:space="preserve"> 2000 8 BLLR 877 (LC)</w:t>
      </w:r>
    </w:p>
    <w:p w14:paraId="605FB277" w14:textId="77777777" w:rsidR="001E4F83" w:rsidRPr="001E4F83" w:rsidRDefault="001E4F83" w:rsidP="001E4F83">
      <w:pPr>
        <w:suppressAutoHyphens/>
        <w:autoSpaceDN w:val="0"/>
        <w:spacing w:line="360" w:lineRule="auto"/>
        <w:jc w:val="both"/>
        <w:rPr>
          <w:rFonts w:ascii="Arial" w:eastAsia="Calibri" w:hAnsi="Arial" w:cs="Arial"/>
          <w:kern w:val="0"/>
          <w:sz w:val="24"/>
          <w:szCs w:val="24"/>
          <w14:ligatures w14:val="none"/>
        </w:rPr>
      </w:pPr>
      <w:r w:rsidRPr="001E4F83">
        <w:rPr>
          <w:rFonts w:ascii="Arial" w:eastAsia="Calibri" w:hAnsi="Arial" w:cs="Arial"/>
          <w:i/>
          <w:iCs/>
          <w:kern w:val="0"/>
          <w:sz w:val="24"/>
          <w:szCs w:val="24"/>
          <w14:ligatures w14:val="none"/>
        </w:rPr>
        <w:t>Tomen v Ontario Teachers’ Federation</w:t>
      </w:r>
      <w:r w:rsidRPr="001E4F83">
        <w:rPr>
          <w:rFonts w:ascii="Arial" w:eastAsia="Calibri" w:hAnsi="Arial" w:cs="Arial"/>
          <w:kern w:val="0"/>
          <w:sz w:val="24"/>
          <w:szCs w:val="24"/>
          <w14:ligatures w14:val="none"/>
        </w:rPr>
        <w:t xml:space="preserve"> (1995) 95 CLLC 145</w:t>
      </w:r>
    </w:p>
    <w:p w14:paraId="014142CF" w14:textId="77777777" w:rsidR="001E4F83" w:rsidRPr="001E4F83" w:rsidRDefault="001E4F83" w:rsidP="001E4F83">
      <w:pPr>
        <w:suppressAutoHyphens/>
        <w:autoSpaceDN w:val="0"/>
        <w:spacing w:line="360" w:lineRule="auto"/>
        <w:jc w:val="both"/>
        <w:rPr>
          <w:rFonts w:ascii="Arial" w:eastAsia="Calibri" w:hAnsi="Arial" w:cs="Arial"/>
          <w:kern w:val="0"/>
          <w:sz w:val="24"/>
          <w:szCs w:val="24"/>
          <w14:ligatures w14:val="none"/>
        </w:rPr>
      </w:pPr>
      <w:r w:rsidRPr="001E4F83">
        <w:rPr>
          <w:rFonts w:ascii="Arial" w:eastAsia="Calibri" w:hAnsi="Arial" w:cs="Arial"/>
          <w:i/>
          <w:iCs/>
          <w:kern w:val="0"/>
          <w:sz w:val="24"/>
          <w:szCs w:val="24"/>
          <w14:ligatures w14:val="none"/>
        </w:rPr>
        <w:t xml:space="preserve">UNISA v </w:t>
      </w:r>
      <w:proofErr w:type="spellStart"/>
      <w:r w:rsidRPr="001E4F83">
        <w:rPr>
          <w:rFonts w:ascii="Arial" w:eastAsia="Calibri" w:hAnsi="Arial" w:cs="Arial"/>
          <w:i/>
          <w:iCs/>
          <w:kern w:val="0"/>
          <w:sz w:val="24"/>
          <w:szCs w:val="24"/>
          <w14:ligatures w14:val="none"/>
        </w:rPr>
        <w:t>Reynhardt</w:t>
      </w:r>
      <w:proofErr w:type="spellEnd"/>
      <w:r w:rsidRPr="001E4F83">
        <w:rPr>
          <w:rFonts w:ascii="Arial" w:eastAsia="Calibri" w:hAnsi="Arial" w:cs="Arial"/>
          <w:kern w:val="0"/>
          <w:sz w:val="24"/>
          <w:szCs w:val="24"/>
          <w14:ligatures w14:val="none"/>
        </w:rPr>
        <w:t xml:space="preserve"> [2010] 12 BLLR 1272 (LAC).</w:t>
      </w:r>
    </w:p>
    <w:p w14:paraId="2DA35731" w14:textId="77777777" w:rsidR="001E4F83" w:rsidRDefault="001E4F83" w:rsidP="00E9008B">
      <w:pPr>
        <w:suppressAutoHyphens/>
        <w:autoSpaceDN w:val="0"/>
        <w:spacing w:line="360" w:lineRule="auto"/>
        <w:jc w:val="both"/>
        <w:rPr>
          <w:rFonts w:ascii="Arial" w:eastAsia="Calibri" w:hAnsi="Arial" w:cs="Arial"/>
          <w:kern w:val="0"/>
          <w:sz w:val="24"/>
          <w:szCs w:val="24"/>
          <w:lang w:val="en-ZA"/>
          <w14:ligatures w14:val="none"/>
        </w:rPr>
      </w:pPr>
    </w:p>
    <w:p w14:paraId="59EFD586" w14:textId="77777777" w:rsidR="00E9008B" w:rsidRPr="00E9008B" w:rsidRDefault="00E9008B" w:rsidP="00E9008B">
      <w:pPr>
        <w:suppressAutoHyphens/>
        <w:autoSpaceDN w:val="0"/>
        <w:spacing w:line="360" w:lineRule="auto"/>
        <w:jc w:val="both"/>
        <w:rPr>
          <w:rFonts w:ascii="Arial" w:eastAsia="Calibri" w:hAnsi="Arial" w:cs="Arial"/>
          <w:kern w:val="0"/>
          <w:sz w:val="24"/>
          <w:szCs w:val="24"/>
          <w:lang w:val="en-ZA"/>
          <w14:ligatures w14:val="none"/>
        </w:rPr>
      </w:pPr>
    </w:p>
    <w:p w14:paraId="0C54ACED" w14:textId="77777777" w:rsidR="003A0828" w:rsidRPr="009F38E3" w:rsidRDefault="003A0828" w:rsidP="004566FE">
      <w:pPr>
        <w:suppressAutoHyphens/>
        <w:autoSpaceDN w:val="0"/>
        <w:spacing w:line="360" w:lineRule="auto"/>
        <w:jc w:val="both"/>
        <w:rPr>
          <w:rFonts w:ascii="Arial" w:eastAsia="Calibri" w:hAnsi="Arial" w:cs="Arial"/>
          <w:b/>
          <w:bCs/>
          <w:kern w:val="0"/>
          <w:sz w:val="24"/>
          <w:szCs w:val="24"/>
          <w14:ligatures w14:val="none"/>
        </w:rPr>
      </w:pPr>
    </w:p>
    <w:p w14:paraId="1FA8474A" w14:textId="77777777" w:rsidR="004566FE" w:rsidRPr="009F38E3" w:rsidRDefault="004566FE" w:rsidP="004566FE">
      <w:pPr>
        <w:suppressAutoHyphens/>
        <w:autoSpaceDN w:val="0"/>
        <w:spacing w:line="360" w:lineRule="auto"/>
        <w:jc w:val="both"/>
        <w:rPr>
          <w:rFonts w:ascii="Arial" w:eastAsia="Arial" w:hAnsi="Arial" w:cs="Arial"/>
          <w:kern w:val="0"/>
          <w:sz w:val="24"/>
          <w:szCs w:val="24"/>
          <w14:ligatures w14:val="none"/>
        </w:rPr>
      </w:pPr>
    </w:p>
    <w:p w14:paraId="15C3A638" w14:textId="77777777" w:rsidR="004566FE" w:rsidRPr="009F38E3" w:rsidRDefault="004566FE" w:rsidP="004566FE">
      <w:pPr>
        <w:suppressAutoHyphens/>
        <w:autoSpaceDN w:val="0"/>
        <w:spacing w:line="360" w:lineRule="auto"/>
        <w:jc w:val="both"/>
        <w:rPr>
          <w:rFonts w:ascii="Arial" w:eastAsia="Arial" w:hAnsi="Arial" w:cs="Arial"/>
          <w:kern w:val="0"/>
          <w:sz w:val="24"/>
          <w:szCs w:val="24"/>
          <w14:ligatures w14:val="none"/>
        </w:rPr>
      </w:pPr>
    </w:p>
    <w:p w14:paraId="0DCC7F00" w14:textId="77777777" w:rsidR="004566FE" w:rsidRPr="009F38E3" w:rsidRDefault="004566FE" w:rsidP="004566FE">
      <w:pPr>
        <w:suppressAutoHyphens/>
        <w:autoSpaceDN w:val="0"/>
        <w:spacing w:line="360" w:lineRule="auto"/>
        <w:jc w:val="both"/>
        <w:rPr>
          <w:rFonts w:ascii="Arial" w:eastAsia="Arial" w:hAnsi="Arial" w:cs="Arial"/>
          <w:kern w:val="0"/>
          <w:sz w:val="24"/>
          <w:szCs w:val="24"/>
          <w14:ligatures w14:val="none"/>
        </w:rPr>
      </w:pPr>
    </w:p>
    <w:p w14:paraId="7930CF81" w14:textId="77777777" w:rsidR="004566FE" w:rsidRPr="009F38E3" w:rsidRDefault="004566FE" w:rsidP="004566FE">
      <w:pPr>
        <w:suppressAutoHyphens/>
        <w:autoSpaceDN w:val="0"/>
        <w:spacing w:line="360" w:lineRule="auto"/>
        <w:jc w:val="both"/>
        <w:rPr>
          <w:rFonts w:ascii="Arial" w:eastAsia="Arial" w:hAnsi="Arial" w:cs="Arial"/>
          <w:kern w:val="0"/>
          <w:sz w:val="24"/>
          <w:szCs w:val="24"/>
          <w14:ligatures w14:val="none"/>
        </w:rPr>
      </w:pPr>
    </w:p>
    <w:p w14:paraId="60958405" w14:textId="77777777" w:rsidR="004566FE" w:rsidRPr="009F38E3" w:rsidRDefault="004566FE" w:rsidP="004566FE">
      <w:pPr>
        <w:suppressAutoHyphens/>
        <w:autoSpaceDN w:val="0"/>
        <w:spacing w:line="360" w:lineRule="auto"/>
        <w:jc w:val="both"/>
        <w:rPr>
          <w:rFonts w:ascii="Arial" w:eastAsia="Arial" w:hAnsi="Arial" w:cs="Arial"/>
          <w:kern w:val="0"/>
          <w:sz w:val="24"/>
          <w:szCs w:val="24"/>
          <w14:ligatures w14:val="none"/>
        </w:rPr>
      </w:pPr>
    </w:p>
    <w:p w14:paraId="53AC1DC8" w14:textId="77777777" w:rsidR="00DA0357" w:rsidRPr="009F38E3" w:rsidRDefault="00DA0357" w:rsidP="00DA0357">
      <w:pPr>
        <w:suppressAutoHyphens/>
        <w:autoSpaceDN w:val="0"/>
        <w:spacing w:line="360" w:lineRule="auto"/>
        <w:jc w:val="both"/>
        <w:rPr>
          <w:rFonts w:ascii="Arial" w:eastAsia="Arial" w:hAnsi="Arial" w:cs="Arial"/>
          <w:kern w:val="0"/>
          <w:sz w:val="24"/>
          <w:szCs w:val="24"/>
          <w14:ligatures w14:val="none"/>
        </w:rPr>
      </w:pPr>
    </w:p>
    <w:p w14:paraId="0CFF5B33" w14:textId="77777777" w:rsidR="00DA0357" w:rsidRPr="009F38E3" w:rsidRDefault="00DA0357" w:rsidP="00DA0357">
      <w:pPr>
        <w:suppressAutoHyphens/>
        <w:autoSpaceDN w:val="0"/>
        <w:spacing w:line="360" w:lineRule="auto"/>
        <w:jc w:val="both"/>
        <w:rPr>
          <w:rFonts w:ascii="Arial" w:eastAsia="Arial" w:hAnsi="Arial" w:cs="Arial"/>
          <w:kern w:val="0"/>
          <w:sz w:val="24"/>
          <w:szCs w:val="24"/>
          <w14:ligatures w14:val="none"/>
        </w:rPr>
      </w:pPr>
    </w:p>
    <w:p w14:paraId="392A9902" w14:textId="77777777" w:rsidR="00C22C18" w:rsidRPr="009F38E3" w:rsidRDefault="00C22C18">
      <w:pPr>
        <w:rPr>
          <w:rFonts w:ascii="Arial" w:hAnsi="Arial" w:cs="Arial"/>
        </w:rPr>
      </w:pPr>
    </w:p>
    <w:sectPr w:rsidR="00C22C18" w:rsidRPr="009F38E3" w:rsidSect="005177F8">
      <w:footerReference w:type="default" r:id="rId17"/>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757B2C" w14:textId="77777777" w:rsidR="00C34217" w:rsidRDefault="00C34217" w:rsidP="00DA0357">
      <w:pPr>
        <w:spacing w:after="0" w:line="240" w:lineRule="auto"/>
      </w:pPr>
      <w:r>
        <w:separator/>
      </w:r>
    </w:p>
  </w:endnote>
  <w:endnote w:type="continuationSeparator" w:id="0">
    <w:p w14:paraId="60FAC5B8" w14:textId="77777777" w:rsidR="00C34217" w:rsidRDefault="00C34217" w:rsidP="00DA03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9793911"/>
      <w:docPartObj>
        <w:docPartGallery w:val="Page Numbers (Bottom of Page)"/>
        <w:docPartUnique/>
      </w:docPartObj>
    </w:sdtPr>
    <w:sdtEndPr>
      <w:rPr>
        <w:noProof/>
      </w:rPr>
    </w:sdtEndPr>
    <w:sdtContent>
      <w:p w14:paraId="30ED97A9" w14:textId="77777777" w:rsidR="00A266E5" w:rsidRDefault="00A266E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5DFF61A" w14:textId="77777777" w:rsidR="00A266E5" w:rsidRDefault="00A266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4438474"/>
      <w:docPartObj>
        <w:docPartGallery w:val="Page Numbers (Bottom of Page)"/>
        <w:docPartUnique/>
      </w:docPartObj>
    </w:sdtPr>
    <w:sdtEndPr>
      <w:rPr>
        <w:noProof/>
      </w:rPr>
    </w:sdtEndPr>
    <w:sdtContent>
      <w:p w14:paraId="0ED8B51E" w14:textId="77777777" w:rsidR="005177F8" w:rsidRDefault="005177F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AA90090" w14:textId="77777777" w:rsidR="005177F8" w:rsidRDefault="005177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5D8558" w14:textId="77777777" w:rsidR="00C34217" w:rsidRDefault="00C34217" w:rsidP="00DA0357">
      <w:pPr>
        <w:spacing w:after="0" w:line="240" w:lineRule="auto"/>
      </w:pPr>
      <w:r>
        <w:separator/>
      </w:r>
    </w:p>
  </w:footnote>
  <w:footnote w:type="continuationSeparator" w:id="0">
    <w:p w14:paraId="443D1AEC" w14:textId="77777777" w:rsidR="00C34217" w:rsidRDefault="00C34217" w:rsidP="00DA0357">
      <w:pPr>
        <w:spacing w:after="0" w:line="240" w:lineRule="auto"/>
      </w:pPr>
      <w:r>
        <w:continuationSeparator/>
      </w:r>
    </w:p>
  </w:footnote>
  <w:footnote w:id="1">
    <w:p w14:paraId="60A30396" w14:textId="73E09091" w:rsidR="00AD71CD" w:rsidRPr="00AD71CD" w:rsidRDefault="00AD71CD" w:rsidP="00AD71CD">
      <w:pPr>
        <w:pStyle w:val="FootnoteText"/>
        <w:rPr>
          <w:lang w:val="en-ZA"/>
        </w:rPr>
      </w:pPr>
      <w:r>
        <w:rPr>
          <w:rStyle w:val="FootnoteReference"/>
        </w:rPr>
        <w:footnoteRef/>
      </w:r>
      <w:r>
        <w:t xml:space="preserve"> </w:t>
      </w:r>
      <w:r w:rsidR="00BA6AF4">
        <w:tab/>
      </w:r>
      <w:r w:rsidRPr="00AD71CD">
        <w:rPr>
          <w:lang w:val="en-ZA"/>
        </w:rPr>
        <w:t>South African Police Service v Solidarity obo Barnard 2014 (6) SA 123 (CC).</w:t>
      </w:r>
    </w:p>
    <w:p w14:paraId="5E775703" w14:textId="68CD85A1" w:rsidR="00AD71CD" w:rsidRDefault="00AD71CD">
      <w:pPr>
        <w:pStyle w:val="FootnoteText"/>
      </w:pPr>
    </w:p>
  </w:footnote>
  <w:footnote w:id="2">
    <w:p w14:paraId="028ADC03" w14:textId="68C350B4" w:rsidR="00DA0E1D" w:rsidRDefault="00DA0E1D">
      <w:pPr>
        <w:pStyle w:val="FootnoteText"/>
      </w:pPr>
      <w:r>
        <w:rPr>
          <w:rStyle w:val="FootnoteReference"/>
        </w:rPr>
        <w:footnoteRef/>
      </w:r>
      <w:r>
        <w:t xml:space="preserve"> </w:t>
      </w:r>
      <w:r>
        <w:tab/>
      </w:r>
      <w:r w:rsidRPr="00DA0E1D">
        <w:rPr>
          <w:lang w:val="en-GB"/>
        </w:rPr>
        <w:t>South African Human Right Commission</w:t>
      </w:r>
      <w:r>
        <w:rPr>
          <w:lang w:val="en-GB"/>
        </w:rPr>
        <w:t xml:space="preserve"> 2018:29</w:t>
      </w:r>
      <w:r w:rsidRPr="00DA0E1D">
        <w:rPr>
          <w:lang w:val="en-GB"/>
        </w:rPr>
        <w:t>.</w:t>
      </w:r>
    </w:p>
  </w:footnote>
  <w:footnote w:id="3">
    <w:p w14:paraId="30025E85" w14:textId="544D7D08" w:rsidR="005C0A04" w:rsidRPr="005C0A04" w:rsidRDefault="005C0A04" w:rsidP="005C0A04">
      <w:pPr>
        <w:pStyle w:val="FootnoteText"/>
        <w:rPr>
          <w:lang w:val="en-ZA"/>
        </w:rPr>
      </w:pPr>
      <w:r>
        <w:rPr>
          <w:rStyle w:val="FootnoteReference"/>
        </w:rPr>
        <w:footnoteRef/>
      </w:r>
      <w:r>
        <w:t xml:space="preserve"> </w:t>
      </w:r>
      <w:r>
        <w:tab/>
      </w:r>
      <w:r w:rsidRPr="005C0A04">
        <w:rPr>
          <w:lang w:val="en-ZA"/>
        </w:rPr>
        <w:t xml:space="preserve">Minister of Finance v Van </w:t>
      </w:r>
      <w:proofErr w:type="gramStart"/>
      <w:r w:rsidRPr="005C0A04">
        <w:rPr>
          <w:lang w:val="en-ZA"/>
        </w:rPr>
        <w:t>Heerden</w:t>
      </w:r>
      <w:r>
        <w:rPr>
          <w:lang w:val="en-ZA"/>
        </w:rPr>
        <w:t>:</w:t>
      </w:r>
      <w:r w:rsidRPr="005C0A04">
        <w:rPr>
          <w:lang w:val="en-ZA"/>
        </w:rPr>
        <w:t>par</w:t>
      </w:r>
      <w:r>
        <w:rPr>
          <w:lang w:val="en-ZA"/>
        </w:rPr>
        <w:t>.</w:t>
      </w:r>
      <w:proofErr w:type="gramEnd"/>
      <w:r w:rsidRPr="005C0A04">
        <w:rPr>
          <w:lang w:val="en-ZA"/>
        </w:rPr>
        <w:t>27</w:t>
      </w:r>
      <w:r>
        <w:rPr>
          <w:lang w:val="en-ZA"/>
        </w:rPr>
        <w:t>.</w:t>
      </w:r>
    </w:p>
    <w:p w14:paraId="10880ADC" w14:textId="65F0E0F7" w:rsidR="005C0A04" w:rsidRDefault="005C0A04">
      <w:pPr>
        <w:pStyle w:val="FootnoteText"/>
      </w:pPr>
    </w:p>
  </w:footnote>
  <w:footnote w:id="4">
    <w:p w14:paraId="777ABCE7" w14:textId="2BB2A1EA" w:rsidR="00DA0357" w:rsidRPr="00BC0FF1" w:rsidRDefault="00DA0357" w:rsidP="00DA0357">
      <w:pPr>
        <w:pStyle w:val="FootnoteText"/>
        <w:rPr>
          <w:rFonts w:ascii="Arial" w:hAnsi="Arial"/>
        </w:rPr>
      </w:pPr>
      <w:r w:rsidRPr="00BC0FF1">
        <w:rPr>
          <w:rStyle w:val="FootnoteReference"/>
          <w:rFonts w:ascii="Arial" w:hAnsi="Arial"/>
        </w:rPr>
        <w:footnoteRef/>
      </w:r>
      <w:r w:rsidR="00B96449" w:rsidRPr="00BC0FF1">
        <w:rPr>
          <w:rFonts w:ascii="Arial" w:hAnsi="Arial"/>
          <w:i/>
          <w:iCs/>
        </w:rPr>
        <w:t xml:space="preserve"> </w:t>
      </w:r>
      <w:r w:rsidR="00B96449" w:rsidRPr="00BC0FF1">
        <w:rPr>
          <w:rFonts w:ascii="Arial" w:hAnsi="Arial"/>
          <w:i/>
          <w:iCs/>
        </w:rPr>
        <w:tab/>
      </w:r>
      <w:r w:rsidRPr="00BC0FF1">
        <w:rPr>
          <w:rFonts w:ascii="Arial" w:hAnsi="Arial"/>
          <w:i/>
          <w:iCs/>
        </w:rPr>
        <w:t>EEA</w:t>
      </w:r>
      <w:r w:rsidRPr="00BC0FF1">
        <w:rPr>
          <w:rFonts w:ascii="Arial" w:hAnsi="Arial"/>
        </w:rPr>
        <w:t>: sec.15.</w:t>
      </w:r>
    </w:p>
  </w:footnote>
  <w:footnote w:id="5">
    <w:p w14:paraId="3AADE1F4" w14:textId="11184141" w:rsidR="00DA0357" w:rsidRPr="00BC0FF1" w:rsidRDefault="00DA0357" w:rsidP="00DA0357">
      <w:pPr>
        <w:pStyle w:val="FootnoteText"/>
        <w:rPr>
          <w:rFonts w:ascii="Arial" w:hAnsi="Arial"/>
        </w:rPr>
      </w:pPr>
      <w:r w:rsidRPr="00BC0FF1">
        <w:rPr>
          <w:rStyle w:val="FootnoteReference"/>
          <w:rFonts w:ascii="Arial" w:hAnsi="Arial"/>
        </w:rPr>
        <w:footnoteRef/>
      </w:r>
      <w:bookmarkStart w:id="9" w:name="_Hlk166882609"/>
      <w:r w:rsidR="00B96449" w:rsidRPr="00BC0FF1">
        <w:rPr>
          <w:rFonts w:ascii="Arial" w:hAnsi="Arial"/>
        </w:rPr>
        <w:t xml:space="preserve"> </w:t>
      </w:r>
      <w:r w:rsidR="00B96449" w:rsidRPr="00BC0FF1">
        <w:rPr>
          <w:rFonts w:ascii="Arial" w:hAnsi="Arial"/>
        </w:rPr>
        <w:tab/>
      </w:r>
      <w:r w:rsidR="00683D77" w:rsidRPr="00BC0FF1">
        <w:rPr>
          <w:rFonts w:ascii="Arial" w:hAnsi="Arial"/>
          <w:i/>
          <w:iCs/>
          <w:lang w:val="en-ZA"/>
        </w:rPr>
        <w:t>City Council of Pretoria v Walker</w:t>
      </w:r>
      <w:r w:rsidR="00683D77" w:rsidRPr="00BC0FF1">
        <w:rPr>
          <w:rFonts w:ascii="Arial" w:hAnsi="Arial"/>
          <w:lang w:val="en-ZA"/>
        </w:rPr>
        <w:t xml:space="preserve"> </w:t>
      </w:r>
      <w:r w:rsidRPr="00BC0FF1">
        <w:rPr>
          <w:rFonts w:ascii="Arial" w:hAnsi="Arial"/>
        </w:rPr>
        <w:t>1998 (3) BCLR 257 (CC)</w:t>
      </w:r>
      <w:bookmarkEnd w:id="9"/>
      <w:r w:rsidRPr="00BC0FF1">
        <w:rPr>
          <w:rFonts w:ascii="Arial" w:hAnsi="Arial"/>
        </w:rPr>
        <w:t>:123</w:t>
      </w:r>
    </w:p>
  </w:footnote>
  <w:footnote w:id="6">
    <w:p w14:paraId="3BC2272E" w14:textId="6A8C1FEB" w:rsidR="00DA0357" w:rsidRPr="00BC0FF1" w:rsidRDefault="00DA0357" w:rsidP="00DA0357">
      <w:pPr>
        <w:pStyle w:val="FootnoteText"/>
        <w:rPr>
          <w:rFonts w:ascii="Arial" w:hAnsi="Arial"/>
          <w:i/>
          <w:iCs/>
          <w:lang w:val="en-ZA"/>
        </w:rPr>
      </w:pPr>
      <w:r w:rsidRPr="00BC0FF1">
        <w:rPr>
          <w:rStyle w:val="FootnoteReference"/>
          <w:rFonts w:ascii="Arial" w:hAnsi="Arial"/>
        </w:rPr>
        <w:footnoteRef/>
      </w:r>
      <w:r w:rsidRPr="00BC0FF1">
        <w:rPr>
          <w:rFonts w:ascii="Arial" w:hAnsi="Arial"/>
        </w:rPr>
        <w:t xml:space="preserve">       </w:t>
      </w:r>
      <w:r w:rsidRPr="00BC0FF1">
        <w:rPr>
          <w:rFonts w:ascii="Arial" w:hAnsi="Arial"/>
          <w:i/>
          <w:iCs/>
        </w:rPr>
        <w:t>South African Police Service v Solidarity obo Barnar</w:t>
      </w:r>
      <w:r w:rsidRPr="00BC0FF1">
        <w:rPr>
          <w:rFonts w:ascii="Arial" w:eastAsia="Times New Roman" w:hAnsi="Arial"/>
          <w:color w:val="64473A"/>
          <w:lang w:val="en-ZA" w:eastAsia="en-ZA"/>
        </w:rPr>
        <w:t xml:space="preserve"> </w:t>
      </w:r>
      <w:r w:rsidRPr="00BC0FF1">
        <w:rPr>
          <w:rFonts w:ascii="Arial" w:eastAsia="Times New Roman" w:hAnsi="Arial"/>
          <w:i/>
          <w:iCs/>
          <w:lang w:val="en-ZA" w:eastAsia="en-ZA"/>
        </w:rPr>
        <w:t>2014 (6) SA 123 (CC)</w:t>
      </w:r>
      <w:r w:rsidRPr="00BC0FF1">
        <w:rPr>
          <w:rFonts w:ascii="Arial" w:hAnsi="Arial"/>
          <w:i/>
          <w:iCs/>
          <w:lang w:val="en-ZA"/>
        </w:rPr>
        <w:t>.</w:t>
      </w:r>
    </w:p>
  </w:footnote>
  <w:footnote w:id="7">
    <w:p w14:paraId="2265EBE0" w14:textId="37EC3460"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00B96449" w:rsidRPr="00BC0FF1">
        <w:rPr>
          <w:rFonts w:ascii="Arial" w:eastAsia="Arial" w:hAnsi="Arial"/>
          <w:color w:val="222222"/>
        </w:rPr>
        <w:t xml:space="preserve"> </w:t>
      </w:r>
      <w:r w:rsidR="003F1C68" w:rsidRPr="00BC0FF1">
        <w:rPr>
          <w:rFonts w:ascii="Arial" w:eastAsia="Arial" w:hAnsi="Arial"/>
          <w:color w:val="222222"/>
        </w:rPr>
        <w:t xml:space="preserve">      </w:t>
      </w:r>
      <w:r w:rsidRPr="00BC0FF1">
        <w:rPr>
          <w:rFonts w:ascii="Arial" w:eastAsia="Arial" w:hAnsi="Arial"/>
          <w:color w:val="222222"/>
        </w:rPr>
        <w:t>Pretorius 2001:12-28.</w:t>
      </w:r>
    </w:p>
  </w:footnote>
  <w:footnote w:id="8">
    <w:p w14:paraId="3B16B3E3" w14:textId="5907349A" w:rsidR="00DA0357" w:rsidRPr="00BC0FF1" w:rsidRDefault="00DA0357" w:rsidP="00DA0357">
      <w:pPr>
        <w:pStyle w:val="FootnoteText"/>
        <w:rPr>
          <w:rFonts w:ascii="Arial" w:hAnsi="Arial"/>
        </w:rPr>
      </w:pPr>
      <w:r w:rsidRPr="00BC0FF1">
        <w:rPr>
          <w:rStyle w:val="FootnoteReference"/>
          <w:rFonts w:ascii="Arial" w:hAnsi="Arial"/>
        </w:rPr>
        <w:footnoteRef/>
      </w:r>
      <w:r w:rsidR="00B96449" w:rsidRPr="00BC0FF1">
        <w:rPr>
          <w:rFonts w:ascii="Arial" w:hAnsi="Arial"/>
        </w:rPr>
        <w:t xml:space="preserve"> </w:t>
      </w:r>
      <w:r w:rsidR="00B96449" w:rsidRPr="00BC0FF1">
        <w:rPr>
          <w:rFonts w:ascii="Arial" w:hAnsi="Arial"/>
        </w:rPr>
        <w:tab/>
      </w:r>
      <w:r w:rsidRPr="00BC0FF1">
        <w:rPr>
          <w:rFonts w:ascii="Arial" w:hAnsi="Arial"/>
          <w:i/>
          <w:iCs/>
        </w:rPr>
        <w:t>EEA</w:t>
      </w:r>
      <w:r w:rsidRPr="00BC0FF1">
        <w:rPr>
          <w:rFonts w:ascii="Arial" w:hAnsi="Arial"/>
        </w:rPr>
        <w:t>: sec. 15(1).</w:t>
      </w:r>
    </w:p>
  </w:footnote>
  <w:footnote w:id="9">
    <w:p w14:paraId="70FFD830" w14:textId="4FBB57D1" w:rsidR="00DA0357" w:rsidRPr="00BC0FF1" w:rsidRDefault="00DA0357" w:rsidP="00DA0357">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00205FBE">
        <w:rPr>
          <w:rFonts w:ascii="Arial" w:hAnsi="Arial"/>
        </w:rPr>
        <w:t xml:space="preserve"> </w:t>
      </w:r>
      <w:r w:rsidRPr="00BC0FF1">
        <w:rPr>
          <w:rFonts w:ascii="Arial" w:hAnsi="Arial"/>
          <w:i/>
          <w:iCs/>
        </w:rPr>
        <w:t>EEA</w:t>
      </w:r>
      <w:r w:rsidRPr="00BC0FF1">
        <w:rPr>
          <w:rFonts w:ascii="Arial" w:hAnsi="Arial"/>
        </w:rPr>
        <w:t>: sec. 20(3).</w:t>
      </w:r>
    </w:p>
  </w:footnote>
  <w:footnote w:id="10">
    <w:p w14:paraId="2215A9A4" w14:textId="50A59B5D" w:rsidR="00DA0357" w:rsidRPr="00BC0FF1" w:rsidRDefault="00DA0357" w:rsidP="00DA0357">
      <w:pPr>
        <w:pStyle w:val="FootnoteText"/>
        <w:rPr>
          <w:rFonts w:ascii="Arial" w:hAnsi="Arial"/>
        </w:rPr>
      </w:pPr>
      <w:r w:rsidRPr="00BC0FF1">
        <w:rPr>
          <w:rStyle w:val="FootnoteReference"/>
          <w:rFonts w:ascii="Arial" w:hAnsi="Arial"/>
        </w:rPr>
        <w:footnoteRef/>
      </w:r>
      <w:r w:rsidR="00B96449" w:rsidRPr="00BC0FF1">
        <w:rPr>
          <w:rFonts w:ascii="Arial" w:hAnsi="Arial"/>
        </w:rPr>
        <w:t xml:space="preserve"> </w:t>
      </w:r>
      <w:r w:rsidR="00205FBE">
        <w:rPr>
          <w:rFonts w:ascii="Arial" w:hAnsi="Arial"/>
        </w:rPr>
        <w:t xml:space="preserve">    </w:t>
      </w:r>
      <w:r w:rsidRPr="00BC0FF1">
        <w:rPr>
          <w:rFonts w:ascii="Arial" w:hAnsi="Arial"/>
          <w:i/>
          <w:iCs/>
        </w:rPr>
        <w:t>EEA:</w:t>
      </w:r>
      <w:r w:rsidRPr="00BC0FF1">
        <w:rPr>
          <w:rFonts w:ascii="Arial" w:hAnsi="Arial"/>
        </w:rPr>
        <w:t xml:space="preserve"> sec. 20(5).</w:t>
      </w:r>
    </w:p>
  </w:footnote>
  <w:footnote w:id="11">
    <w:p w14:paraId="3419CA53" w14:textId="259EAC75" w:rsidR="00DA0357" w:rsidRPr="00BC0FF1" w:rsidRDefault="00DA0357" w:rsidP="00DA0357">
      <w:pPr>
        <w:pStyle w:val="FootnoteText"/>
        <w:rPr>
          <w:rFonts w:ascii="Arial" w:hAnsi="Arial"/>
        </w:rPr>
      </w:pPr>
      <w:r w:rsidRPr="00BC0FF1">
        <w:rPr>
          <w:rStyle w:val="FootnoteReference"/>
          <w:rFonts w:ascii="Arial" w:hAnsi="Arial"/>
        </w:rPr>
        <w:footnoteRef/>
      </w:r>
      <w:r w:rsidRPr="00BC0FF1">
        <w:rPr>
          <w:rFonts w:ascii="Arial" w:hAnsi="Arial"/>
        </w:rPr>
        <w:t xml:space="preserve">     </w:t>
      </w:r>
      <w:proofErr w:type="spellStart"/>
      <w:proofErr w:type="gramStart"/>
      <w:r w:rsidRPr="00BC0FF1">
        <w:rPr>
          <w:rFonts w:ascii="Arial" w:hAnsi="Arial"/>
          <w:i/>
          <w:iCs/>
        </w:rPr>
        <w:t>EEA</w:t>
      </w:r>
      <w:r w:rsidRPr="00BC0FF1">
        <w:rPr>
          <w:rFonts w:ascii="Arial" w:hAnsi="Arial"/>
        </w:rPr>
        <w:t>:sec</w:t>
      </w:r>
      <w:proofErr w:type="spellEnd"/>
      <w:r w:rsidRPr="00BC0FF1">
        <w:rPr>
          <w:rFonts w:ascii="Arial" w:hAnsi="Arial"/>
        </w:rPr>
        <w:t>.</w:t>
      </w:r>
      <w:proofErr w:type="gramEnd"/>
      <w:r w:rsidRPr="00BC0FF1">
        <w:rPr>
          <w:rFonts w:ascii="Arial" w:hAnsi="Arial"/>
        </w:rPr>
        <w:t xml:space="preserve"> 15(2).</w:t>
      </w:r>
    </w:p>
  </w:footnote>
  <w:footnote w:id="12">
    <w:p w14:paraId="5C73B282" w14:textId="534ABE6C"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eastAsia="Arial" w:hAnsi="Arial"/>
          <w:color w:val="222222"/>
        </w:rPr>
        <w:t>Pretorius 2001:13.</w:t>
      </w:r>
    </w:p>
  </w:footnote>
  <w:footnote w:id="13">
    <w:p w14:paraId="5D9415B1" w14:textId="7C461AB8" w:rsidR="00DA0357" w:rsidRPr="00BC0FF1" w:rsidRDefault="00DA0357" w:rsidP="00DA0357">
      <w:pPr>
        <w:pStyle w:val="Heading2"/>
        <w:shd w:val="clear" w:color="auto" w:fill="FFFFFF"/>
        <w:spacing w:before="0" w:after="270" w:line="240" w:lineRule="auto"/>
        <w:rPr>
          <w:rFonts w:cs="Arial"/>
          <w:sz w:val="20"/>
          <w:szCs w:val="20"/>
        </w:rPr>
      </w:pPr>
      <w:r w:rsidRPr="00BC0FF1">
        <w:rPr>
          <w:rStyle w:val="FootnoteReference"/>
          <w:rFonts w:cs="Arial"/>
          <w:sz w:val="20"/>
          <w:szCs w:val="20"/>
        </w:rPr>
        <w:footnoteRef/>
      </w:r>
      <w:r w:rsidR="003F1C68" w:rsidRPr="00BC0FF1">
        <w:rPr>
          <w:rFonts w:cs="Arial"/>
          <w:sz w:val="20"/>
          <w:szCs w:val="20"/>
        </w:rPr>
        <w:t xml:space="preserve"> </w:t>
      </w:r>
      <w:r w:rsidR="003F1C68" w:rsidRPr="00BC0FF1">
        <w:rPr>
          <w:rFonts w:cs="Arial"/>
          <w:sz w:val="20"/>
          <w:szCs w:val="20"/>
        </w:rPr>
        <w:tab/>
      </w:r>
      <w:r w:rsidRPr="00205FBE">
        <w:rPr>
          <w:rFonts w:cs="Arial"/>
          <w:b w:val="0"/>
          <w:bCs/>
          <w:i/>
          <w:iCs/>
          <w:sz w:val="20"/>
          <w:szCs w:val="20"/>
        </w:rPr>
        <w:t>Minister of Finance v Van Heerde</w:t>
      </w:r>
      <w:r w:rsidR="00205FBE" w:rsidRPr="00205FBE">
        <w:rPr>
          <w:rFonts w:cs="Arial"/>
          <w:b w:val="0"/>
          <w:bCs/>
          <w:i/>
          <w:iCs/>
          <w:sz w:val="20"/>
          <w:szCs w:val="20"/>
        </w:rPr>
        <w:t>n</w:t>
      </w:r>
      <w:r w:rsidRPr="00205FBE">
        <w:rPr>
          <w:rFonts w:eastAsia="Times New Roman" w:cs="Arial"/>
          <w:b w:val="0"/>
          <w:bCs/>
          <w:color w:val="64473A"/>
          <w:sz w:val="20"/>
          <w:szCs w:val="20"/>
          <w:lang w:eastAsia="en-ZA"/>
        </w:rPr>
        <w:t xml:space="preserve"> </w:t>
      </w:r>
      <w:r w:rsidRPr="00205FBE">
        <w:rPr>
          <w:rFonts w:cs="Arial"/>
          <w:b w:val="0"/>
          <w:bCs/>
          <w:sz w:val="20"/>
          <w:szCs w:val="20"/>
        </w:rPr>
        <w:t>2004 (6) SA 121 (CC).</w:t>
      </w:r>
    </w:p>
  </w:footnote>
  <w:footnote w:id="14">
    <w:p w14:paraId="7D705C68" w14:textId="287C002D" w:rsidR="003F1C68" w:rsidRPr="00BC0FF1" w:rsidRDefault="003F1C68">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lang w:val="en-ZA"/>
        </w:rPr>
        <w:t>Modisha</w:t>
      </w:r>
      <w:proofErr w:type="spellEnd"/>
      <w:r w:rsidRPr="00BC0FF1">
        <w:rPr>
          <w:rFonts w:ascii="Arial" w:hAnsi="Arial"/>
          <w:lang w:val="en-ZA"/>
        </w:rPr>
        <w:t xml:space="preserve"> 2007:5(4).</w:t>
      </w:r>
    </w:p>
  </w:footnote>
  <w:footnote w:id="15">
    <w:p w14:paraId="4C174934" w14:textId="60469541" w:rsidR="00DA0357" w:rsidRPr="00BC0FF1" w:rsidRDefault="00DA0357" w:rsidP="00DA0357">
      <w:pPr>
        <w:pStyle w:val="FootnoteText"/>
        <w:rPr>
          <w:rFonts w:ascii="Arial" w:hAnsi="Arial"/>
        </w:rPr>
      </w:pPr>
      <w:r w:rsidRPr="00BC0FF1">
        <w:rPr>
          <w:rStyle w:val="FootnoteReference"/>
          <w:rFonts w:ascii="Arial" w:hAnsi="Arial"/>
        </w:rPr>
        <w:footnoteRef/>
      </w:r>
      <w:bookmarkStart w:id="12" w:name="_Hlk163141925"/>
      <w:r w:rsidR="003F1C68" w:rsidRPr="00BC0FF1">
        <w:rPr>
          <w:rFonts w:ascii="Arial" w:hAnsi="Arial"/>
        </w:rPr>
        <w:t xml:space="preserve"> </w:t>
      </w:r>
      <w:r w:rsidR="003F1C68"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32</w:t>
      </w:r>
      <w:r w:rsidRPr="00BC0FF1">
        <w:rPr>
          <w:rFonts w:ascii="Arial" w:hAnsi="Arial"/>
          <w:i/>
          <w:iCs/>
        </w:rPr>
        <w:t>.</w:t>
      </w:r>
      <w:bookmarkEnd w:id="12"/>
    </w:p>
  </w:footnote>
  <w:footnote w:id="16">
    <w:p w14:paraId="34601C2B" w14:textId="2F073C25"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003F1C68" w:rsidRPr="00BC0FF1">
        <w:rPr>
          <w:rFonts w:ascii="Arial" w:hAnsi="Arial"/>
        </w:rPr>
        <w:t xml:space="preserve"> </w:t>
      </w:r>
      <w:r w:rsidR="00205FBE">
        <w:rPr>
          <w:rFonts w:ascii="Arial" w:hAnsi="Arial"/>
        </w:rPr>
        <w:tab/>
      </w:r>
      <w:r w:rsidRPr="00BC0FF1">
        <w:rPr>
          <w:rFonts w:ascii="Arial" w:hAnsi="Arial"/>
          <w:i/>
          <w:iCs/>
        </w:rPr>
        <w:t>Constitution</w:t>
      </w:r>
      <w:r w:rsidRPr="00BC0FF1">
        <w:rPr>
          <w:rFonts w:ascii="Arial" w:hAnsi="Arial"/>
        </w:rPr>
        <w:t>: sec.9(3) &amp; (4).</w:t>
      </w:r>
    </w:p>
  </w:footnote>
  <w:footnote w:id="17">
    <w:p w14:paraId="66257403" w14:textId="439B2B70" w:rsidR="00DA0357" w:rsidRPr="00BC0FF1" w:rsidRDefault="00DA0357" w:rsidP="00DA0357">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21" w:name="_Hlk166882721"/>
      <w:bookmarkStart w:id="22" w:name="_Hlk167032584"/>
      <w:r w:rsidRPr="00BC0FF1">
        <w:rPr>
          <w:rFonts w:ascii="Arial" w:hAnsi="Arial"/>
        </w:rPr>
        <w:t>UNSEC 2009:</w:t>
      </w:r>
      <w:bookmarkEnd w:id="21"/>
      <w:r w:rsidRPr="00BC0FF1">
        <w:rPr>
          <w:rFonts w:ascii="Arial" w:hAnsi="Arial"/>
        </w:rPr>
        <w:t>35.</w:t>
      </w:r>
    </w:p>
    <w:bookmarkEnd w:id="22"/>
  </w:footnote>
  <w:footnote w:id="18">
    <w:p w14:paraId="45E0817D" w14:textId="26B347DF" w:rsidR="00DA0357" w:rsidRPr="00BC0FF1" w:rsidRDefault="00DA0357" w:rsidP="00DA0357">
      <w:pPr>
        <w:pStyle w:val="FootnoteText"/>
        <w:rPr>
          <w:rFonts w:ascii="Arial" w:hAnsi="Arial"/>
          <w:highlight w:val="yellow"/>
        </w:rPr>
      </w:pPr>
      <w:r w:rsidRPr="00BC0FF1">
        <w:rPr>
          <w:rStyle w:val="FootnoteReference"/>
          <w:rFonts w:ascii="Arial" w:hAnsi="Arial"/>
        </w:rPr>
        <w:footnoteRef/>
      </w:r>
      <w:r w:rsidR="00BA6AF4">
        <w:rPr>
          <w:rFonts w:ascii="Arial" w:hAnsi="Arial"/>
        </w:rPr>
        <w:t xml:space="preserve"> </w:t>
      </w:r>
      <w:r w:rsidR="00BA6AF4">
        <w:rPr>
          <w:rFonts w:ascii="Arial" w:hAnsi="Arial"/>
        </w:rPr>
        <w:tab/>
      </w:r>
      <w:r w:rsidRPr="00BC0FF1">
        <w:rPr>
          <w:rFonts w:ascii="Arial" w:hAnsi="Arial"/>
        </w:rPr>
        <w:t>Banton</w:t>
      </w:r>
      <w:r w:rsidRPr="00BC0FF1">
        <w:rPr>
          <w:rFonts w:ascii="Arial" w:hAnsi="Arial"/>
          <w:i/>
          <w:iCs/>
        </w:rPr>
        <w:t xml:space="preserve"> </w:t>
      </w:r>
      <w:r w:rsidRPr="00BC0FF1">
        <w:rPr>
          <w:rFonts w:ascii="Arial" w:hAnsi="Arial"/>
        </w:rPr>
        <w:t>1994:5.</w:t>
      </w:r>
    </w:p>
  </w:footnote>
  <w:footnote w:id="19">
    <w:p w14:paraId="50D46F8D" w14:textId="10339084" w:rsidR="00DA0357" w:rsidRPr="00BC0FF1" w:rsidRDefault="00DA0357" w:rsidP="00DA0357">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23" w:name="_Hlk166092538"/>
      <w:proofErr w:type="spellStart"/>
      <w:r w:rsidRPr="00BC0FF1">
        <w:rPr>
          <w:rFonts w:ascii="Arial" w:hAnsi="Arial"/>
        </w:rPr>
        <w:t>Nconco</w:t>
      </w:r>
      <w:proofErr w:type="spellEnd"/>
      <w:r w:rsidRPr="00BC0FF1">
        <w:rPr>
          <w:rFonts w:ascii="Arial" w:hAnsi="Arial"/>
        </w:rPr>
        <w:t xml:space="preserve"> 2012:3</w:t>
      </w:r>
      <w:bookmarkEnd w:id="23"/>
      <w:r w:rsidRPr="00BC0FF1">
        <w:rPr>
          <w:rFonts w:ascii="Arial" w:hAnsi="Arial"/>
        </w:rPr>
        <w:t>.</w:t>
      </w:r>
    </w:p>
  </w:footnote>
  <w:footnote w:id="20">
    <w:p w14:paraId="00C85795" w14:textId="04FD49D9" w:rsidR="00DA0357" w:rsidRPr="00BC0FF1" w:rsidRDefault="00DA0357" w:rsidP="00DA0357">
      <w:pPr>
        <w:pStyle w:val="FootnoteText"/>
        <w:rPr>
          <w:rFonts w:ascii="Arial" w:hAnsi="Arial"/>
        </w:rPr>
      </w:pPr>
      <w:r w:rsidRPr="00BC0FF1">
        <w:rPr>
          <w:rStyle w:val="FootnoteReference"/>
          <w:rFonts w:ascii="Arial" w:hAnsi="Arial"/>
        </w:rPr>
        <w:footnoteRef/>
      </w:r>
      <w:r w:rsidRPr="00BC0FF1">
        <w:rPr>
          <w:rFonts w:ascii="Arial" w:hAnsi="Arial"/>
        </w:rPr>
        <w:t xml:space="preserve">      </w:t>
      </w:r>
      <w:proofErr w:type="spellStart"/>
      <w:r w:rsidRPr="00BC0FF1">
        <w:rPr>
          <w:rFonts w:ascii="Arial" w:hAnsi="Arial"/>
        </w:rPr>
        <w:t>Nconco</w:t>
      </w:r>
      <w:proofErr w:type="spellEnd"/>
      <w:r w:rsidRPr="00BC0FF1">
        <w:rPr>
          <w:rFonts w:ascii="Arial" w:hAnsi="Arial"/>
        </w:rPr>
        <w:t xml:space="preserve"> 2012:27</w:t>
      </w:r>
    </w:p>
  </w:footnote>
  <w:footnote w:id="21">
    <w:p w14:paraId="20D49D10" w14:textId="11773000" w:rsidR="00DA0357" w:rsidRPr="00BC0FF1" w:rsidRDefault="00DA0357" w:rsidP="00DA0357">
      <w:pPr>
        <w:pStyle w:val="FootnoteText"/>
        <w:rPr>
          <w:rFonts w:ascii="Arial" w:hAnsi="Arial"/>
        </w:rPr>
      </w:pPr>
      <w:r w:rsidRPr="00BC0FF1">
        <w:rPr>
          <w:rStyle w:val="FootnoteReference"/>
          <w:rFonts w:ascii="Arial" w:hAnsi="Arial"/>
        </w:rPr>
        <w:footnoteRef/>
      </w:r>
      <w:r w:rsidR="00205FBE">
        <w:rPr>
          <w:rFonts w:ascii="Arial" w:hAnsi="Arial"/>
        </w:rPr>
        <w:t xml:space="preserve"> </w:t>
      </w:r>
      <w:r w:rsidR="00205FBE">
        <w:rPr>
          <w:rFonts w:ascii="Arial" w:hAnsi="Arial"/>
        </w:rPr>
        <w:tab/>
      </w:r>
      <w:proofErr w:type="spellStart"/>
      <w:r w:rsidR="00683D77" w:rsidRPr="00BC0FF1">
        <w:rPr>
          <w:rFonts w:ascii="Arial" w:hAnsi="Arial"/>
          <w:i/>
          <w:iCs/>
          <w:lang w:val="en-ZA"/>
        </w:rPr>
        <w:t>Stoman</w:t>
      </w:r>
      <w:proofErr w:type="spellEnd"/>
      <w:r w:rsidR="00683D77" w:rsidRPr="00BC0FF1">
        <w:rPr>
          <w:rFonts w:ascii="Arial" w:hAnsi="Arial"/>
          <w:i/>
          <w:iCs/>
          <w:lang w:val="en-ZA"/>
        </w:rPr>
        <w:t xml:space="preserve"> v </w:t>
      </w:r>
      <w:r w:rsidR="00717506" w:rsidRPr="00BC0FF1">
        <w:rPr>
          <w:rFonts w:ascii="Arial" w:hAnsi="Arial"/>
          <w:i/>
          <w:iCs/>
          <w:lang w:val="en-ZA"/>
        </w:rPr>
        <w:t>Minister</w:t>
      </w:r>
      <w:r w:rsidR="00683D77" w:rsidRPr="00BC0FF1">
        <w:rPr>
          <w:rFonts w:ascii="Arial" w:hAnsi="Arial"/>
          <w:i/>
          <w:iCs/>
          <w:lang w:val="en-ZA"/>
        </w:rPr>
        <w:t xml:space="preserve"> of Safety and Security</w:t>
      </w:r>
      <w:r w:rsidR="00683D77" w:rsidRPr="00BC0FF1">
        <w:rPr>
          <w:rFonts w:ascii="Arial" w:hAnsi="Arial"/>
          <w:lang w:val="en-ZA"/>
        </w:rPr>
        <w:t xml:space="preserve"> </w:t>
      </w:r>
      <w:r w:rsidRPr="00BC0FF1">
        <w:rPr>
          <w:rFonts w:ascii="Arial" w:hAnsi="Arial"/>
          <w:lang w:val="en-ZA"/>
        </w:rPr>
        <w:t>2002 (3) SA 468 (T)</w:t>
      </w:r>
      <w:r w:rsidRPr="00BC0FF1">
        <w:rPr>
          <w:rFonts w:ascii="Arial" w:hAnsi="Arial"/>
          <w:b/>
          <w:bCs/>
          <w:lang w:val="en-ZA"/>
        </w:rPr>
        <w:t>:</w:t>
      </w:r>
      <w:r w:rsidRPr="00BC0FF1">
        <w:rPr>
          <w:rFonts w:ascii="Arial" w:hAnsi="Arial"/>
        </w:rPr>
        <w:t>476J-</w:t>
      </w:r>
      <w:r w:rsidR="00683D77" w:rsidRPr="00BC0FF1">
        <w:rPr>
          <w:rFonts w:ascii="Arial" w:hAnsi="Arial"/>
        </w:rPr>
        <w:t xml:space="preserve"> </w:t>
      </w:r>
      <w:r w:rsidRPr="00BC0FF1">
        <w:rPr>
          <w:rFonts w:ascii="Arial" w:hAnsi="Arial"/>
        </w:rPr>
        <w:t>477A.</w:t>
      </w:r>
    </w:p>
  </w:footnote>
  <w:footnote w:id="22">
    <w:p w14:paraId="179A2F8E" w14:textId="4CEA55BD" w:rsidR="00DA0357" w:rsidRPr="00BC0FF1" w:rsidRDefault="00DA0357" w:rsidP="00DA0357">
      <w:pPr>
        <w:pStyle w:val="FootnoteText"/>
        <w:rPr>
          <w:rFonts w:ascii="Arial" w:hAnsi="Arial"/>
        </w:rPr>
      </w:pPr>
      <w:r w:rsidRPr="00BC0FF1">
        <w:rPr>
          <w:rStyle w:val="FootnoteReference"/>
          <w:rFonts w:ascii="Arial" w:hAnsi="Arial"/>
        </w:rPr>
        <w:footnoteRef/>
      </w:r>
      <w:r w:rsidR="003F1C68" w:rsidRPr="00BC0FF1">
        <w:rPr>
          <w:rFonts w:ascii="Arial" w:hAnsi="Arial"/>
        </w:rPr>
        <w:t xml:space="preserve"> </w:t>
      </w:r>
      <w:r w:rsidR="003F1C68" w:rsidRPr="00BC0FF1">
        <w:rPr>
          <w:rFonts w:ascii="Arial" w:hAnsi="Arial"/>
        </w:rPr>
        <w:tab/>
      </w:r>
      <w:proofErr w:type="spellStart"/>
      <w:r w:rsidRPr="00BC0FF1">
        <w:rPr>
          <w:rFonts w:ascii="Arial" w:hAnsi="Arial"/>
        </w:rPr>
        <w:t>Nconco</w:t>
      </w:r>
      <w:proofErr w:type="spellEnd"/>
      <w:r w:rsidRPr="00BC0FF1">
        <w:rPr>
          <w:rFonts w:ascii="Arial" w:hAnsi="Arial"/>
        </w:rPr>
        <w:t xml:space="preserve"> 2012:28</w:t>
      </w:r>
    </w:p>
  </w:footnote>
  <w:footnote w:id="23">
    <w:p w14:paraId="111F172B" w14:textId="12206B4C"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00205FBE">
        <w:rPr>
          <w:rFonts w:ascii="Arial" w:hAnsi="Arial"/>
        </w:rPr>
        <w:t xml:space="preserve"> </w:t>
      </w:r>
      <w:r w:rsidR="00BA6AF4">
        <w:rPr>
          <w:rFonts w:ascii="Arial" w:hAnsi="Arial"/>
        </w:rPr>
        <w:tab/>
      </w:r>
      <w:r w:rsidRPr="00BC0FF1">
        <w:rPr>
          <w:rFonts w:ascii="Arial" w:hAnsi="Arial"/>
        </w:rPr>
        <w:t>Mushariwa 2011:441.</w:t>
      </w:r>
    </w:p>
  </w:footnote>
  <w:footnote w:id="24">
    <w:p w14:paraId="70C88DC5" w14:textId="5173DF30"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Pr="00BC0FF1">
        <w:rPr>
          <w:rFonts w:ascii="Arial" w:hAnsi="Arial"/>
        </w:rPr>
        <w:t xml:space="preserve">      </w:t>
      </w:r>
      <w:r w:rsidR="00205FBE">
        <w:rPr>
          <w:rFonts w:ascii="Arial" w:hAnsi="Arial"/>
        </w:rPr>
        <w:t xml:space="preserve"> </w:t>
      </w:r>
      <w:r w:rsidRPr="00BC0FF1">
        <w:rPr>
          <w:rFonts w:ascii="Arial" w:hAnsi="Arial"/>
        </w:rPr>
        <w:t>Dupper, Bhoola, and Garbers 2009:98-99.</w:t>
      </w:r>
    </w:p>
  </w:footnote>
  <w:footnote w:id="25">
    <w:p w14:paraId="58F3A927" w14:textId="199074D8"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003F1C68" w:rsidRPr="00BC0FF1">
        <w:rPr>
          <w:rFonts w:ascii="Arial" w:hAnsi="Arial"/>
        </w:rPr>
        <w:t xml:space="preserve"> </w:t>
      </w:r>
      <w:r w:rsidR="00205FBE">
        <w:rPr>
          <w:rFonts w:ascii="Arial" w:hAnsi="Arial"/>
        </w:rPr>
        <w:t xml:space="preserve">      </w:t>
      </w:r>
      <w:r w:rsidRPr="00BC0FF1">
        <w:rPr>
          <w:rFonts w:ascii="Arial" w:hAnsi="Arial"/>
        </w:rPr>
        <w:t>Dupper, Bhoola, and Garbers 2009:99-100.</w:t>
      </w:r>
    </w:p>
  </w:footnote>
  <w:footnote w:id="26">
    <w:p w14:paraId="16AD12AA" w14:textId="7F25182F"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Pr="00BC0FF1">
        <w:rPr>
          <w:rFonts w:ascii="Arial" w:hAnsi="Arial"/>
        </w:rPr>
        <w:t xml:space="preserve">       Mushariwa 2011:41</w:t>
      </w:r>
    </w:p>
  </w:footnote>
  <w:footnote w:id="27">
    <w:p w14:paraId="08B1C0E7" w14:textId="6F442C86" w:rsidR="00DA0357" w:rsidRPr="00BC0FF1" w:rsidRDefault="00DA0357" w:rsidP="00DA0357">
      <w:pPr>
        <w:pStyle w:val="FootnoteText"/>
        <w:ind w:left="567" w:hanging="567"/>
        <w:rPr>
          <w:rFonts w:ascii="Arial" w:hAnsi="Arial"/>
        </w:rPr>
      </w:pPr>
      <w:r w:rsidRPr="00BC0FF1">
        <w:rPr>
          <w:rStyle w:val="FootnoteReference"/>
          <w:rFonts w:ascii="Arial" w:hAnsi="Arial"/>
        </w:rPr>
        <w:footnoteRef/>
      </w:r>
      <w:r w:rsidRPr="00BC0FF1">
        <w:rPr>
          <w:rFonts w:ascii="Arial" w:hAnsi="Arial"/>
        </w:rPr>
        <w:t xml:space="preserve">       Mushariwa 2011:441.</w:t>
      </w:r>
    </w:p>
  </w:footnote>
  <w:footnote w:id="28">
    <w:p w14:paraId="264219CA" w14:textId="77777777" w:rsidR="00DA0357" w:rsidRPr="00BC0FF1" w:rsidRDefault="00DA0357" w:rsidP="00DA0357">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26" w:name="_Hlk163139036"/>
      <w:r w:rsidRPr="00BC0FF1">
        <w:rPr>
          <w:rFonts w:ascii="Arial" w:hAnsi="Arial"/>
        </w:rPr>
        <w:t xml:space="preserve">      </w:t>
      </w:r>
      <w:r w:rsidRPr="00BC0FF1">
        <w:rPr>
          <w:rFonts w:ascii="Arial" w:hAnsi="Arial"/>
          <w:i/>
          <w:iCs/>
          <w:lang w:val="en-ZA"/>
        </w:rPr>
        <w:t>Solidarity obo Barnard and Another v South African Police Services</w:t>
      </w:r>
      <w:r w:rsidRPr="00BC0FF1">
        <w:rPr>
          <w:rFonts w:ascii="Arial" w:hAnsi="Arial"/>
          <w:lang w:val="en-ZA"/>
        </w:rPr>
        <w:t>:</w:t>
      </w:r>
      <w:bookmarkEnd w:id="26"/>
      <w:r w:rsidRPr="00BC0FF1">
        <w:rPr>
          <w:rFonts w:ascii="Arial" w:hAnsi="Arial"/>
          <w:lang w:val="en-ZA"/>
        </w:rPr>
        <w:t>563.</w:t>
      </w:r>
    </w:p>
  </w:footnote>
  <w:footnote w:id="29">
    <w:p w14:paraId="50E412E1" w14:textId="328D1C69" w:rsidR="00DA0357" w:rsidRPr="00BC0FF1" w:rsidRDefault="00DA0357" w:rsidP="00B96449">
      <w:pPr>
        <w:pStyle w:val="FootnoteText"/>
        <w:ind w:left="510" w:hanging="510"/>
        <w:rPr>
          <w:rFonts w:ascii="Arial" w:hAnsi="Arial"/>
        </w:rPr>
      </w:pPr>
      <w:r w:rsidRPr="00BC0FF1">
        <w:rPr>
          <w:rStyle w:val="FootnoteReference"/>
          <w:rFonts w:ascii="Arial" w:hAnsi="Arial"/>
        </w:rPr>
        <w:footnoteRef/>
      </w:r>
      <w:r w:rsidRPr="00BC0FF1">
        <w:rPr>
          <w:rFonts w:ascii="Arial" w:hAnsi="Arial"/>
        </w:rPr>
        <w:t xml:space="preserve"> </w:t>
      </w:r>
      <w:bookmarkStart w:id="28" w:name="_Hlk163141995"/>
      <w:r w:rsidRPr="00BC0FF1">
        <w:rPr>
          <w:rFonts w:ascii="Arial" w:hAnsi="Arial"/>
        </w:rPr>
        <w:t xml:space="preserve">      </w:t>
      </w:r>
      <w:bookmarkEnd w:id="28"/>
      <w:r w:rsidR="00683D77" w:rsidRPr="00BC0FF1">
        <w:rPr>
          <w:rFonts w:ascii="Arial" w:hAnsi="Arial"/>
          <w:i/>
          <w:iCs/>
          <w:lang w:val="en-ZA"/>
        </w:rPr>
        <w:t xml:space="preserve">Abbott v Bargaining Council for the Motor Industry (Western Cape) </w:t>
      </w:r>
      <w:r w:rsidRPr="00BC0FF1">
        <w:rPr>
          <w:rFonts w:ascii="Arial" w:hAnsi="Arial"/>
        </w:rPr>
        <w:t>199 2 BLLR 115 (LC</w:t>
      </w:r>
      <w:proofErr w:type="gramStart"/>
      <w:r w:rsidRPr="00BC0FF1">
        <w:rPr>
          <w:rFonts w:ascii="Arial" w:hAnsi="Arial"/>
        </w:rPr>
        <w:t>)</w:t>
      </w:r>
      <w:r w:rsidRPr="00BC0FF1">
        <w:rPr>
          <w:rFonts w:ascii="Arial" w:hAnsi="Arial"/>
          <w:lang w:val="en-ZA"/>
        </w:rPr>
        <w:t>:</w:t>
      </w:r>
      <w:r w:rsidR="00B96449" w:rsidRPr="00BC0FF1">
        <w:rPr>
          <w:rFonts w:ascii="Arial" w:hAnsi="Arial"/>
          <w:lang w:val="en-ZA"/>
        </w:rPr>
        <w:t>par.</w:t>
      </w:r>
      <w:proofErr w:type="gramEnd"/>
      <w:r w:rsidRPr="00BC0FF1">
        <w:rPr>
          <w:rFonts w:ascii="Arial" w:hAnsi="Arial"/>
          <w:lang w:val="en-ZA"/>
        </w:rPr>
        <w:t>12.</w:t>
      </w:r>
    </w:p>
  </w:footnote>
  <w:footnote w:id="30">
    <w:p w14:paraId="58B519ED" w14:textId="4DF803EF" w:rsidR="00DA0357" w:rsidRPr="00BC0FF1" w:rsidRDefault="00DA0357" w:rsidP="00DA0357">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29" w:name="_Hlk163141947"/>
      <w:r w:rsidRPr="00BC0FF1">
        <w:rPr>
          <w:rFonts w:ascii="Arial" w:hAnsi="Arial"/>
        </w:rPr>
        <w:t xml:space="preserve">      </w:t>
      </w:r>
      <w:r w:rsidRPr="00BC0FF1">
        <w:rPr>
          <w:rFonts w:ascii="Arial" w:hAnsi="Arial"/>
          <w:i/>
          <w:iCs/>
          <w:lang w:val="en-ZA"/>
        </w:rPr>
        <w:t>Solidarity obo Barnard and Another v South African Police Services</w:t>
      </w:r>
      <w:bookmarkEnd w:id="29"/>
      <w:r w:rsidRPr="00BC0FF1">
        <w:rPr>
          <w:rFonts w:ascii="Arial" w:hAnsi="Arial"/>
          <w:lang w:val="en-ZA"/>
        </w:rPr>
        <w:t>:571.</w:t>
      </w:r>
    </w:p>
  </w:footnote>
  <w:footnote w:id="31">
    <w:p w14:paraId="36B09149" w14:textId="77777777" w:rsidR="00DA0357" w:rsidRPr="00BC0FF1" w:rsidRDefault="00DA0357" w:rsidP="00DA0357">
      <w:pPr>
        <w:pStyle w:val="FootnoteText"/>
        <w:rPr>
          <w:rFonts w:ascii="Arial" w:hAnsi="Arial"/>
          <w:i/>
          <w:iCs/>
          <w:lang w:val="en-ZA"/>
        </w:rPr>
      </w:pPr>
      <w:bookmarkStart w:id="30" w:name="_Hlk163142140"/>
      <w:r w:rsidRPr="00BC0FF1">
        <w:rPr>
          <w:rStyle w:val="FootnoteReference"/>
          <w:rFonts w:ascii="Arial" w:hAnsi="Arial"/>
        </w:rPr>
        <w:footnoteRef/>
      </w:r>
      <w:r w:rsidRPr="00BC0FF1">
        <w:rPr>
          <w:rFonts w:ascii="Arial" w:hAnsi="Arial"/>
        </w:rPr>
        <w:t xml:space="preserve">       Mushariwa 2011:439-452.</w:t>
      </w:r>
      <w:bookmarkEnd w:id="30"/>
    </w:p>
  </w:footnote>
  <w:footnote w:id="32">
    <w:p w14:paraId="2EC25E7C" w14:textId="3B48EAD0" w:rsidR="00DA0357" w:rsidRPr="00BC0FF1" w:rsidRDefault="00DA0357" w:rsidP="00DA0357">
      <w:pPr>
        <w:pStyle w:val="FootnoteText"/>
        <w:rPr>
          <w:rFonts w:ascii="Arial" w:hAnsi="Arial"/>
        </w:rPr>
      </w:pPr>
      <w:r w:rsidRPr="00BC0FF1">
        <w:rPr>
          <w:rStyle w:val="FootnoteReference"/>
          <w:rFonts w:ascii="Arial" w:hAnsi="Arial"/>
        </w:rPr>
        <w:footnoteRef/>
      </w:r>
      <w:bookmarkStart w:id="32" w:name="_Hlk163143365"/>
      <w:r w:rsidR="003F1C68" w:rsidRPr="00BC0FF1">
        <w:rPr>
          <w:rFonts w:ascii="Arial" w:hAnsi="Arial"/>
        </w:rPr>
        <w:t xml:space="preserve"> </w:t>
      </w:r>
      <w:r w:rsidR="003F1C68" w:rsidRPr="00BC0FF1">
        <w:rPr>
          <w:rFonts w:ascii="Arial" w:hAnsi="Arial"/>
        </w:rPr>
        <w:tab/>
      </w:r>
      <w:r w:rsidR="00205FBE">
        <w:rPr>
          <w:rFonts w:ascii="Arial" w:hAnsi="Arial"/>
        </w:rPr>
        <w:t xml:space="preserve"> </w:t>
      </w:r>
      <w:r w:rsidRPr="00BC0FF1">
        <w:rPr>
          <w:rFonts w:ascii="Arial" w:hAnsi="Arial"/>
        </w:rPr>
        <w:t>McGregor 2003</w:t>
      </w:r>
      <w:bookmarkEnd w:id="32"/>
      <w:r w:rsidRPr="00BC0FF1">
        <w:rPr>
          <w:rFonts w:ascii="Arial" w:hAnsi="Arial"/>
        </w:rPr>
        <w:t>:93.</w:t>
      </w:r>
    </w:p>
  </w:footnote>
  <w:footnote w:id="33">
    <w:p w14:paraId="71AF8107" w14:textId="2D8BB8FF" w:rsidR="00DA0357" w:rsidRPr="00BC0FF1" w:rsidRDefault="00DA0357" w:rsidP="00DA0357">
      <w:pPr>
        <w:pStyle w:val="FootnoteText"/>
        <w:rPr>
          <w:rFonts w:ascii="Arial" w:hAnsi="Arial"/>
        </w:rPr>
      </w:pPr>
      <w:r w:rsidRPr="00BC0FF1">
        <w:rPr>
          <w:rStyle w:val="FootnoteReference"/>
          <w:rFonts w:ascii="Arial" w:hAnsi="Arial"/>
        </w:rPr>
        <w:footnoteRef/>
      </w:r>
      <w:r w:rsidR="003F1C68" w:rsidRPr="00BC0FF1">
        <w:rPr>
          <w:rFonts w:ascii="Arial" w:hAnsi="Arial"/>
        </w:rPr>
        <w:t xml:space="preserve"> </w:t>
      </w:r>
      <w:r w:rsidR="003F1C68" w:rsidRPr="00BC0FF1">
        <w:rPr>
          <w:rFonts w:ascii="Arial" w:hAnsi="Arial"/>
        </w:rPr>
        <w:tab/>
      </w:r>
      <w:r w:rsidR="00205FBE">
        <w:rPr>
          <w:rFonts w:ascii="Arial" w:hAnsi="Arial"/>
        </w:rPr>
        <w:t xml:space="preserve"> </w:t>
      </w:r>
      <w:r w:rsidR="00683D77" w:rsidRPr="00BC0FF1">
        <w:rPr>
          <w:rFonts w:ascii="Arial" w:hAnsi="Arial"/>
          <w:i/>
          <w:iCs/>
          <w:lang w:val="en-ZA"/>
        </w:rPr>
        <w:t>Coetzer v Minister of Safety and Security</w:t>
      </w:r>
      <w:r w:rsidR="00683D77" w:rsidRPr="00BC0FF1">
        <w:rPr>
          <w:rFonts w:ascii="Arial" w:hAnsi="Arial"/>
          <w:lang w:val="en-ZA"/>
        </w:rPr>
        <w:t xml:space="preserve"> </w:t>
      </w:r>
      <w:r w:rsidRPr="00BC0FF1">
        <w:rPr>
          <w:rFonts w:ascii="Arial" w:hAnsi="Arial"/>
          <w:lang w:val="en-ZA"/>
        </w:rPr>
        <w:t>[2003] ZALC 11 (1 January 2003</w:t>
      </w:r>
      <w:proofErr w:type="gramStart"/>
      <w:r w:rsidRPr="00BC0FF1">
        <w:rPr>
          <w:rFonts w:ascii="Arial" w:hAnsi="Arial"/>
          <w:lang w:val="en-ZA"/>
        </w:rPr>
        <w:t>):par</w:t>
      </w:r>
      <w:proofErr w:type="gramEnd"/>
      <w:r w:rsidRPr="00BC0FF1">
        <w:rPr>
          <w:rFonts w:ascii="Arial" w:hAnsi="Arial"/>
          <w:lang w:val="en-ZA"/>
        </w:rPr>
        <w:t xml:space="preserve"> 34. </w:t>
      </w:r>
    </w:p>
  </w:footnote>
  <w:footnote w:id="34">
    <w:p w14:paraId="74F5DC68" w14:textId="6444E866" w:rsidR="00DA0357" w:rsidRPr="00BC0FF1" w:rsidRDefault="00DA0357" w:rsidP="00DA0357">
      <w:pPr>
        <w:pStyle w:val="FootnoteText"/>
        <w:rPr>
          <w:rFonts w:ascii="Arial" w:hAnsi="Arial"/>
          <w:lang w:val="en-ZA"/>
        </w:rPr>
      </w:pPr>
      <w:r w:rsidRPr="00BC0FF1">
        <w:rPr>
          <w:rStyle w:val="FootnoteReference"/>
          <w:rFonts w:ascii="Arial" w:hAnsi="Arial"/>
        </w:rPr>
        <w:footnoteRef/>
      </w:r>
      <w:r w:rsidR="003F1C68" w:rsidRPr="00BC0FF1">
        <w:rPr>
          <w:rFonts w:ascii="Arial" w:hAnsi="Arial"/>
        </w:rPr>
        <w:t xml:space="preserve"> </w:t>
      </w:r>
      <w:r w:rsidR="003F1C68" w:rsidRPr="00BC0FF1">
        <w:rPr>
          <w:rFonts w:ascii="Arial" w:hAnsi="Arial"/>
        </w:rPr>
        <w:tab/>
      </w:r>
      <w:r w:rsidR="00205FBE">
        <w:rPr>
          <w:rFonts w:ascii="Arial" w:hAnsi="Arial"/>
        </w:rPr>
        <w:t xml:space="preserve"> </w:t>
      </w:r>
      <w:r w:rsidRPr="00BC0FF1">
        <w:rPr>
          <w:rFonts w:ascii="Arial" w:hAnsi="Arial"/>
          <w:i/>
          <w:iCs/>
          <w:lang w:val="en-ZA"/>
        </w:rPr>
        <w:t xml:space="preserve">Dudley v City of Cape Town </w:t>
      </w:r>
      <w:r w:rsidRPr="00BC0FF1">
        <w:rPr>
          <w:rFonts w:ascii="Arial" w:hAnsi="Arial"/>
          <w:lang w:val="en-ZA"/>
        </w:rPr>
        <w:t>(2008) 29 ILJ 2685 (LAC</w:t>
      </w:r>
      <w:proofErr w:type="gramStart"/>
      <w:r w:rsidRPr="00BC0FF1">
        <w:rPr>
          <w:rFonts w:ascii="Arial" w:hAnsi="Arial"/>
          <w:lang w:val="en-ZA"/>
        </w:rPr>
        <w:t>):par.</w:t>
      </w:r>
      <w:proofErr w:type="gramEnd"/>
      <w:r w:rsidRPr="00BC0FF1">
        <w:rPr>
          <w:rFonts w:ascii="Arial" w:hAnsi="Arial"/>
          <w:lang w:val="en-ZA"/>
        </w:rPr>
        <w:t>3.</w:t>
      </w:r>
    </w:p>
    <w:p w14:paraId="17156D28" w14:textId="77777777" w:rsidR="00DA0357" w:rsidRPr="00BC0FF1" w:rsidRDefault="00DA0357" w:rsidP="00DA0357">
      <w:pPr>
        <w:pStyle w:val="FootnoteText"/>
        <w:rPr>
          <w:rFonts w:ascii="Arial" w:hAnsi="Arial"/>
        </w:rPr>
      </w:pPr>
    </w:p>
  </w:footnote>
  <w:footnote w:id="35">
    <w:p w14:paraId="2B8FFE4C" w14:textId="6B031812" w:rsidR="00350117" w:rsidRDefault="00350117">
      <w:pPr>
        <w:pStyle w:val="FootnoteText"/>
      </w:pPr>
      <w:r>
        <w:rPr>
          <w:rStyle w:val="FootnoteReference"/>
        </w:rPr>
        <w:footnoteRef/>
      </w:r>
      <w:r>
        <w:t xml:space="preserve"> </w:t>
      </w:r>
      <w:r>
        <w:tab/>
      </w:r>
      <w:r w:rsidRPr="00BC0FF1">
        <w:rPr>
          <w:rFonts w:ascii="Arial" w:hAnsi="Arial"/>
        </w:rPr>
        <w:t>55/1998</w:t>
      </w:r>
    </w:p>
  </w:footnote>
  <w:footnote w:id="36">
    <w:p w14:paraId="3D1501FB" w14:textId="0320B303" w:rsidR="00F62EA9" w:rsidRDefault="00F62EA9">
      <w:pPr>
        <w:pStyle w:val="FootnoteText"/>
      </w:pPr>
      <w:r>
        <w:rPr>
          <w:rStyle w:val="FootnoteReference"/>
        </w:rPr>
        <w:footnoteRef/>
      </w:r>
      <w:r>
        <w:t xml:space="preserve"> </w:t>
      </w:r>
      <w:r>
        <w:tab/>
      </w:r>
      <w:r w:rsidRPr="00BC0FF1">
        <w:rPr>
          <w:rFonts w:ascii="Arial" w:hAnsi="Arial"/>
        </w:rPr>
        <w:t>53/2003.</w:t>
      </w:r>
    </w:p>
  </w:footnote>
  <w:footnote w:id="37">
    <w:p w14:paraId="0CD460B1" w14:textId="7F51BA51" w:rsidR="00350117" w:rsidRPr="00350117" w:rsidRDefault="00350117">
      <w:pPr>
        <w:pStyle w:val="FootnoteText"/>
        <w:rPr>
          <w:rFonts w:ascii="Arial" w:hAnsi="Arial"/>
        </w:rPr>
      </w:pPr>
      <w:r>
        <w:rPr>
          <w:rStyle w:val="FootnoteReference"/>
        </w:rPr>
        <w:footnoteRef/>
      </w:r>
      <w:r>
        <w:t xml:space="preserve"> </w:t>
      </w:r>
      <w:r>
        <w:tab/>
      </w:r>
      <w:r w:rsidRPr="00350117">
        <w:rPr>
          <w:rFonts w:ascii="Arial" w:hAnsi="Arial"/>
          <w:i/>
          <w:iCs/>
        </w:rPr>
        <w:t>Constitution of the Republic of South Africa</w:t>
      </w:r>
      <w:r w:rsidRPr="00350117">
        <w:rPr>
          <w:rFonts w:ascii="Arial" w:hAnsi="Arial"/>
        </w:rPr>
        <w:t>, 1996.</w:t>
      </w:r>
    </w:p>
  </w:footnote>
  <w:footnote w:id="38">
    <w:p w14:paraId="373CF715" w14:textId="268B0E7F" w:rsidR="00664603" w:rsidRPr="00BC0FF1" w:rsidRDefault="00664603" w:rsidP="00664603">
      <w:pPr>
        <w:pStyle w:val="FootnoteText"/>
        <w:rPr>
          <w:rFonts w:ascii="Arial" w:hAnsi="Arial"/>
        </w:rPr>
      </w:pPr>
      <w:r w:rsidRPr="00BC0FF1">
        <w:rPr>
          <w:rStyle w:val="FootnoteReference"/>
          <w:rFonts w:ascii="Arial" w:hAnsi="Arial"/>
          <w:i/>
          <w:iCs/>
        </w:rPr>
        <w:footnoteRef/>
      </w:r>
      <w:r w:rsidR="003F1C68" w:rsidRPr="00BC0FF1">
        <w:rPr>
          <w:rFonts w:ascii="Arial" w:hAnsi="Arial"/>
          <w:i/>
          <w:iCs/>
        </w:rPr>
        <w:t xml:space="preserve"> </w:t>
      </w:r>
      <w:r w:rsidR="003F1C68" w:rsidRPr="00BC0FF1">
        <w:rPr>
          <w:rFonts w:ascii="Arial" w:hAnsi="Arial"/>
          <w:i/>
          <w:iCs/>
        </w:rPr>
        <w:tab/>
      </w:r>
      <w:r w:rsidRPr="00BC0FF1">
        <w:rPr>
          <w:rFonts w:ascii="Arial" w:hAnsi="Arial"/>
          <w:i/>
          <w:iCs/>
        </w:rPr>
        <w:t>Industrial Conciliation Act</w:t>
      </w:r>
      <w:r w:rsidRPr="00BC0FF1">
        <w:rPr>
          <w:rFonts w:ascii="Arial" w:hAnsi="Arial"/>
        </w:rPr>
        <w:t xml:space="preserve"> 11/1924.</w:t>
      </w:r>
    </w:p>
  </w:footnote>
  <w:footnote w:id="39">
    <w:p w14:paraId="38DFB79F" w14:textId="52D0E967" w:rsidR="00664603" w:rsidRPr="00BC0FF1" w:rsidRDefault="00664603" w:rsidP="00664603">
      <w:pPr>
        <w:pStyle w:val="FootnoteText"/>
        <w:rPr>
          <w:rFonts w:ascii="Arial" w:hAnsi="Arial"/>
        </w:rPr>
      </w:pPr>
      <w:r w:rsidRPr="00BC0FF1">
        <w:rPr>
          <w:rStyle w:val="FootnoteReference"/>
          <w:rFonts w:ascii="Arial" w:hAnsi="Arial"/>
          <w:i/>
          <w:iCs/>
        </w:rPr>
        <w:footnoteRef/>
      </w:r>
      <w:r w:rsidRPr="00BC0FF1">
        <w:rPr>
          <w:rFonts w:ascii="Arial" w:hAnsi="Arial"/>
          <w:i/>
          <w:iCs/>
        </w:rPr>
        <w:t xml:space="preserve">     Mines and Works Act</w:t>
      </w:r>
      <w:r w:rsidRPr="00BC0FF1">
        <w:rPr>
          <w:rFonts w:ascii="Arial" w:hAnsi="Arial"/>
        </w:rPr>
        <w:t xml:space="preserve"> 25/1926.</w:t>
      </w:r>
    </w:p>
  </w:footnote>
  <w:footnote w:id="40">
    <w:p w14:paraId="7994242D" w14:textId="1CD385BC" w:rsidR="00664603" w:rsidRPr="00BC0FF1" w:rsidRDefault="00664603" w:rsidP="00664603">
      <w:pPr>
        <w:pStyle w:val="FootnoteText"/>
        <w:rPr>
          <w:rFonts w:ascii="Arial" w:hAnsi="Arial"/>
        </w:rPr>
      </w:pPr>
      <w:r w:rsidRPr="00BC0FF1">
        <w:rPr>
          <w:rStyle w:val="FootnoteReference"/>
          <w:rFonts w:ascii="Arial" w:hAnsi="Arial"/>
        </w:rPr>
        <w:footnoteRef/>
      </w:r>
      <w:r w:rsidR="007708DB">
        <w:rPr>
          <w:rFonts w:ascii="Arial" w:hAnsi="Arial"/>
        </w:rPr>
        <w:t xml:space="preserve"> </w:t>
      </w:r>
      <w:r w:rsidR="007708DB">
        <w:rPr>
          <w:rFonts w:ascii="Arial" w:hAnsi="Arial"/>
        </w:rPr>
        <w:tab/>
      </w:r>
      <w:r w:rsidRPr="00BC0FF1">
        <w:rPr>
          <w:rFonts w:ascii="Arial" w:hAnsi="Arial"/>
        </w:rPr>
        <w:t>Botha 1933:4.</w:t>
      </w:r>
    </w:p>
  </w:footnote>
  <w:footnote w:id="41">
    <w:p w14:paraId="433CD53F" w14:textId="51B600C5" w:rsidR="00664603" w:rsidRPr="00BC0FF1" w:rsidRDefault="00664603" w:rsidP="00664603">
      <w:pPr>
        <w:pStyle w:val="FootnoteText"/>
        <w:rPr>
          <w:rFonts w:ascii="Arial" w:hAnsi="Arial"/>
        </w:rPr>
      </w:pPr>
      <w:r w:rsidRPr="00BC0FF1">
        <w:rPr>
          <w:rStyle w:val="FootnoteReference"/>
          <w:rFonts w:ascii="Arial" w:hAnsi="Arial"/>
        </w:rPr>
        <w:footnoteRef/>
      </w:r>
      <w:r w:rsidR="007708DB">
        <w:rPr>
          <w:rFonts w:ascii="Arial" w:hAnsi="Arial"/>
        </w:rPr>
        <w:t xml:space="preserve"> </w:t>
      </w:r>
      <w:r w:rsidR="007708DB">
        <w:rPr>
          <w:rFonts w:ascii="Arial" w:hAnsi="Arial"/>
        </w:rPr>
        <w:tab/>
      </w:r>
      <w:r w:rsidRPr="00BC0FF1">
        <w:rPr>
          <w:rFonts w:ascii="Arial" w:hAnsi="Arial"/>
        </w:rPr>
        <w:t>Worden 1985:82-84.</w:t>
      </w:r>
    </w:p>
  </w:footnote>
  <w:footnote w:id="42">
    <w:p w14:paraId="0FCDB851" w14:textId="4A5B57A8" w:rsidR="00664603" w:rsidRPr="00BC0FF1" w:rsidRDefault="00664603" w:rsidP="00664603">
      <w:pPr>
        <w:pStyle w:val="FootnoteText"/>
        <w:rPr>
          <w:rFonts w:ascii="Arial" w:hAnsi="Arial"/>
        </w:rPr>
      </w:pPr>
      <w:r w:rsidRPr="00BC0FF1">
        <w:rPr>
          <w:rStyle w:val="FootnoteReference"/>
          <w:rFonts w:ascii="Arial" w:hAnsi="Arial"/>
        </w:rPr>
        <w:footnoteRef/>
      </w:r>
      <w:bookmarkStart w:id="40" w:name="_Hlk182153542"/>
      <w:r w:rsidR="007708DB">
        <w:rPr>
          <w:rFonts w:ascii="Arial" w:hAnsi="Arial"/>
        </w:rPr>
        <w:t xml:space="preserve"> </w:t>
      </w:r>
      <w:r w:rsidR="007708DB">
        <w:rPr>
          <w:rFonts w:ascii="Arial" w:hAnsi="Arial"/>
        </w:rPr>
        <w:tab/>
      </w:r>
      <w:proofErr w:type="spellStart"/>
      <w:r w:rsidRPr="00BC0FF1">
        <w:rPr>
          <w:rFonts w:ascii="Arial" w:hAnsi="Arial"/>
        </w:rPr>
        <w:t>Giliomee</w:t>
      </w:r>
      <w:proofErr w:type="spellEnd"/>
      <w:r w:rsidRPr="00BC0FF1">
        <w:rPr>
          <w:rFonts w:ascii="Arial" w:hAnsi="Arial"/>
        </w:rPr>
        <w:t xml:space="preserve"> &amp; Elphick 1979</w:t>
      </w:r>
      <w:bookmarkEnd w:id="40"/>
      <w:r w:rsidRPr="00BC0FF1">
        <w:rPr>
          <w:rFonts w:ascii="Arial" w:hAnsi="Arial"/>
        </w:rPr>
        <w:t>:142.</w:t>
      </w:r>
    </w:p>
  </w:footnote>
  <w:footnote w:id="43">
    <w:p w14:paraId="6522AD8A" w14:textId="3DE8AF83" w:rsidR="00664603" w:rsidRPr="00BC0FF1" w:rsidRDefault="00664603" w:rsidP="00664603">
      <w:pPr>
        <w:pStyle w:val="FootnoteText"/>
        <w:rPr>
          <w:rFonts w:ascii="Arial" w:hAnsi="Arial"/>
        </w:rPr>
      </w:pPr>
      <w:r w:rsidRPr="00BC0FF1">
        <w:rPr>
          <w:rStyle w:val="FootnoteReference"/>
          <w:rFonts w:ascii="Arial" w:hAnsi="Arial"/>
        </w:rPr>
        <w:footnoteRef/>
      </w:r>
      <w:bookmarkStart w:id="41" w:name="_Hlk182153762"/>
      <w:r w:rsidR="007708DB">
        <w:rPr>
          <w:rFonts w:ascii="Arial" w:hAnsi="Arial"/>
        </w:rPr>
        <w:t xml:space="preserve"> </w:t>
      </w:r>
      <w:r w:rsidR="007708DB">
        <w:rPr>
          <w:rFonts w:ascii="Arial" w:hAnsi="Arial"/>
        </w:rPr>
        <w:tab/>
      </w:r>
      <w:r w:rsidRPr="00BC0FF1">
        <w:rPr>
          <w:rFonts w:ascii="Arial" w:hAnsi="Arial"/>
        </w:rPr>
        <w:t>Penn 2005:102</w:t>
      </w:r>
      <w:bookmarkEnd w:id="41"/>
      <w:r w:rsidRPr="00BC0FF1">
        <w:rPr>
          <w:rFonts w:ascii="Arial" w:hAnsi="Arial"/>
        </w:rPr>
        <w:t>.</w:t>
      </w:r>
    </w:p>
  </w:footnote>
  <w:footnote w:id="44">
    <w:p w14:paraId="7E68707A" w14:textId="33A20106" w:rsidR="00664603" w:rsidRPr="00BC0FF1" w:rsidRDefault="00664603" w:rsidP="00664603">
      <w:pPr>
        <w:pStyle w:val="FootnoteText"/>
        <w:rPr>
          <w:rFonts w:ascii="Arial" w:hAnsi="Arial"/>
        </w:rPr>
      </w:pPr>
      <w:r w:rsidRPr="00BC0FF1">
        <w:rPr>
          <w:rStyle w:val="FootnoteReference"/>
          <w:rFonts w:ascii="Arial" w:hAnsi="Arial"/>
        </w:rPr>
        <w:footnoteRef/>
      </w:r>
      <w:bookmarkStart w:id="42" w:name="_Hlk182153807"/>
      <w:r w:rsidRPr="00BC0FF1">
        <w:rPr>
          <w:rFonts w:ascii="Arial" w:hAnsi="Arial"/>
        </w:rPr>
        <w:t xml:space="preserve">     Ross 2008:</w:t>
      </w:r>
      <w:bookmarkEnd w:id="42"/>
      <w:r w:rsidRPr="00BC0FF1">
        <w:rPr>
          <w:rFonts w:ascii="Arial" w:hAnsi="Arial"/>
        </w:rPr>
        <w:t>74.</w:t>
      </w:r>
    </w:p>
  </w:footnote>
  <w:footnote w:id="45">
    <w:p w14:paraId="07B0075D" w14:textId="7C092B00"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Penn N 2005</w:t>
      </w:r>
      <w:r w:rsidRPr="00BC0FF1">
        <w:rPr>
          <w:rFonts w:ascii="Arial" w:hAnsi="Arial"/>
          <w:i/>
          <w:iCs/>
        </w:rPr>
        <w:t>:</w:t>
      </w:r>
      <w:r w:rsidRPr="00BC0FF1">
        <w:rPr>
          <w:rFonts w:ascii="Arial" w:hAnsi="Arial"/>
        </w:rPr>
        <w:t>104</w:t>
      </w:r>
      <w:r w:rsidRPr="00BC0FF1">
        <w:rPr>
          <w:rFonts w:ascii="Arial" w:hAnsi="Arial"/>
          <w:i/>
          <w:iCs/>
        </w:rPr>
        <w:t>.</w:t>
      </w:r>
    </w:p>
  </w:footnote>
  <w:footnote w:id="46">
    <w:p w14:paraId="071724D3" w14:textId="518FD13F"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Saunders &amp; Southey 200:143.</w:t>
      </w:r>
    </w:p>
  </w:footnote>
  <w:footnote w:id="47">
    <w:p w14:paraId="10843842" w14:textId="6570B59F" w:rsidR="00664603" w:rsidRPr="00BC0FF1" w:rsidRDefault="00664603" w:rsidP="00664603">
      <w:pPr>
        <w:pStyle w:val="FootnoteText"/>
        <w:rPr>
          <w:rFonts w:ascii="Arial" w:hAnsi="Arial"/>
        </w:rPr>
      </w:pPr>
      <w:r w:rsidRPr="00BC0FF1">
        <w:rPr>
          <w:rStyle w:val="FootnoteReference"/>
          <w:rFonts w:ascii="Arial" w:hAnsi="Arial"/>
        </w:rPr>
        <w:footnoteRef/>
      </w:r>
      <w:r w:rsidR="003F1C68" w:rsidRPr="00BC0FF1">
        <w:rPr>
          <w:rFonts w:ascii="Arial" w:hAnsi="Arial"/>
        </w:rPr>
        <w:t xml:space="preserve"> </w:t>
      </w:r>
      <w:r w:rsidR="003F1C68" w:rsidRPr="00BC0FF1">
        <w:rPr>
          <w:rFonts w:ascii="Arial" w:hAnsi="Arial"/>
        </w:rPr>
        <w:tab/>
      </w:r>
      <w:r w:rsidRPr="00BC0FF1">
        <w:rPr>
          <w:rFonts w:ascii="Arial" w:hAnsi="Arial"/>
        </w:rPr>
        <w:t>Penn 2005:103-104.</w:t>
      </w:r>
    </w:p>
  </w:footnote>
  <w:footnote w:id="48">
    <w:p w14:paraId="3B6F015C" w14:textId="10ABB5D8"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44" w:name="_Hlk182153959"/>
      <w:r w:rsidRPr="00BC0FF1">
        <w:rPr>
          <w:rFonts w:ascii="Arial" w:hAnsi="Arial"/>
        </w:rPr>
        <w:t xml:space="preserve">    Van der Horst 1942</w:t>
      </w:r>
      <w:bookmarkEnd w:id="44"/>
      <w:r w:rsidRPr="00BC0FF1">
        <w:rPr>
          <w:rFonts w:ascii="Arial" w:hAnsi="Arial"/>
        </w:rPr>
        <w:t>:17.</w:t>
      </w:r>
    </w:p>
  </w:footnote>
  <w:footnote w:id="49">
    <w:p w14:paraId="2C9407E8" w14:textId="5999967F"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Harries 1994:210.</w:t>
      </w:r>
    </w:p>
  </w:footnote>
  <w:footnote w:id="50">
    <w:p w14:paraId="46000ED2" w14:textId="742F61FF"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45" w:name="_Hlk182154050"/>
      <w:r w:rsidRPr="00BC0FF1">
        <w:rPr>
          <w:rFonts w:ascii="Arial" w:hAnsi="Arial"/>
        </w:rPr>
        <w:t xml:space="preserve">    </w:t>
      </w:r>
      <w:proofErr w:type="spellStart"/>
      <w:r w:rsidRPr="00BC0FF1">
        <w:rPr>
          <w:rFonts w:ascii="Arial" w:hAnsi="Arial"/>
        </w:rPr>
        <w:t>Trapido</w:t>
      </w:r>
      <w:proofErr w:type="spellEnd"/>
      <w:r w:rsidRPr="00BC0FF1">
        <w:rPr>
          <w:rFonts w:ascii="Arial" w:hAnsi="Arial"/>
        </w:rPr>
        <w:t xml:space="preserve"> 2008</w:t>
      </w:r>
      <w:bookmarkEnd w:id="45"/>
      <w:r w:rsidRPr="00BC0FF1">
        <w:rPr>
          <w:rFonts w:ascii="Arial" w:hAnsi="Arial"/>
        </w:rPr>
        <w:t>:78-79.</w:t>
      </w:r>
    </w:p>
  </w:footnote>
  <w:footnote w:id="51">
    <w:p w14:paraId="686ABAC9" w14:textId="27FA3A4F" w:rsidR="007708DB" w:rsidRDefault="007708DB">
      <w:pPr>
        <w:pStyle w:val="FootnoteText"/>
      </w:pPr>
      <w:r>
        <w:rPr>
          <w:rStyle w:val="FootnoteReference"/>
        </w:rPr>
        <w:footnoteRef/>
      </w:r>
      <w:r>
        <w:t xml:space="preserve"> </w:t>
      </w:r>
      <w:r>
        <w:tab/>
      </w:r>
      <w:r w:rsidRPr="00BC0FF1">
        <w:rPr>
          <w:rFonts w:ascii="Arial" w:hAnsi="Arial"/>
        </w:rPr>
        <w:t>Keegan 1988:95-96</w:t>
      </w:r>
    </w:p>
  </w:footnote>
  <w:footnote w:id="52">
    <w:p w14:paraId="57911A0B" w14:textId="4B7D5070" w:rsidR="00664603" w:rsidRPr="00BC0FF1" w:rsidRDefault="00664603" w:rsidP="00664603">
      <w:pPr>
        <w:pStyle w:val="FootnoteText"/>
        <w:rPr>
          <w:rFonts w:ascii="Arial" w:hAnsi="Arial"/>
        </w:rPr>
      </w:pPr>
      <w:r w:rsidRPr="00BC0FF1">
        <w:rPr>
          <w:rStyle w:val="FootnoteReference"/>
          <w:rFonts w:ascii="Arial" w:hAnsi="Arial"/>
        </w:rPr>
        <w:footnoteRef/>
      </w:r>
      <w:bookmarkStart w:id="49" w:name="_Hlk182154279"/>
      <w:r w:rsidR="00F96F18">
        <w:rPr>
          <w:rFonts w:ascii="Arial" w:hAnsi="Arial"/>
        </w:rPr>
        <w:t xml:space="preserve"> </w:t>
      </w:r>
      <w:r w:rsidR="00F96F18">
        <w:rPr>
          <w:rFonts w:ascii="Arial" w:hAnsi="Arial"/>
        </w:rPr>
        <w:tab/>
      </w:r>
      <w:r w:rsidRPr="00BC0FF1">
        <w:rPr>
          <w:rFonts w:ascii="Arial" w:hAnsi="Arial"/>
        </w:rPr>
        <w:t>Beinart &amp; Delius 2014:</w:t>
      </w:r>
      <w:bookmarkEnd w:id="49"/>
      <w:r w:rsidRPr="00BC0FF1">
        <w:rPr>
          <w:rFonts w:ascii="Arial" w:hAnsi="Arial"/>
        </w:rPr>
        <w:t>115.</w:t>
      </w:r>
    </w:p>
  </w:footnote>
  <w:footnote w:id="53">
    <w:p w14:paraId="74A1023E" w14:textId="56D20247" w:rsidR="00664603" w:rsidRPr="00BC0FF1" w:rsidRDefault="00664603" w:rsidP="00664603">
      <w:pPr>
        <w:pStyle w:val="FootnoteText"/>
        <w:rPr>
          <w:rFonts w:ascii="Arial" w:hAnsi="Arial"/>
        </w:rPr>
      </w:pPr>
      <w:r w:rsidRPr="00BC0FF1">
        <w:rPr>
          <w:rStyle w:val="FootnoteReference"/>
          <w:rFonts w:ascii="Arial" w:hAnsi="Arial"/>
        </w:rPr>
        <w:footnoteRef/>
      </w:r>
      <w:bookmarkStart w:id="50" w:name="_Hlk182154336"/>
      <w:r w:rsidR="00F96F18">
        <w:rPr>
          <w:rFonts w:ascii="Arial" w:hAnsi="Arial"/>
        </w:rPr>
        <w:t xml:space="preserve"> </w:t>
      </w:r>
      <w:r w:rsidR="00F96F18">
        <w:rPr>
          <w:rFonts w:ascii="Arial" w:hAnsi="Arial"/>
        </w:rPr>
        <w:tab/>
      </w:r>
      <w:proofErr w:type="spellStart"/>
      <w:r w:rsidRPr="00BC0FF1">
        <w:rPr>
          <w:rFonts w:ascii="Arial" w:hAnsi="Arial"/>
        </w:rPr>
        <w:t>Ntsebeza</w:t>
      </w:r>
      <w:proofErr w:type="spellEnd"/>
      <w:r w:rsidRPr="00BC0FF1">
        <w:rPr>
          <w:rFonts w:ascii="Arial" w:hAnsi="Arial"/>
        </w:rPr>
        <w:t xml:space="preserve"> 2007</w:t>
      </w:r>
      <w:bookmarkEnd w:id="50"/>
      <w:r w:rsidRPr="00BC0FF1">
        <w:rPr>
          <w:rFonts w:ascii="Arial" w:hAnsi="Arial"/>
        </w:rPr>
        <w:t>:107.</w:t>
      </w:r>
    </w:p>
  </w:footnote>
  <w:footnote w:id="54">
    <w:p w14:paraId="5FDFF417" w14:textId="0EB2AFBA" w:rsidR="00664603" w:rsidRPr="00BC0FF1" w:rsidRDefault="00664603" w:rsidP="00664603">
      <w:pPr>
        <w:pStyle w:val="FootnoteText"/>
        <w:rPr>
          <w:rFonts w:ascii="Arial" w:hAnsi="Arial"/>
        </w:rPr>
      </w:pPr>
      <w:r w:rsidRPr="00BC0FF1">
        <w:rPr>
          <w:rStyle w:val="FootnoteReference"/>
          <w:rFonts w:ascii="Arial" w:hAnsi="Arial"/>
        </w:rPr>
        <w:footnoteRef/>
      </w:r>
      <w:bookmarkStart w:id="53" w:name="_Hlk182154376"/>
      <w:r w:rsidR="00EC2252" w:rsidRPr="00BC0FF1">
        <w:rPr>
          <w:rFonts w:ascii="Arial" w:hAnsi="Arial"/>
        </w:rPr>
        <w:t xml:space="preserve"> </w:t>
      </w:r>
      <w:r w:rsidR="00476451">
        <w:rPr>
          <w:rFonts w:ascii="Arial" w:hAnsi="Arial"/>
        </w:rPr>
        <w:tab/>
      </w:r>
      <w:proofErr w:type="spellStart"/>
      <w:r w:rsidRPr="00BC0FF1">
        <w:rPr>
          <w:rFonts w:ascii="Arial" w:hAnsi="Arial"/>
        </w:rPr>
        <w:t>Hirson</w:t>
      </w:r>
      <w:proofErr w:type="spellEnd"/>
      <w:r w:rsidRPr="00BC0FF1">
        <w:rPr>
          <w:rFonts w:ascii="Arial" w:hAnsi="Arial"/>
        </w:rPr>
        <w:t xml:space="preserve"> 1979</w:t>
      </w:r>
      <w:bookmarkEnd w:id="53"/>
      <w:r w:rsidRPr="00BC0FF1">
        <w:rPr>
          <w:rFonts w:ascii="Arial" w:hAnsi="Arial"/>
        </w:rPr>
        <w:t>:98.</w:t>
      </w:r>
    </w:p>
  </w:footnote>
  <w:footnote w:id="55">
    <w:p w14:paraId="2DA40207" w14:textId="57A6DF1E" w:rsidR="00664603" w:rsidRPr="00BC0FF1" w:rsidRDefault="00664603" w:rsidP="00664603">
      <w:pPr>
        <w:pStyle w:val="FootnoteText"/>
        <w:rPr>
          <w:rFonts w:ascii="Arial" w:hAnsi="Arial"/>
        </w:rPr>
      </w:pPr>
      <w:r w:rsidRPr="00BC0FF1">
        <w:rPr>
          <w:rStyle w:val="FootnoteReference"/>
          <w:rFonts w:ascii="Arial" w:hAnsi="Arial"/>
        </w:rPr>
        <w:footnoteRef/>
      </w:r>
      <w:bookmarkStart w:id="54" w:name="_Hlk182154451"/>
      <w:r w:rsidR="00476451">
        <w:rPr>
          <w:rFonts w:ascii="Arial" w:hAnsi="Arial"/>
        </w:rPr>
        <w:t xml:space="preserve"> </w:t>
      </w:r>
      <w:r w:rsidR="00476451">
        <w:rPr>
          <w:rFonts w:ascii="Arial" w:hAnsi="Arial"/>
        </w:rPr>
        <w:tab/>
      </w:r>
      <w:r w:rsidRPr="00BC0FF1">
        <w:rPr>
          <w:rFonts w:ascii="Arial" w:hAnsi="Arial"/>
        </w:rPr>
        <w:t>Crankshaw 2002</w:t>
      </w:r>
      <w:bookmarkEnd w:id="54"/>
      <w:r w:rsidRPr="00BC0FF1">
        <w:rPr>
          <w:rFonts w:ascii="Arial" w:hAnsi="Arial"/>
        </w:rPr>
        <w:t>:45.</w:t>
      </w:r>
    </w:p>
  </w:footnote>
  <w:footnote w:id="56">
    <w:p w14:paraId="07EEA10F" w14:textId="43D0F8BC" w:rsidR="00664603" w:rsidRPr="00BC0FF1" w:rsidRDefault="00664603" w:rsidP="00664603">
      <w:pPr>
        <w:pStyle w:val="FootnoteText"/>
        <w:rPr>
          <w:rFonts w:ascii="Arial" w:hAnsi="Arial"/>
        </w:rPr>
      </w:pPr>
      <w:r w:rsidRPr="00BC0FF1">
        <w:rPr>
          <w:rStyle w:val="FootnoteReference"/>
          <w:rFonts w:ascii="Arial" w:hAnsi="Arial"/>
        </w:rPr>
        <w:footnoteRef/>
      </w:r>
      <w:bookmarkStart w:id="55" w:name="_Hlk182154493"/>
      <w:r w:rsidR="00F96F18">
        <w:rPr>
          <w:rFonts w:ascii="Arial" w:hAnsi="Arial"/>
        </w:rPr>
        <w:t xml:space="preserve"> </w:t>
      </w:r>
      <w:r w:rsidR="00F96F18">
        <w:rPr>
          <w:rFonts w:ascii="Arial" w:hAnsi="Arial"/>
        </w:rPr>
        <w:tab/>
      </w:r>
      <w:r w:rsidRPr="00BC0FF1">
        <w:rPr>
          <w:rFonts w:ascii="Arial" w:hAnsi="Arial"/>
        </w:rPr>
        <w:t>Lipton 1989</w:t>
      </w:r>
      <w:bookmarkEnd w:id="55"/>
      <w:r w:rsidRPr="00BC0FF1">
        <w:rPr>
          <w:rFonts w:ascii="Arial" w:hAnsi="Arial"/>
        </w:rPr>
        <w:t>:49.</w:t>
      </w:r>
    </w:p>
  </w:footnote>
  <w:footnote w:id="57">
    <w:p w14:paraId="30308CD6" w14:textId="217AEEAC" w:rsidR="00664603" w:rsidRPr="00BC0FF1" w:rsidRDefault="00664603" w:rsidP="00664603">
      <w:pPr>
        <w:pStyle w:val="FootnoteText"/>
        <w:rPr>
          <w:rFonts w:ascii="Arial" w:hAnsi="Arial"/>
        </w:rPr>
      </w:pPr>
      <w:r w:rsidRPr="00BC0FF1">
        <w:rPr>
          <w:rStyle w:val="FootnoteReference"/>
          <w:rFonts w:ascii="Arial" w:hAnsi="Arial"/>
        </w:rPr>
        <w:footnoteRef/>
      </w:r>
      <w:bookmarkStart w:id="57" w:name="_Hlk182154544"/>
      <w:r w:rsidR="00F96F18">
        <w:rPr>
          <w:rFonts w:ascii="Arial" w:hAnsi="Arial"/>
        </w:rPr>
        <w:t xml:space="preserve"> </w:t>
      </w:r>
      <w:r w:rsidR="00F96F18">
        <w:rPr>
          <w:rFonts w:ascii="Arial" w:hAnsi="Arial"/>
        </w:rPr>
        <w:tab/>
      </w:r>
      <w:r w:rsidRPr="00BC0FF1">
        <w:rPr>
          <w:rFonts w:ascii="Arial" w:hAnsi="Arial"/>
        </w:rPr>
        <w:t>Horrell 1978</w:t>
      </w:r>
      <w:bookmarkEnd w:id="57"/>
      <w:r w:rsidRPr="00BC0FF1">
        <w:rPr>
          <w:rFonts w:ascii="Arial" w:hAnsi="Arial"/>
        </w:rPr>
        <w:t>:87.</w:t>
      </w:r>
    </w:p>
  </w:footnote>
  <w:footnote w:id="58">
    <w:p w14:paraId="5197BF57" w14:textId="798CF6E9"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Horrell 1978:87.</w:t>
      </w:r>
    </w:p>
  </w:footnote>
  <w:footnote w:id="59">
    <w:p w14:paraId="45943F07" w14:textId="1AF17046"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58" w:name="_Hlk182154614"/>
      <w:r w:rsidRPr="00BC0FF1">
        <w:rPr>
          <w:rFonts w:ascii="Arial" w:hAnsi="Arial"/>
        </w:rPr>
        <w:t xml:space="preserve">    Horrell 1970</w:t>
      </w:r>
      <w:bookmarkEnd w:id="58"/>
      <w:r w:rsidRPr="00BC0FF1">
        <w:rPr>
          <w:rFonts w:ascii="Arial" w:hAnsi="Arial"/>
        </w:rPr>
        <w:t>:112.</w:t>
      </w:r>
    </w:p>
  </w:footnote>
  <w:footnote w:id="60">
    <w:p w14:paraId="13151336" w14:textId="2E46D6D9"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60" w:name="_Hlk182154697"/>
      <w:r w:rsidRPr="00BC0FF1">
        <w:rPr>
          <w:rFonts w:ascii="Arial" w:hAnsi="Arial"/>
        </w:rPr>
        <w:t xml:space="preserve">    Davenport &amp; Saunders 2000</w:t>
      </w:r>
      <w:bookmarkEnd w:id="60"/>
      <w:r w:rsidRPr="00BC0FF1">
        <w:rPr>
          <w:rFonts w:ascii="Arial" w:hAnsi="Arial"/>
        </w:rPr>
        <w:t>:243.</w:t>
      </w:r>
    </w:p>
  </w:footnote>
  <w:footnote w:id="61">
    <w:p w14:paraId="2A8EA7C1" w14:textId="10178F3E" w:rsidR="00664603" w:rsidRPr="00BC0FF1" w:rsidRDefault="00664603" w:rsidP="00664603">
      <w:pPr>
        <w:pStyle w:val="FootnoteText"/>
        <w:rPr>
          <w:rFonts w:ascii="Arial" w:hAnsi="Arial"/>
        </w:rPr>
      </w:pPr>
      <w:r w:rsidRPr="00BC0FF1">
        <w:rPr>
          <w:rStyle w:val="FootnoteReference"/>
          <w:rFonts w:ascii="Arial" w:hAnsi="Arial"/>
        </w:rPr>
        <w:footnoteRef/>
      </w:r>
      <w:bookmarkStart w:id="61" w:name="_Hlk182154754"/>
      <w:r w:rsidR="00EC2252" w:rsidRPr="00BC0FF1">
        <w:rPr>
          <w:rFonts w:ascii="Arial" w:hAnsi="Arial"/>
        </w:rPr>
        <w:t xml:space="preserve"> </w:t>
      </w:r>
      <w:r w:rsidR="00BA6AF4">
        <w:rPr>
          <w:rFonts w:ascii="Arial" w:hAnsi="Arial"/>
        </w:rPr>
        <w:t xml:space="preserve"> </w:t>
      </w:r>
      <w:r w:rsidR="00BA6AF4">
        <w:rPr>
          <w:rFonts w:ascii="Arial" w:hAnsi="Arial"/>
        </w:rPr>
        <w:tab/>
      </w:r>
      <w:proofErr w:type="spellStart"/>
      <w:r w:rsidRPr="00BC0FF1">
        <w:rPr>
          <w:rFonts w:ascii="Arial" w:hAnsi="Arial"/>
        </w:rPr>
        <w:t>Terreblanche</w:t>
      </w:r>
      <w:proofErr w:type="spellEnd"/>
      <w:r w:rsidRPr="00BC0FF1">
        <w:rPr>
          <w:rFonts w:ascii="Arial" w:hAnsi="Arial"/>
        </w:rPr>
        <w:t xml:space="preserve"> 2002</w:t>
      </w:r>
      <w:bookmarkEnd w:id="61"/>
      <w:r w:rsidRPr="00BC0FF1">
        <w:rPr>
          <w:rFonts w:ascii="Arial" w:hAnsi="Arial"/>
        </w:rPr>
        <w:t>:285.</w:t>
      </w:r>
    </w:p>
  </w:footnote>
  <w:footnote w:id="62">
    <w:p w14:paraId="3DC6663D" w14:textId="0EF45692"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proofErr w:type="spellStart"/>
      <w:r w:rsidRPr="00BC0FF1">
        <w:rPr>
          <w:rFonts w:ascii="Arial" w:hAnsi="Arial"/>
        </w:rPr>
        <w:t>Terreblanche</w:t>
      </w:r>
      <w:proofErr w:type="spellEnd"/>
      <w:r w:rsidRPr="00BC0FF1">
        <w:rPr>
          <w:rFonts w:ascii="Arial" w:hAnsi="Arial"/>
        </w:rPr>
        <w:t xml:space="preserve"> 2002:285.</w:t>
      </w:r>
    </w:p>
  </w:footnote>
  <w:footnote w:id="63">
    <w:p w14:paraId="7F4D04CD" w14:textId="4EA9E9AB"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Coupland 1940:304-305.</w:t>
      </w:r>
    </w:p>
  </w:footnote>
  <w:footnote w:id="64">
    <w:p w14:paraId="48BE3A16" w14:textId="67761BA9"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Coupland 1940:304-305.</w:t>
      </w:r>
    </w:p>
  </w:footnote>
  <w:footnote w:id="65">
    <w:p w14:paraId="44C74385" w14:textId="69633F56"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63" w:name="_Hlk182154877"/>
      <w:r w:rsidRPr="00BC0FF1">
        <w:rPr>
          <w:rFonts w:ascii="Arial" w:hAnsi="Arial"/>
        </w:rPr>
        <w:t xml:space="preserve">    Seekings &amp; Nattrass 2008</w:t>
      </w:r>
      <w:bookmarkEnd w:id="63"/>
      <w:r w:rsidRPr="00BC0FF1">
        <w:rPr>
          <w:rFonts w:ascii="Arial" w:hAnsi="Arial"/>
        </w:rPr>
        <w:t>:139.</w:t>
      </w:r>
    </w:p>
  </w:footnote>
  <w:footnote w:id="66">
    <w:p w14:paraId="2B7623E1" w14:textId="4F72ED7B"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Seekings &amp; Nattrass 2008:139.</w:t>
      </w:r>
    </w:p>
  </w:footnote>
  <w:footnote w:id="67">
    <w:p w14:paraId="5592D428" w14:textId="0C417E0A"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65" w:name="_Hlk182155010"/>
      <w:r w:rsidRPr="00BC0FF1">
        <w:rPr>
          <w:rFonts w:ascii="Arial" w:hAnsi="Arial"/>
        </w:rPr>
        <w:t xml:space="preserve">    Thompson 2001</w:t>
      </w:r>
      <w:bookmarkEnd w:id="65"/>
      <w:r w:rsidRPr="00BC0FF1">
        <w:rPr>
          <w:rFonts w:ascii="Arial" w:hAnsi="Arial"/>
        </w:rPr>
        <w:t>:292.</w:t>
      </w:r>
    </w:p>
  </w:footnote>
  <w:footnote w:id="68">
    <w:p w14:paraId="7CE1D699" w14:textId="5EFDF37D"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Thompson 2001</w:t>
      </w:r>
      <w:r w:rsidRPr="00BC0FF1">
        <w:rPr>
          <w:rFonts w:ascii="Arial" w:hAnsi="Arial"/>
          <w:i/>
          <w:iCs/>
        </w:rPr>
        <w:t>:292.</w:t>
      </w:r>
    </w:p>
  </w:footnote>
  <w:footnote w:id="69">
    <w:p w14:paraId="531C81CA" w14:textId="5A9C838A"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66" w:name="_Hlk182155090"/>
      <w:r w:rsidRPr="00BC0FF1">
        <w:rPr>
          <w:rFonts w:ascii="Arial" w:hAnsi="Arial"/>
        </w:rPr>
        <w:t xml:space="preserve">     Baskin 199</w:t>
      </w:r>
      <w:bookmarkEnd w:id="66"/>
      <w:r w:rsidRPr="00BC0FF1">
        <w:rPr>
          <w:rFonts w:ascii="Arial" w:hAnsi="Arial"/>
        </w:rPr>
        <w:t>1:44.</w:t>
      </w:r>
    </w:p>
  </w:footnote>
  <w:footnote w:id="70">
    <w:p w14:paraId="07ABF39C" w14:textId="7327F564"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00205FBE">
        <w:rPr>
          <w:rFonts w:ascii="Arial" w:hAnsi="Arial"/>
        </w:rPr>
        <w:t xml:space="preserve"> </w:t>
      </w:r>
      <w:r w:rsidRPr="00BC0FF1">
        <w:rPr>
          <w:rFonts w:ascii="Arial" w:hAnsi="Arial"/>
        </w:rPr>
        <w:t>Baskin 1991:44,</w:t>
      </w:r>
    </w:p>
  </w:footnote>
  <w:footnote w:id="71">
    <w:p w14:paraId="6AAD5740" w14:textId="3BBCB99E" w:rsidR="00664603" w:rsidRPr="00BC0FF1" w:rsidRDefault="00664603" w:rsidP="00664603">
      <w:pPr>
        <w:pStyle w:val="FootnoteText"/>
        <w:rPr>
          <w:rFonts w:ascii="Arial" w:hAnsi="Arial"/>
        </w:rPr>
      </w:pPr>
      <w:r w:rsidRPr="00BC0FF1">
        <w:rPr>
          <w:rStyle w:val="FootnoteReference"/>
          <w:rFonts w:ascii="Arial" w:hAnsi="Arial"/>
        </w:rPr>
        <w:footnoteRef/>
      </w:r>
      <w:bookmarkStart w:id="67" w:name="_Hlk182155144"/>
      <w:r w:rsidRPr="00BC0FF1">
        <w:rPr>
          <w:rFonts w:ascii="Arial" w:hAnsi="Arial"/>
        </w:rPr>
        <w:t xml:space="preserve">     </w:t>
      </w:r>
      <w:r w:rsidR="00205FBE">
        <w:rPr>
          <w:rFonts w:ascii="Arial" w:hAnsi="Arial"/>
        </w:rPr>
        <w:t xml:space="preserve"> </w:t>
      </w:r>
      <w:r w:rsidRPr="00BC0FF1">
        <w:rPr>
          <w:rFonts w:ascii="Arial" w:hAnsi="Arial"/>
        </w:rPr>
        <w:t>Seekings &amp; Nattrass 2008</w:t>
      </w:r>
      <w:bookmarkEnd w:id="67"/>
      <w:r w:rsidRPr="00BC0FF1">
        <w:rPr>
          <w:rFonts w:ascii="Arial" w:hAnsi="Arial"/>
        </w:rPr>
        <w:t>:117.</w:t>
      </w:r>
    </w:p>
  </w:footnote>
  <w:footnote w:id="72">
    <w:p w14:paraId="16F91934" w14:textId="50D511CF" w:rsidR="00664603" w:rsidRPr="00BC0FF1" w:rsidRDefault="00664603" w:rsidP="00664603">
      <w:pPr>
        <w:pStyle w:val="FootnoteText"/>
        <w:rPr>
          <w:rFonts w:ascii="Arial" w:hAnsi="Arial"/>
        </w:rPr>
      </w:pPr>
      <w:r w:rsidRPr="00BC0FF1">
        <w:rPr>
          <w:rStyle w:val="FootnoteReference"/>
          <w:rFonts w:ascii="Arial" w:hAnsi="Arial"/>
        </w:rPr>
        <w:footnoteRef/>
      </w:r>
      <w:bookmarkStart w:id="70" w:name="_Hlk182155193"/>
      <w:r w:rsidR="007365B2">
        <w:rPr>
          <w:rFonts w:ascii="Arial" w:hAnsi="Arial"/>
        </w:rPr>
        <w:t xml:space="preserve"> </w:t>
      </w:r>
      <w:r w:rsidR="007365B2">
        <w:rPr>
          <w:rFonts w:ascii="Arial" w:hAnsi="Arial"/>
        </w:rPr>
        <w:tab/>
      </w:r>
      <w:r w:rsidRPr="00BC0FF1">
        <w:rPr>
          <w:rFonts w:ascii="Arial" w:hAnsi="Arial"/>
        </w:rPr>
        <w:t>Moncho 2020</w:t>
      </w:r>
      <w:bookmarkEnd w:id="70"/>
      <w:r w:rsidRPr="00BC0FF1">
        <w:rPr>
          <w:rFonts w:ascii="Arial" w:hAnsi="Arial"/>
        </w:rPr>
        <w:t>:23.</w:t>
      </w:r>
    </w:p>
  </w:footnote>
  <w:footnote w:id="73">
    <w:p w14:paraId="6D48A965" w14:textId="1623FB63"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Moncho 2020:23.</w:t>
      </w:r>
    </w:p>
  </w:footnote>
  <w:footnote w:id="74">
    <w:p w14:paraId="179768CD" w14:textId="444DD3D1" w:rsidR="00664603" w:rsidRPr="00BC0FF1" w:rsidRDefault="00664603" w:rsidP="00664603">
      <w:pPr>
        <w:pStyle w:val="FootnoteText"/>
        <w:rPr>
          <w:rFonts w:ascii="Arial" w:hAnsi="Arial"/>
        </w:rPr>
      </w:pPr>
      <w:r w:rsidRPr="00BC0FF1">
        <w:rPr>
          <w:rStyle w:val="FootnoteReference"/>
          <w:rFonts w:ascii="Arial" w:hAnsi="Arial"/>
        </w:rPr>
        <w:footnoteRef/>
      </w:r>
      <w:bookmarkStart w:id="72" w:name="_Hlk182155278"/>
      <w:r w:rsidR="007365B2">
        <w:rPr>
          <w:rFonts w:ascii="Arial" w:hAnsi="Arial"/>
        </w:rPr>
        <w:t xml:space="preserve"> </w:t>
      </w:r>
      <w:r w:rsidR="007365B2">
        <w:rPr>
          <w:rFonts w:ascii="Arial" w:hAnsi="Arial"/>
        </w:rPr>
        <w:tab/>
      </w:r>
      <w:r w:rsidRPr="00BC0FF1">
        <w:rPr>
          <w:rFonts w:ascii="Arial" w:hAnsi="Arial"/>
        </w:rPr>
        <w:t>Friedman 1987</w:t>
      </w:r>
      <w:bookmarkEnd w:id="72"/>
      <w:r w:rsidRPr="00BC0FF1">
        <w:rPr>
          <w:rFonts w:ascii="Arial" w:hAnsi="Arial"/>
        </w:rPr>
        <w:t>:21.</w:t>
      </w:r>
    </w:p>
  </w:footnote>
  <w:footnote w:id="75">
    <w:p w14:paraId="53D7A80C" w14:textId="2217A52C"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Friedman 1987:27.</w:t>
      </w:r>
    </w:p>
  </w:footnote>
  <w:footnote w:id="76">
    <w:p w14:paraId="1356C6EE" w14:textId="0ECEEAA9"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Friedman 1987:29.</w:t>
      </w:r>
    </w:p>
  </w:footnote>
  <w:footnote w:id="77">
    <w:p w14:paraId="031A4187" w14:textId="797E9424" w:rsidR="00664603" w:rsidRPr="00BC0FF1" w:rsidRDefault="00664603" w:rsidP="00664603">
      <w:pPr>
        <w:pStyle w:val="FootnoteText"/>
        <w:rPr>
          <w:rFonts w:ascii="Arial" w:hAnsi="Arial"/>
        </w:rPr>
      </w:pPr>
      <w:r w:rsidRPr="00BC0FF1">
        <w:rPr>
          <w:rStyle w:val="FootnoteReference"/>
          <w:rFonts w:ascii="Arial" w:hAnsi="Arial"/>
        </w:rPr>
        <w:footnoteRef/>
      </w:r>
      <w:bookmarkStart w:id="73" w:name="_Hlk182155344"/>
      <w:r w:rsidR="007365B2">
        <w:rPr>
          <w:rFonts w:ascii="Arial" w:hAnsi="Arial"/>
        </w:rPr>
        <w:t xml:space="preserve"> </w:t>
      </w:r>
      <w:r w:rsidR="007365B2">
        <w:rPr>
          <w:rFonts w:ascii="Arial" w:hAnsi="Arial"/>
        </w:rPr>
        <w:tab/>
      </w:r>
      <w:r w:rsidRPr="00BC0FF1">
        <w:rPr>
          <w:rFonts w:ascii="Arial" w:hAnsi="Arial"/>
        </w:rPr>
        <w:t xml:space="preserve">Maree &amp; </w:t>
      </w:r>
      <w:proofErr w:type="spellStart"/>
      <w:r w:rsidRPr="00BC0FF1">
        <w:rPr>
          <w:rFonts w:ascii="Arial" w:hAnsi="Arial"/>
        </w:rPr>
        <w:t>Budlender</w:t>
      </w:r>
      <w:proofErr w:type="spellEnd"/>
      <w:r w:rsidRPr="00BC0FF1">
        <w:rPr>
          <w:rFonts w:ascii="Arial" w:hAnsi="Arial"/>
        </w:rPr>
        <w:t xml:space="preserve"> 1974</w:t>
      </w:r>
      <w:bookmarkEnd w:id="73"/>
      <w:r w:rsidRPr="00BC0FF1">
        <w:rPr>
          <w:rFonts w:ascii="Arial" w:hAnsi="Arial"/>
        </w:rPr>
        <w:t xml:space="preserve">:116; </w:t>
      </w:r>
      <w:bookmarkStart w:id="74" w:name="_Hlk181985323"/>
      <w:r w:rsidRPr="00BC0FF1">
        <w:rPr>
          <w:rFonts w:ascii="Arial" w:hAnsi="Arial"/>
        </w:rPr>
        <w:t>Moncho 2020:22.</w:t>
      </w:r>
    </w:p>
    <w:bookmarkEnd w:id="74"/>
  </w:footnote>
  <w:footnote w:id="78">
    <w:p w14:paraId="7D64C21A" w14:textId="0DBD7FDF"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75" w:name="_Hlk182155486"/>
      <w:r w:rsidRPr="00BC0FF1">
        <w:rPr>
          <w:rFonts w:ascii="Arial" w:hAnsi="Arial"/>
        </w:rPr>
        <w:t xml:space="preserve">   </w:t>
      </w:r>
      <w:r w:rsidR="00986219">
        <w:rPr>
          <w:rFonts w:ascii="Arial" w:hAnsi="Arial"/>
        </w:rPr>
        <w:t xml:space="preserve"> </w:t>
      </w:r>
      <w:r w:rsidRPr="00BC0FF1">
        <w:rPr>
          <w:rFonts w:ascii="Arial" w:hAnsi="Arial"/>
        </w:rPr>
        <w:t>Davies, Kaplan, Morris &amp; O'Meara1976</w:t>
      </w:r>
      <w:bookmarkEnd w:id="75"/>
      <w:r w:rsidRPr="00BC0FF1">
        <w:rPr>
          <w:rFonts w:ascii="Arial" w:hAnsi="Arial"/>
        </w:rPr>
        <w:t>:4-30.</w:t>
      </w:r>
    </w:p>
  </w:footnote>
  <w:footnote w:id="79">
    <w:p w14:paraId="08832AB6" w14:textId="005EA9F1" w:rsidR="00664603" w:rsidRPr="00BC0FF1" w:rsidRDefault="00664603" w:rsidP="00664603">
      <w:pPr>
        <w:pStyle w:val="FootnoteText"/>
        <w:rPr>
          <w:rFonts w:ascii="Arial" w:hAnsi="Arial"/>
        </w:rPr>
      </w:pPr>
      <w:r w:rsidRPr="00BC0FF1">
        <w:rPr>
          <w:rStyle w:val="FootnoteReference"/>
          <w:rFonts w:ascii="Arial" w:hAnsi="Arial"/>
        </w:rPr>
        <w:footnoteRef/>
      </w:r>
      <w:bookmarkStart w:id="76" w:name="_Hlk182155590"/>
      <w:bookmarkStart w:id="77" w:name="_Hlk182155662"/>
      <w:r w:rsidR="007365B2">
        <w:rPr>
          <w:rFonts w:ascii="Arial" w:hAnsi="Arial"/>
        </w:rPr>
        <w:t xml:space="preserve"> </w:t>
      </w:r>
      <w:r w:rsidR="007365B2">
        <w:rPr>
          <w:rFonts w:ascii="Arial" w:hAnsi="Arial"/>
        </w:rPr>
        <w:tab/>
      </w:r>
      <w:proofErr w:type="spellStart"/>
      <w:r w:rsidRPr="00BC0FF1">
        <w:rPr>
          <w:rFonts w:ascii="Arial" w:hAnsi="Arial"/>
        </w:rPr>
        <w:t>Budeli</w:t>
      </w:r>
      <w:proofErr w:type="spellEnd"/>
      <w:r w:rsidRPr="00BC0FF1">
        <w:rPr>
          <w:rFonts w:ascii="Arial" w:hAnsi="Arial"/>
        </w:rPr>
        <w:t xml:space="preserve"> 2012:454-481</w:t>
      </w:r>
      <w:bookmarkEnd w:id="76"/>
      <w:r w:rsidRPr="00BC0FF1">
        <w:rPr>
          <w:rFonts w:ascii="Arial" w:hAnsi="Arial"/>
        </w:rPr>
        <w:t>.</w:t>
      </w:r>
      <w:bookmarkEnd w:id="77"/>
    </w:p>
  </w:footnote>
  <w:footnote w:id="80">
    <w:p w14:paraId="2B0A2B56" w14:textId="41B80DAA"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proofErr w:type="spellStart"/>
      <w:r w:rsidRPr="00BC0FF1">
        <w:rPr>
          <w:rFonts w:ascii="Arial" w:hAnsi="Arial"/>
        </w:rPr>
        <w:t>Budeli</w:t>
      </w:r>
      <w:proofErr w:type="spellEnd"/>
      <w:r w:rsidRPr="00BC0FF1">
        <w:rPr>
          <w:rFonts w:ascii="Arial" w:hAnsi="Arial"/>
        </w:rPr>
        <w:t xml:space="preserve"> 2012:454-481.</w:t>
      </w:r>
    </w:p>
  </w:footnote>
  <w:footnote w:id="81">
    <w:p w14:paraId="402D43F4" w14:textId="2D2E9382" w:rsidR="00664603" w:rsidRPr="00BC0FF1" w:rsidRDefault="00664603" w:rsidP="00664603">
      <w:pPr>
        <w:pStyle w:val="FootnoteText"/>
        <w:rPr>
          <w:rFonts w:ascii="Arial" w:hAnsi="Arial"/>
        </w:rPr>
      </w:pPr>
      <w:r w:rsidRPr="00BC0FF1">
        <w:rPr>
          <w:rStyle w:val="FootnoteReference"/>
          <w:rFonts w:ascii="Arial" w:hAnsi="Arial"/>
        </w:rPr>
        <w:footnoteRef/>
      </w:r>
      <w:bookmarkStart w:id="78" w:name="_Hlk182155680"/>
      <w:r w:rsidR="00EC2252" w:rsidRPr="00BC0FF1">
        <w:rPr>
          <w:rFonts w:ascii="Arial" w:hAnsi="Arial"/>
        </w:rPr>
        <w:t xml:space="preserve"> </w:t>
      </w:r>
      <w:r w:rsidR="00EC2252" w:rsidRPr="00BC0FF1">
        <w:rPr>
          <w:rFonts w:ascii="Arial" w:hAnsi="Arial"/>
        </w:rPr>
        <w:tab/>
      </w:r>
      <w:r w:rsidR="007365B2">
        <w:rPr>
          <w:rFonts w:ascii="Arial" w:hAnsi="Arial"/>
        </w:rPr>
        <w:t xml:space="preserve"> </w:t>
      </w:r>
      <w:r w:rsidRPr="00BC0FF1">
        <w:rPr>
          <w:rFonts w:ascii="Arial" w:hAnsi="Arial"/>
        </w:rPr>
        <w:t>Joseph 2016</w:t>
      </w:r>
      <w:bookmarkEnd w:id="78"/>
      <w:r w:rsidRPr="00BC0FF1">
        <w:rPr>
          <w:rFonts w:ascii="Arial" w:hAnsi="Arial"/>
        </w:rPr>
        <w:t>:35.</w:t>
      </w:r>
    </w:p>
  </w:footnote>
  <w:footnote w:id="82">
    <w:p w14:paraId="2394CCF2" w14:textId="2F58C75F"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Moncho 2020:34.</w:t>
      </w:r>
    </w:p>
  </w:footnote>
  <w:footnote w:id="83">
    <w:p w14:paraId="1E872992" w14:textId="29C62C04"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Moncho 2020:34.</w:t>
      </w:r>
    </w:p>
  </w:footnote>
  <w:footnote w:id="84">
    <w:p w14:paraId="42528EB8" w14:textId="5A69C137"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Moncho 2020:34-35.</w:t>
      </w:r>
    </w:p>
  </w:footnote>
  <w:footnote w:id="85">
    <w:p w14:paraId="743A0A06" w14:textId="406A8EB7" w:rsidR="00664603" w:rsidRPr="00BC0FF1" w:rsidRDefault="00664603" w:rsidP="00664603">
      <w:pPr>
        <w:pStyle w:val="FootnoteText"/>
        <w:rPr>
          <w:rFonts w:ascii="Arial" w:hAnsi="Arial"/>
        </w:rPr>
      </w:pPr>
      <w:r w:rsidRPr="00BC0FF1">
        <w:rPr>
          <w:rStyle w:val="FootnoteReference"/>
          <w:rFonts w:ascii="Arial" w:hAnsi="Arial"/>
        </w:rPr>
        <w:footnoteRef/>
      </w:r>
      <w:bookmarkStart w:id="79" w:name="_Hlk181988991"/>
      <w:r w:rsidR="007365B2">
        <w:rPr>
          <w:rFonts w:ascii="Arial" w:hAnsi="Arial"/>
        </w:rPr>
        <w:t xml:space="preserve"> </w:t>
      </w:r>
      <w:r w:rsidR="007365B2">
        <w:rPr>
          <w:rFonts w:ascii="Arial" w:hAnsi="Arial"/>
        </w:rPr>
        <w:tab/>
      </w:r>
      <w:r w:rsidRPr="00BC0FF1">
        <w:rPr>
          <w:rFonts w:ascii="Arial" w:hAnsi="Arial"/>
        </w:rPr>
        <w:t>Moncho 2020:35</w:t>
      </w:r>
      <w:bookmarkEnd w:id="79"/>
      <w:r w:rsidRPr="00BC0FF1">
        <w:rPr>
          <w:rFonts w:ascii="Arial" w:hAnsi="Arial"/>
        </w:rPr>
        <w:t>.</w:t>
      </w:r>
    </w:p>
  </w:footnote>
  <w:footnote w:id="86">
    <w:p w14:paraId="719F7892" w14:textId="6C5F75DD"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Moncho 2020:35.</w:t>
      </w:r>
    </w:p>
  </w:footnote>
  <w:footnote w:id="87">
    <w:p w14:paraId="0DE16491" w14:textId="1706B29A"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Chapter 1.</w:t>
      </w:r>
    </w:p>
  </w:footnote>
  <w:footnote w:id="88">
    <w:p w14:paraId="79BA3A99" w14:textId="3E67E79D"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South African Law Commission 1989:10.</w:t>
      </w:r>
    </w:p>
  </w:footnote>
  <w:footnote w:id="89">
    <w:p w14:paraId="7866FBBC" w14:textId="706E3D83"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South African Law Commission 1989:22.</w:t>
      </w:r>
    </w:p>
  </w:footnote>
  <w:footnote w:id="90">
    <w:p w14:paraId="21D45AC1" w14:textId="0C6C04A5"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South African Law Commission 1989:25.</w:t>
      </w:r>
    </w:p>
  </w:footnote>
  <w:footnote w:id="91">
    <w:p w14:paraId="6AAA508A" w14:textId="194C1FF7"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South African Law Commission 1989:25.</w:t>
      </w:r>
    </w:p>
  </w:footnote>
  <w:footnote w:id="92">
    <w:p w14:paraId="1E9A4CF7" w14:textId="5C440172" w:rsidR="00664603" w:rsidRPr="00BC0FF1" w:rsidRDefault="00664603" w:rsidP="00664603">
      <w:pPr>
        <w:pStyle w:val="FootnoteText"/>
        <w:rPr>
          <w:rFonts w:ascii="Arial" w:hAnsi="Arial"/>
        </w:rPr>
      </w:pPr>
      <w:r w:rsidRPr="00BC0FF1">
        <w:rPr>
          <w:rStyle w:val="FootnoteReference"/>
          <w:rFonts w:ascii="Arial" w:hAnsi="Arial"/>
        </w:rPr>
        <w:footnoteRef/>
      </w:r>
      <w:bookmarkStart w:id="84" w:name="_Hlk182155886"/>
      <w:r w:rsidR="007365B2">
        <w:rPr>
          <w:rFonts w:ascii="Arial" w:hAnsi="Arial"/>
        </w:rPr>
        <w:t xml:space="preserve"> </w:t>
      </w:r>
      <w:r w:rsidR="007365B2">
        <w:rPr>
          <w:rFonts w:ascii="Arial" w:hAnsi="Arial"/>
        </w:rPr>
        <w:tab/>
      </w:r>
      <w:r w:rsidRPr="00BC0FF1">
        <w:rPr>
          <w:rFonts w:ascii="Arial" w:hAnsi="Arial"/>
        </w:rPr>
        <w:t>South African Law Commission 1991</w:t>
      </w:r>
      <w:bookmarkEnd w:id="84"/>
      <w:r w:rsidRPr="00BC0FF1">
        <w:rPr>
          <w:rFonts w:ascii="Arial" w:hAnsi="Arial"/>
        </w:rPr>
        <w:t>:41.</w:t>
      </w:r>
    </w:p>
  </w:footnote>
  <w:footnote w:id="93">
    <w:p w14:paraId="208768B6" w14:textId="2981AD78"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South African Law Commission 1991:41.</w:t>
      </w:r>
    </w:p>
  </w:footnote>
  <w:footnote w:id="94">
    <w:p w14:paraId="05C8E4D0" w14:textId="65DC696D"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South African Law Commission 1991:49.</w:t>
      </w:r>
    </w:p>
  </w:footnote>
  <w:footnote w:id="95">
    <w:p w14:paraId="06FEB91C" w14:textId="7372E87C" w:rsidR="00664603" w:rsidRPr="00BC0FF1" w:rsidRDefault="00664603" w:rsidP="00664603">
      <w:pPr>
        <w:pStyle w:val="FootnoteText"/>
        <w:rPr>
          <w:rFonts w:ascii="Arial" w:hAnsi="Arial"/>
        </w:rPr>
      </w:pPr>
      <w:r w:rsidRPr="00BC0FF1">
        <w:rPr>
          <w:rStyle w:val="FootnoteReference"/>
          <w:rFonts w:ascii="Arial" w:hAnsi="Arial"/>
        </w:rPr>
        <w:footnoteRef/>
      </w:r>
      <w:bookmarkStart w:id="86" w:name="_Hlk182155944"/>
      <w:r w:rsidR="00EC2252" w:rsidRPr="00BC0FF1">
        <w:rPr>
          <w:rFonts w:ascii="Arial" w:hAnsi="Arial"/>
        </w:rPr>
        <w:t xml:space="preserve"> </w:t>
      </w:r>
      <w:r w:rsidR="00EC2252" w:rsidRPr="00BC0FF1">
        <w:rPr>
          <w:rFonts w:ascii="Arial" w:hAnsi="Arial"/>
        </w:rPr>
        <w:tab/>
      </w:r>
      <w:r w:rsidRPr="00BC0FF1">
        <w:rPr>
          <w:rFonts w:ascii="Arial" w:hAnsi="Arial"/>
        </w:rPr>
        <w:t>South African Law Commission 1994</w:t>
      </w:r>
      <w:bookmarkEnd w:id="86"/>
      <w:r w:rsidRPr="00BC0FF1">
        <w:rPr>
          <w:rFonts w:ascii="Arial" w:hAnsi="Arial"/>
        </w:rPr>
        <w:t>:60.</w:t>
      </w:r>
    </w:p>
  </w:footnote>
  <w:footnote w:id="96">
    <w:p w14:paraId="75102DD4" w14:textId="5AF70A9B" w:rsidR="00664603" w:rsidRPr="00BC0FF1" w:rsidRDefault="00664603" w:rsidP="00664603">
      <w:pPr>
        <w:pStyle w:val="FootnoteText"/>
        <w:rPr>
          <w:rFonts w:ascii="Arial" w:hAnsi="Arial"/>
        </w:rPr>
      </w:pPr>
      <w:r w:rsidRPr="00BC0FF1">
        <w:rPr>
          <w:rStyle w:val="FootnoteReference"/>
          <w:rFonts w:ascii="Arial" w:hAnsi="Arial"/>
        </w:rPr>
        <w:footnoteRef/>
      </w:r>
      <w:r w:rsidR="00DD4292">
        <w:rPr>
          <w:rFonts w:ascii="Arial" w:hAnsi="Arial"/>
        </w:rPr>
        <w:t xml:space="preserve"> </w:t>
      </w:r>
      <w:r w:rsidR="00DD4292">
        <w:rPr>
          <w:rFonts w:ascii="Arial" w:hAnsi="Arial"/>
        </w:rPr>
        <w:tab/>
      </w:r>
      <w:r w:rsidRPr="00BC0FF1">
        <w:rPr>
          <w:rFonts w:ascii="Arial" w:hAnsi="Arial"/>
        </w:rPr>
        <w:t>South African Law Commission 1994:67.</w:t>
      </w:r>
    </w:p>
  </w:footnote>
  <w:footnote w:id="97">
    <w:p w14:paraId="08BB02DF" w14:textId="2F05B35A" w:rsidR="00664603" w:rsidRPr="00BC0FF1" w:rsidRDefault="00664603" w:rsidP="00664603">
      <w:pPr>
        <w:pStyle w:val="FootnoteText"/>
        <w:jc w:val="both"/>
        <w:rPr>
          <w:rFonts w:ascii="Arial" w:hAnsi="Arial"/>
        </w:rPr>
      </w:pPr>
      <w:r w:rsidRPr="00BC0FF1">
        <w:rPr>
          <w:rStyle w:val="FootnoteReference"/>
          <w:rFonts w:ascii="Arial" w:hAnsi="Arial"/>
        </w:rPr>
        <w:footnoteRef/>
      </w:r>
      <w:r w:rsidRPr="00BC0FF1">
        <w:rPr>
          <w:rFonts w:ascii="Arial" w:hAnsi="Arial"/>
        </w:rPr>
        <w:t xml:space="preserve">    (CCT 63/03) [2004] ZACC 3.</w:t>
      </w:r>
    </w:p>
  </w:footnote>
  <w:footnote w:id="98">
    <w:p w14:paraId="0969EB5F" w14:textId="08BE6076" w:rsidR="00664603" w:rsidRPr="00BC0FF1" w:rsidRDefault="00664603" w:rsidP="00664603">
      <w:pPr>
        <w:pStyle w:val="FootnoteText"/>
        <w:jc w:val="both"/>
        <w:rPr>
          <w:rFonts w:ascii="Arial" w:hAnsi="Arial"/>
        </w:rPr>
      </w:pPr>
      <w:r w:rsidRPr="00BC0FF1">
        <w:rPr>
          <w:rStyle w:val="FootnoteReference"/>
          <w:rFonts w:ascii="Arial" w:hAnsi="Arial"/>
        </w:rPr>
        <w:footnoteRef/>
      </w:r>
      <w:r w:rsidRPr="00BC0FF1">
        <w:rPr>
          <w:rFonts w:ascii="Arial" w:hAnsi="Arial"/>
        </w:rPr>
        <w:t xml:space="preserve"> </w:t>
      </w:r>
      <w:bookmarkStart w:id="87" w:name="_Hlk182155981"/>
      <w:r w:rsidRPr="00BC0FF1">
        <w:rPr>
          <w:rFonts w:ascii="Arial" w:hAnsi="Arial"/>
        </w:rPr>
        <w:t xml:space="preserve">    Dupper 2008:425-444</w:t>
      </w:r>
      <w:bookmarkEnd w:id="87"/>
      <w:r w:rsidRPr="00BC0FF1">
        <w:rPr>
          <w:rFonts w:ascii="Arial" w:hAnsi="Arial"/>
        </w:rPr>
        <w:t>.</w:t>
      </w:r>
    </w:p>
  </w:footnote>
  <w:footnote w:id="99">
    <w:p w14:paraId="3F77647E" w14:textId="0A873D67" w:rsidR="00664603" w:rsidRPr="00BC0FF1" w:rsidRDefault="00664603" w:rsidP="00664603">
      <w:pPr>
        <w:pStyle w:val="FootnoteText"/>
        <w:jc w:val="both"/>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i/>
          <w:iCs/>
        </w:rPr>
        <w:t>Employment Equity Act</w:t>
      </w:r>
      <w:r w:rsidRPr="00BC0FF1">
        <w:rPr>
          <w:rFonts w:ascii="Arial" w:hAnsi="Arial"/>
        </w:rPr>
        <w:t xml:space="preserve"> 55/1998.</w:t>
      </w:r>
    </w:p>
  </w:footnote>
  <w:footnote w:id="100">
    <w:p w14:paraId="62570C77" w14:textId="3A9D41DC" w:rsidR="00664603" w:rsidRPr="00BC0FF1" w:rsidRDefault="00664603" w:rsidP="00664603">
      <w:pPr>
        <w:pStyle w:val="FootnoteText"/>
        <w:jc w:val="both"/>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i/>
          <w:iCs/>
        </w:rPr>
        <w:t xml:space="preserve">Employment Equity </w:t>
      </w:r>
      <w:proofErr w:type="spellStart"/>
      <w:proofErr w:type="gramStart"/>
      <w:r w:rsidRPr="00BC0FF1">
        <w:rPr>
          <w:rFonts w:ascii="Arial" w:hAnsi="Arial"/>
          <w:i/>
          <w:iCs/>
        </w:rPr>
        <w:t>Act:</w:t>
      </w:r>
      <w:r w:rsidRPr="00BC0FF1">
        <w:rPr>
          <w:rFonts w:ascii="Arial" w:hAnsi="Arial"/>
        </w:rPr>
        <w:t>sec</w:t>
      </w:r>
      <w:proofErr w:type="spellEnd"/>
      <w:r w:rsidRPr="00BC0FF1">
        <w:rPr>
          <w:rFonts w:ascii="Arial" w:hAnsi="Arial"/>
        </w:rPr>
        <w:t>.</w:t>
      </w:r>
      <w:proofErr w:type="gramEnd"/>
      <w:r w:rsidRPr="00BC0FF1">
        <w:rPr>
          <w:rFonts w:ascii="Arial" w:hAnsi="Arial"/>
        </w:rPr>
        <w:t xml:space="preserve"> 5; </w:t>
      </w:r>
      <w:bookmarkStart w:id="88" w:name="_Hlk182156039"/>
      <w:r w:rsidRPr="00BC0FF1">
        <w:rPr>
          <w:rFonts w:ascii="Arial" w:hAnsi="Arial"/>
        </w:rPr>
        <w:t>Liebenberg 2006</w:t>
      </w:r>
      <w:bookmarkEnd w:id="88"/>
      <w:r w:rsidRPr="00BC0FF1">
        <w:rPr>
          <w:rFonts w:ascii="Arial" w:hAnsi="Arial"/>
        </w:rPr>
        <w:t>:2.</w:t>
      </w:r>
    </w:p>
  </w:footnote>
  <w:footnote w:id="101">
    <w:p w14:paraId="40861124" w14:textId="36F26269" w:rsidR="00664603" w:rsidRPr="00BC0FF1" w:rsidRDefault="00664603" w:rsidP="00EC2252">
      <w:pPr>
        <w:pStyle w:val="FootnoteText"/>
        <w:ind w:left="454" w:hanging="454"/>
        <w:jc w:val="both"/>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 xml:space="preserve">Section 9 “(1) Everyone is equal before the law and has the right to equal protection and benefit of   the law. (2) Equality includes the full and equal enjoyment of all rights and freedoms. To promote the achievement of equality, legislative and other measures designed Chapter 2: Bill of Rights 6 to protect or advance persons, or categories of persons, disadvantaged by unfair discrimination may be taken. (3) The state may not unfairly discriminate directly or indirectly against anyone on one or more grounds, including race, gender, sex, pregnancy, marital status, ethnic or social origin, </w:t>
      </w:r>
      <w:proofErr w:type="spellStart"/>
      <w:r w:rsidRPr="00BC0FF1">
        <w:rPr>
          <w:rFonts w:ascii="Arial" w:hAnsi="Arial"/>
        </w:rPr>
        <w:t>colour</w:t>
      </w:r>
      <w:proofErr w:type="spellEnd"/>
      <w:r w:rsidRPr="00BC0FF1">
        <w:rPr>
          <w:rFonts w:ascii="Arial" w:hAnsi="Arial"/>
        </w:rPr>
        <w:t>, sexual orientation, age, disability, religion, conscience, belief, culture, language and birth. (4) No person may unfairly discriminate directly or indirectly against anyone on one or more grounds in terms of subsection (3). National legislation must be enacted to prevent or prohibit unfair discrimination. (5) Discrimination on one or more of the grounds listed in subsection (3) is unfair unless it is established that the discrimination is fair.”</w:t>
      </w:r>
    </w:p>
  </w:footnote>
  <w:footnote w:id="102">
    <w:p w14:paraId="724C58BC" w14:textId="659BEBDB"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Section 1(a) &amp;(b).</w:t>
      </w:r>
    </w:p>
  </w:footnote>
  <w:footnote w:id="103">
    <w:p w14:paraId="75F50926" w14:textId="02B33DF4"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De Waal, Currie &amp; Erasmus 2001:230.</w:t>
      </w:r>
    </w:p>
  </w:footnote>
  <w:footnote w:id="104">
    <w:p w14:paraId="546CE386" w14:textId="4F89AE4E"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Preamble, section 1; 7 &amp; 36; Laubscher 2004: 54-55.</w:t>
      </w:r>
    </w:p>
  </w:footnote>
  <w:footnote w:id="105">
    <w:p w14:paraId="70617B18" w14:textId="5E275BFC" w:rsidR="00664603" w:rsidRPr="00BC0FF1" w:rsidRDefault="00664603" w:rsidP="00205FBE">
      <w:pPr>
        <w:pStyle w:val="FootnoteText"/>
        <w:ind w:left="510" w:hanging="510"/>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i/>
          <w:iCs/>
        </w:rPr>
        <w:t xml:space="preserve">S v </w:t>
      </w:r>
      <w:proofErr w:type="spellStart"/>
      <w:r w:rsidRPr="00BC0FF1">
        <w:rPr>
          <w:rFonts w:ascii="Arial" w:hAnsi="Arial"/>
          <w:i/>
          <w:iCs/>
        </w:rPr>
        <w:t>Makwanyane</w:t>
      </w:r>
      <w:proofErr w:type="spellEnd"/>
      <w:r w:rsidRPr="00BC0FF1">
        <w:rPr>
          <w:rFonts w:ascii="Arial" w:hAnsi="Arial"/>
          <w:i/>
          <w:iCs/>
        </w:rPr>
        <w:t xml:space="preserve"> &amp; Another</w:t>
      </w:r>
      <w:r w:rsidRPr="00BC0FF1">
        <w:rPr>
          <w:rFonts w:ascii="Arial" w:hAnsi="Arial"/>
        </w:rPr>
        <w:t xml:space="preserve"> (CCT3/94) [1995] ZACC 3; 1995 329; Du Plessis &amp; Corder 1994: 149.</w:t>
      </w:r>
    </w:p>
  </w:footnote>
  <w:footnote w:id="106">
    <w:p w14:paraId="66BC4BBE" w14:textId="78E4D9A1" w:rsidR="00664603" w:rsidRPr="00BC0FF1" w:rsidRDefault="00664603" w:rsidP="00EC2252">
      <w:pPr>
        <w:pStyle w:val="FootnoteText"/>
        <w:ind w:left="397" w:hanging="397"/>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rPr>
        <w:t xml:space="preserve">Namely race, gender, sex, pregnancy, marital status, ethnic or social origin, </w:t>
      </w:r>
      <w:proofErr w:type="spellStart"/>
      <w:r w:rsidRPr="00BC0FF1">
        <w:rPr>
          <w:rFonts w:ascii="Arial" w:hAnsi="Arial"/>
        </w:rPr>
        <w:t>colour</w:t>
      </w:r>
      <w:proofErr w:type="spellEnd"/>
      <w:r w:rsidRPr="00BC0FF1">
        <w:rPr>
          <w:rFonts w:ascii="Arial" w:hAnsi="Arial"/>
        </w:rPr>
        <w:t xml:space="preserve">, sexual </w:t>
      </w:r>
      <w:r w:rsidR="00205FBE">
        <w:rPr>
          <w:rFonts w:ascii="Arial" w:hAnsi="Arial"/>
        </w:rPr>
        <w:t xml:space="preserve">  </w:t>
      </w:r>
      <w:proofErr w:type="gramStart"/>
      <w:r w:rsidRPr="00BC0FF1">
        <w:rPr>
          <w:rFonts w:ascii="Arial" w:hAnsi="Arial"/>
        </w:rPr>
        <w:t xml:space="preserve">orientation, </w:t>
      </w:r>
      <w:r w:rsidR="00EC2252" w:rsidRPr="00BC0FF1">
        <w:rPr>
          <w:rFonts w:ascii="Arial" w:hAnsi="Arial"/>
        </w:rPr>
        <w:t xml:space="preserve"> </w:t>
      </w:r>
      <w:r w:rsidRPr="00BC0FF1">
        <w:rPr>
          <w:rFonts w:ascii="Arial" w:hAnsi="Arial"/>
        </w:rPr>
        <w:t>age</w:t>
      </w:r>
      <w:proofErr w:type="gramEnd"/>
      <w:r w:rsidRPr="00BC0FF1">
        <w:rPr>
          <w:rFonts w:ascii="Arial" w:hAnsi="Arial"/>
        </w:rPr>
        <w:t>, disability, religion, conscience, belief, culture, language and birth.</w:t>
      </w:r>
    </w:p>
  </w:footnote>
  <w:footnote w:id="107">
    <w:p w14:paraId="60B293F5" w14:textId="27B3B9FE"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McDonald 1994:245.</w:t>
      </w:r>
    </w:p>
  </w:footnote>
  <w:footnote w:id="108">
    <w:p w14:paraId="3DE31956" w14:textId="24C6FC73"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Preamble of the </w:t>
      </w:r>
      <w:r w:rsidRPr="00BC0FF1">
        <w:rPr>
          <w:rFonts w:ascii="Arial" w:hAnsi="Arial"/>
          <w:i/>
          <w:iCs/>
        </w:rPr>
        <w:t>Employment Equity Act</w:t>
      </w:r>
      <w:r w:rsidRPr="00BC0FF1">
        <w:rPr>
          <w:rFonts w:ascii="Arial" w:hAnsi="Arial"/>
        </w:rPr>
        <w:t>.</w:t>
      </w:r>
    </w:p>
  </w:footnote>
  <w:footnote w:id="109">
    <w:p w14:paraId="4C4FD155" w14:textId="12035455"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Government Gazette GN 804 1996.</w:t>
      </w:r>
    </w:p>
  </w:footnote>
  <w:footnote w:id="110">
    <w:p w14:paraId="2D1E8298" w14:textId="6B0A7C92"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Green Paper chapter </w:t>
      </w:r>
      <w:proofErr w:type="gramStart"/>
      <w:r w:rsidRPr="00BC0FF1">
        <w:rPr>
          <w:rFonts w:ascii="Arial" w:hAnsi="Arial"/>
        </w:rPr>
        <w:t>3:par.</w:t>
      </w:r>
      <w:proofErr w:type="gramEnd"/>
      <w:r w:rsidRPr="00BC0FF1">
        <w:rPr>
          <w:rFonts w:ascii="Arial" w:hAnsi="Arial"/>
        </w:rPr>
        <w:t>3112.</w:t>
      </w:r>
    </w:p>
  </w:footnote>
  <w:footnote w:id="111">
    <w:p w14:paraId="0684DD76" w14:textId="553249F6"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Green Paper chapter 2 &amp; 4.</w:t>
      </w:r>
    </w:p>
  </w:footnote>
  <w:footnote w:id="112">
    <w:p w14:paraId="32309BFC" w14:textId="5980657C"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Employment Equity Bill Government Gazette 18481 GN 1840 1997:5 &amp; 21.</w:t>
      </w:r>
    </w:p>
  </w:footnote>
  <w:footnote w:id="113">
    <w:p w14:paraId="0DDCDB28" w14:textId="3F72B682"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1;ss. 2(b);13(1) and 15(1).</w:t>
      </w:r>
    </w:p>
  </w:footnote>
  <w:footnote w:id="114">
    <w:p w14:paraId="6CD04161" w14:textId="64538B4C"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3(a).</w:t>
      </w:r>
    </w:p>
  </w:footnote>
  <w:footnote w:id="115">
    <w:p w14:paraId="0C691AC1" w14:textId="6D0B63FE"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00205FBE">
        <w:rPr>
          <w:rFonts w:ascii="Arial" w:hAnsi="Arial"/>
        </w:rPr>
        <w:t xml:space="preserve"> </w:t>
      </w:r>
      <w:r w:rsidRPr="00BC0FF1">
        <w:rPr>
          <w:rFonts w:ascii="Arial" w:hAnsi="Arial"/>
        </w:rPr>
        <w:t>Pretorius 2001:20.</w:t>
      </w:r>
    </w:p>
  </w:footnote>
  <w:footnote w:id="116">
    <w:p w14:paraId="662E8186" w14:textId="6907E8C1" w:rsidR="00664603" w:rsidRPr="00BC0FF1" w:rsidRDefault="00664603" w:rsidP="00205FBE">
      <w:pPr>
        <w:pStyle w:val="FootnoteText"/>
        <w:ind w:left="510" w:hanging="510"/>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i/>
          <w:iCs/>
        </w:rPr>
        <w:t>Solidarity and Others v Department of Correctional Services and Others</w:t>
      </w:r>
      <w:r w:rsidRPr="00BC0FF1">
        <w:rPr>
          <w:rFonts w:ascii="Arial" w:hAnsi="Arial"/>
        </w:rPr>
        <w:t xml:space="preserve"> (CCT 78/15) [2016] ZACC 18.</w:t>
      </w:r>
    </w:p>
  </w:footnote>
  <w:footnote w:id="117">
    <w:p w14:paraId="212BCE12" w14:textId="1C0FC5B0"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2 (a).</w:t>
      </w:r>
    </w:p>
  </w:footnote>
  <w:footnote w:id="118">
    <w:p w14:paraId="288D3A98" w14:textId="7EDB20D0" w:rsidR="00664603" w:rsidRPr="00BC0FF1" w:rsidRDefault="00664603" w:rsidP="00664603">
      <w:pPr>
        <w:pStyle w:val="FootnoteText"/>
        <w:rPr>
          <w:rFonts w:ascii="Arial" w:hAnsi="Arial"/>
        </w:rPr>
      </w:pPr>
      <w:r w:rsidRPr="00BC0FF1">
        <w:rPr>
          <w:rStyle w:val="FootnoteReference"/>
          <w:rFonts w:ascii="Arial" w:hAnsi="Arial"/>
        </w:rPr>
        <w:footnoteRef/>
      </w:r>
      <w:r w:rsidR="007365B2">
        <w:rPr>
          <w:rFonts w:ascii="Arial" w:hAnsi="Arial"/>
        </w:rPr>
        <w:t xml:space="preserve"> </w:t>
      </w:r>
      <w:r w:rsidR="007365B2">
        <w:rPr>
          <w:rFonts w:ascii="Arial" w:hAnsi="Arial"/>
        </w:rPr>
        <w:tab/>
      </w:r>
      <w:r w:rsidRPr="00BC0FF1">
        <w:rPr>
          <w:rFonts w:ascii="Arial" w:hAnsi="Arial"/>
          <w:i/>
          <w:iCs/>
        </w:rPr>
        <w:t>Employment Equity Act</w:t>
      </w:r>
      <w:r w:rsidRPr="00BC0FF1">
        <w:rPr>
          <w:rFonts w:ascii="Arial" w:hAnsi="Arial"/>
        </w:rPr>
        <w:t>:sec.15 (1)</w:t>
      </w:r>
      <w:r w:rsidR="00EC2252" w:rsidRPr="00BC0FF1">
        <w:rPr>
          <w:rFonts w:ascii="Arial" w:hAnsi="Arial"/>
        </w:rPr>
        <w:t>.</w:t>
      </w:r>
    </w:p>
  </w:footnote>
  <w:footnote w:id="119">
    <w:p w14:paraId="4D0D9995" w14:textId="0DBFEEEC" w:rsidR="00664603" w:rsidRPr="00BC0FF1" w:rsidRDefault="00664603" w:rsidP="00664603">
      <w:pPr>
        <w:pStyle w:val="FootnoteText"/>
        <w:rPr>
          <w:rFonts w:ascii="Arial" w:hAnsi="Arial"/>
        </w:rPr>
      </w:pPr>
      <w:r w:rsidRPr="00BC0FF1">
        <w:rPr>
          <w:rStyle w:val="FootnoteReference"/>
          <w:rFonts w:ascii="Arial" w:hAnsi="Arial"/>
        </w:rPr>
        <w:footnoteRef/>
      </w:r>
      <w:bookmarkStart w:id="93" w:name="_Hlk182156125"/>
      <w:r w:rsidR="00EC2252" w:rsidRPr="00BC0FF1">
        <w:rPr>
          <w:rFonts w:ascii="Arial" w:hAnsi="Arial"/>
        </w:rPr>
        <w:t xml:space="preserve"> </w:t>
      </w:r>
      <w:r w:rsidR="00EC2252" w:rsidRPr="00BC0FF1">
        <w:rPr>
          <w:rFonts w:ascii="Arial" w:hAnsi="Arial"/>
        </w:rPr>
        <w:tab/>
      </w:r>
      <w:r w:rsidRPr="00BC0FF1">
        <w:rPr>
          <w:rFonts w:ascii="Arial" w:hAnsi="Arial"/>
        </w:rPr>
        <w:t>Barker 2007</w:t>
      </w:r>
      <w:bookmarkEnd w:id="93"/>
      <w:r w:rsidRPr="00BC0FF1">
        <w:rPr>
          <w:rFonts w:ascii="Arial" w:hAnsi="Arial"/>
        </w:rPr>
        <w:t>:43.</w:t>
      </w:r>
    </w:p>
  </w:footnote>
  <w:footnote w:id="120">
    <w:p w14:paraId="1DC9C418" w14:textId="7020C394"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Barker 2007:43.</w:t>
      </w:r>
    </w:p>
  </w:footnote>
  <w:footnote w:id="121">
    <w:p w14:paraId="607493D3" w14:textId="33FBF529" w:rsidR="00664603" w:rsidRPr="00BC0FF1" w:rsidRDefault="00664603" w:rsidP="00664603">
      <w:pPr>
        <w:pStyle w:val="FootnoteText"/>
        <w:rPr>
          <w:rFonts w:ascii="Arial" w:hAnsi="Arial"/>
        </w:rPr>
      </w:pPr>
      <w:r w:rsidRPr="00BC0FF1">
        <w:rPr>
          <w:rStyle w:val="FootnoteReference"/>
          <w:rFonts w:ascii="Arial" w:hAnsi="Arial"/>
        </w:rPr>
        <w:footnoteRef/>
      </w:r>
      <w:bookmarkStart w:id="94" w:name="_Hlk182156171"/>
      <w:r w:rsidRPr="00BC0FF1">
        <w:rPr>
          <w:rFonts w:ascii="Arial" w:hAnsi="Arial"/>
        </w:rPr>
        <w:t xml:space="preserve">    Thompson, Benjamin &amp; De Kock 1965</w:t>
      </w:r>
      <w:bookmarkEnd w:id="94"/>
      <w:r w:rsidRPr="00BC0FF1">
        <w:rPr>
          <w:rFonts w:ascii="Arial" w:hAnsi="Arial"/>
        </w:rPr>
        <w:t>:112.</w:t>
      </w:r>
    </w:p>
  </w:footnote>
  <w:footnote w:id="122">
    <w:p w14:paraId="7357EDF3" w14:textId="63F8EB0D"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Thompson, Benjamin &amp; De Kock 1965:112.</w:t>
      </w:r>
    </w:p>
  </w:footnote>
  <w:footnote w:id="123">
    <w:p w14:paraId="0F507D7D" w14:textId="25F395E1" w:rsidR="00664603" w:rsidRPr="00BC0FF1" w:rsidRDefault="00664603" w:rsidP="00664603">
      <w:pPr>
        <w:pStyle w:val="FootnoteText"/>
        <w:rPr>
          <w:rFonts w:ascii="Arial" w:hAnsi="Arial"/>
        </w:rPr>
      </w:pPr>
      <w:r w:rsidRPr="00BC0FF1">
        <w:rPr>
          <w:rStyle w:val="FootnoteReference"/>
          <w:rFonts w:ascii="Arial" w:hAnsi="Arial"/>
        </w:rPr>
        <w:footnoteRef/>
      </w:r>
      <w:bookmarkStart w:id="95" w:name="_Hlk182156241"/>
      <w:r w:rsidR="00EC2252" w:rsidRPr="00BC0FF1">
        <w:rPr>
          <w:rFonts w:ascii="Arial" w:hAnsi="Arial"/>
        </w:rPr>
        <w:t xml:space="preserve"> </w:t>
      </w:r>
      <w:r w:rsidR="00EC2252" w:rsidRPr="00BC0FF1">
        <w:rPr>
          <w:rFonts w:ascii="Arial" w:hAnsi="Arial"/>
        </w:rPr>
        <w:tab/>
      </w:r>
      <w:r w:rsidRPr="00BC0FF1">
        <w:rPr>
          <w:rFonts w:ascii="Arial" w:hAnsi="Arial"/>
        </w:rPr>
        <w:t>Van Niekerk, Smit, Christianson, McGregor &amp; Van Eck 2019:98-104</w:t>
      </w:r>
      <w:bookmarkEnd w:id="95"/>
      <w:r w:rsidRPr="00BC0FF1">
        <w:rPr>
          <w:rFonts w:ascii="Arial" w:hAnsi="Arial"/>
        </w:rPr>
        <w:t>.</w:t>
      </w:r>
    </w:p>
  </w:footnote>
  <w:footnote w:id="124">
    <w:p w14:paraId="1DEAE1C7" w14:textId="5F5E44A9" w:rsidR="00664603" w:rsidRPr="00BC0FF1" w:rsidRDefault="00664603" w:rsidP="00664603">
      <w:pPr>
        <w:pStyle w:val="FootnoteText"/>
        <w:rPr>
          <w:rFonts w:ascii="Arial" w:hAnsi="Arial"/>
        </w:rPr>
      </w:pPr>
      <w:r w:rsidRPr="00BC0FF1">
        <w:rPr>
          <w:rStyle w:val="FootnoteReference"/>
          <w:rFonts w:ascii="Arial" w:hAnsi="Arial"/>
        </w:rPr>
        <w:footnoteRef/>
      </w:r>
      <w:bookmarkStart w:id="96" w:name="_Hlk180580241"/>
      <w:r w:rsidRPr="00BC0FF1">
        <w:rPr>
          <w:rFonts w:ascii="Arial" w:hAnsi="Arial"/>
        </w:rPr>
        <w:t xml:space="preserve">    Unisa 2006</w:t>
      </w:r>
      <w:bookmarkEnd w:id="96"/>
      <w:r w:rsidRPr="00BC0FF1">
        <w:rPr>
          <w:rFonts w:ascii="Arial" w:hAnsi="Arial"/>
        </w:rPr>
        <w:t xml:space="preserve">: 156 </w:t>
      </w:r>
      <w:hyperlink r:id="rId1" w:history="1">
        <w:r w:rsidRPr="00BC0FF1">
          <w:rPr>
            <w:rStyle w:val="Hyperlink"/>
            <w:rFonts w:ascii="Arial" w:hAnsi="Arial"/>
          </w:rPr>
          <w:t>https://uir.unisa.ac.za/bitstream/handle/10500/2012/07chapter6.pdf</w:t>
        </w:r>
      </w:hyperlink>
      <w:r w:rsidRPr="00BC0FF1">
        <w:rPr>
          <w:rFonts w:ascii="Arial" w:hAnsi="Arial"/>
        </w:rPr>
        <w:t>.</w:t>
      </w:r>
    </w:p>
  </w:footnote>
  <w:footnote w:id="125">
    <w:p w14:paraId="56E46011" w14:textId="0F2E8A24"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 xml:space="preserve">10 February 1995 which culminated in the </w:t>
      </w:r>
      <w:proofErr w:type="spellStart"/>
      <w:r w:rsidRPr="00BC0FF1">
        <w:rPr>
          <w:rFonts w:ascii="Arial" w:hAnsi="Arial"/>
          <w:i/>
          <w:iCs/>
        </w:rPr>
        <w:t>Labour</w:t>
      </w:r>
      <w:proofErr w:type="spellEnd"/>
      <w:r w:rsidRPr="00BC0FF1">
        <w:rPr>
          <w:rFonts w:ascii="Arial" w:hAnsi="Arial"/>
          <w:i/>
          <w:iCs/>
        </w:rPr>
        <w:t xml:space="preserve"> Relations Amendment Act</w:t>
      </w:r>
      <w:r w:rsidRPr="00BC0FF1">
        <w:rPr>
          <w:rFonts w:ascii="Arial" w:hAnsi="Arial"/>
        </w:rPr>
        <w:t xml:space="preserve"> 12 of 2002.</w:t>
      </w:r>
    </w:p>
  </w:footnote>
  <w:footnote w:id="126">
    <w:p w14:paraId="12463EAD" w14:textId="6594BBD8"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proofErr w:type="spellStart"/>
      <w:r w:rsidRPr="00BC0FF1">
        <w:rPr>
          <w:rFonts w:ascii="Arial" w:hAnsi="Arial"/>
          <w:i/>
          <w:iCs/>
        </w:rPr>
        <w:t>Labour</w:t>
      </w:r>
      <w:proofErr w:type="spellEnd"/>
      <w:r w:rsidRPr="00BC0FF1">
        <w:rPr>
          <w:rFonts w:ascii="Arial" w:hAnsi="Arial"/>
          <w:i/>
          <w:iCs/>
        </w:rPr>
        <w:t xml:space="preserve"> Relations Amendment Act</w:t>
      </w:r>
      <w:r w:rsidRPr="00BC0FF1">
        <w:rPr>
          <w:rFonts w:ascii="Arial" w:hAnsi="Arial"/>
        </w:rPr>
        <w:t>: sec.185 - 189</w:t>
      </w:r>
    </w:p>
  </w:footnote>
  <w:footnote w:id="127">
    <w:p w14:paraId="2BDF25CD" w14:textId="15F748A7"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proofErr w:type="spellStart"/>
      <w:r w:rsidRPr="00BC0FF1">
        <w:rPr>
          <w:rFonts w:ascii="Arial" w:hAnsi="Arial"/>
          <w:i/>
          <w:iCs/>
        </w:rPr>
        <w:t>Labour</w:t>
      </w:r>
      <w:proofErr w:type="spellEnd"/>
      <w:r w:rsidRPr="00BC0FF1">
        <w:rPr>
          <w:rFonts w:ascii="Arial" w:hAnsi="Arial"/>
          <w:i/>
          <w:iCs/>
        </w:rPr>
        <w:t xml:space="preserve"> Relations Act</w:t>
      </w:r>
      <w:r w:rsidRPr="00BC0FF1">
        <w:rPr>
          <w:rFonts w:ascii="Arial" w:hAnsi="Arial"/>
        </w:rPr>
        <w:t xml:space="preserve"> 66/1995: item 2(1)(a) of schedule 7.</w:t>
      </w:r>
    </w:p>
  </w:footnote>
  <w:footnote w:id="128">
    <w:p w14:paraId="2AB9F0BB" w14:textId="4AAAF9D2" w:rsidR="00664603" w:rsidRPr="00BC0FF1" w:rsidRDefault="00664603" w:rsidP="00EC2252">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bookmarkStart w:id="97" w:name="_Hlk183967016"/>
      <w:r w:rsidRPr="00BC0FF1">
        <w:rPr>
          <w:rFonts w:ascii="Arial" w:hAnsi="Arial"/>
          <w:i/>
          <w:iCs/>
        </w:rPr>
        <w:t>National Education Health &amp; Allied Workers Union (NEHAWU) v University of Cape Town and Others</w:t>
      </w:r>
      <w:r w:rsidRPr="00BC0FF1">
        <w:rPr>
          <w:rFonts w:ascii="Arial" w:hAnsi="Arial"/>
        </w:rPr>
        <w:t xml:space="preserve"> (CCT2/02) [2002] ZACC 27</w:t>
      </w:r>
      <w:bookmarkEnd w:id="97"/>
      <w:r w:rsidRPr="00BC0FF1">
        <w:rPr>
          <w:rFonts w:ascii="Arial" w:hAnsi="Arial"/>
        </w:rPr>
        <w:t>.</w:t>
      </w:r>
    </w:p>
  </w:footnote>
  <w:footnote w:id="129">
    <w:p w14:paraId="3A5505CF" w14:textId="3FCEA7C1" w:rsidR="00664603" w:rsidRPr="00BC0FF1" w:rsidRDefault="00664603" w:rsidP="00664603">
      <w:pPr>
        <w:pStyle w:val="FootnoteText"/>
        <w:rPr>
          <w:rFonts w:ascii="Arial" w:hAnsi="Arial"/>
        </w:rPr>
      </w:pPr>
      <w:r w:rsidRPr="00BC0FF1">
        <w:rPr>
          <w:rStyle w:val="FootnoteReference"/>
          <w:rFonts w:ascii="Arial" w:hAnsi="Arial"/>
        </w:rPr>
        <w:footnoteRef/>
      </w:r>
      <w:bookmarkStart w:id="99" w:name="_Hlk182156463"/>
      <w:r w:rsidR="00EC2252" w:rsidRPr="00BC0FF1">
        <w:rPr>
          <w:rFonts w:ascii="Arial" w:hAnsi="Arial"/>
        </w:rPr>
        <w:t xml:space="preserve"> </w:t>
      </w:r>
      <w:r w:rsidR="00EC2252" w:rsidRPr="00BC0FF1">
        <w:rPr>
          <w:rFonts w:ascii="Arial" w:hAnsi="Arial"/>
        </w:rPr>
        <w:tab/>
      </w:r>
      <w:r w:rsidRPr="00BC0FF1">
        <w:rPr>
          <w:rFonts w:ascii="Arial" w:hAnsi="Arial"/>
        </w:rPr>
        <w:t xml:space="preserve">Lewis, </w:t>
      </w:r>
      <w:proofErr w:type="spellStart"/>
      <w:r w:rsidRPr="00BC0FF1">
        <w:rPr>
          <w:rFonts w:ascii="Arial" w:hAnsi="Arial"/>
        </w:rPr>
        <w:t>Ngoasheng</w:t>
      </w:r>
      <w:proofErr w:type="spellEnd"/>
      <w:r w:rsidRPr="00BC0FF1">
        <w:rPr>
          <w:rFonts w:ascii="Arial" w:hAnsi="Arial"/>
        </w:rPr>
        <w:t xml:space="preserve">, Baskin, </w:t>
      </w:r>
      <w:proofErr w:type="spellStart"/>
      <w:r w:rsidRPr="00BC0FF1">
        <w:rPr>
          <w:rFonts w:ascii="Arial" w:hAnsi="Arial"/>
        </w:rPr>
        <w:t>Buhlungu</w:t>
      </w:r>
      <w:proofErr w:type="spellEnd"/>
      <w:r w:rsidRPr="00BC0FF1">
        <w:rPr>
          <w:rFonts w:ascii="Arial" w:hAnsi="Arial"/>
        </w:rPr>
        <w:t xml:space="preserve"> &amp; Bird 1996</w:t>
      </w:r>
      <w:bookmarkEnd w:id="99"/>
      <w:r w:rsidRPr="00BC0FF1">
        <w:rPr>
          <w:rFonts w:ascii="Arial" w:hAnsi="Arial"/>
        </w:rPr>
        <w:t>:74.</w:t>
      </w:r>
    </w:p>
  </w:footnote>
  <w:footnote w:id="130">
    <w:p w14:paraId="6ACCA1CD" w14:textId="7EE28E65"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A530CA">
        <w:rPr>
          <w:rFonts w:ascii="Arial" w:hAnsi="Arial"/>
        </w:rPr>
        <w:tab/>
      </w:r>
      <w:r w:rsidRPr="00BC0FF1">
        <w:rPr>
          <w:rFonts w:ascii="Arial" w:hAnsi="Arial"/>
        </w:rPr>
        <w:t xml:space="preserve">Lewis, </w:t>
      </w:r>
      <w:proofErr w:type="spellStart"/>
      <w:r w:rsidRPr="00BC0FF1">
        <w:rPr>
          <w:rFonts w:ascii="Arial" w:hAnsi="Arial"/>
        </w:rPr>
        <w:t>Ngoasheng</w:t>
      </w:r>
      <w:proofErr w:type="spellEnd"/>
      <w:r w:rsidRPr="00BC0FF1">
        <w:rPr>
          <w:rFonts w:ascii="Arial" w:hAnsi="Arial"/>
        </w:rPr>
        <w:t xml:space="preserve">, Baskin, </w:t>
      </w:r>
      <w:proofErr w:type="spellStart"/>
      <w:r w:rsidRPr="00BC0FF1">
        <w:rPr>
          <w:rFonts w:ascii="Arial" w:hAnsi="Arial"/>
        </w:rPr>
        <w:t>Buhlungu</w:t>
      </w:r>
      <w:proofErr w:type="spellEnd"/>
      <w:r w:rsidRPr="00BC0FF1">
        <w:rPr>
          <w:rFonts w:ascii="Arial" w:hAnsi="Arial"/>
        </w:rPr>
        <w:t xml:space="preserve"> &amp; Bird 1996: 82-84.</w:t>
      </w:r>
    </w:p>
  </w:footnote>
  <w:footnote w:id="131">
    <w:p w14:paraId="476819E0" w14:textId="1C3ECE40"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w:t>
      </w:r>
      <w:proofErr w:type="spellStart"/>
      <w:r w:rsidRPr="00BC0FF1">
        <w:rPr>
          <w:rFonts w:ascii="Arial" w:hAnsi="Arial"/>
        </w:rPr>
        <w:t>Labour</w:t>
      </w:r>
      <w:proofErr w:type="spellEnd"/>
      <w:r w:rsidRPr="00BC0FF1">
        <w:rPr>
          <w:rFonts w:ascii="Arial" w:hAnsi="Arial"/>
        </w:rPr>
        <w:t xml:space="preserve"> Market Report 1996:140.</w:t>
      </w:r>
    </w:p>
  </w:footnote>
  <w:footnote w:id="132">
    <w:p w14:paraId="7FB58F7F" w14:textId="547DAA82"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Lewis, </w:t>
      </w:r>
      <w:proofErr w:type="spellStart"/>
      <w:r w:rsidRPr="00BC0FF1">
        <w:rPr>
          <w:rFonts w:ascii="Arial" w:hAnsi="Arial"/>
        </w:rPr>
        <w:t>Ngoasheng</w:t>
      </w:r>
      <w:proofErr w:type="spellEnd"/>
      <w:r w:rsidRPr="00BC0FF1">
        <w:rPr>
          <w:rFonts w:ascii="Arial" w:hAnsi="Arial"/>
        </w:rPr>
        <w:t xml:space="preserve">, Baskin, </w:t>
      </w:r>
      <w:proofErr w:type="spellStart"/>
      <w:r w:rsidRPr="00BC0FF1">
        <w:rPr>
          <w:rFonts w:ascii="Arial" w:hAnsi="Arial"/>
        </w:rPr>
        <w:t>Buhlungu</w:t>
      </w:r>
      <w:proofErr w:type="spellEnd"/>
      <w:r w:rsidRPr="00BC0FF1">
        <w:rPr>
          <w:rFonts w:ascii="Arial" w:hAnsi="Arial"/>
        </w:rPr>
        <w:t xml:space="preserve"> &amp; Bird 1996:89.</w:t>
      </w:r>
    </w:p>
  </w:footnote>
  <w:footnote w:id="133">
    <w:p w14:paraId="734EF544" w14:textId="740313C4"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Lewis, </w:t>
      </w:r>
      <w:proofErr w:type="spellStart"/>
      <w:r w:rsidRPr="00BC0FF1">
        <w:rPr>
          <w:rFonts w:ascii="Arial" w:hAnsi="Arial"/>
        </w:rPr>
        <w:t>Ngoasheng</w:t>
      </w:r>
      <w:proofErr w:type="spellEnd"/>
      <w:r w:rsidRPr="00BC0FF1">
        <w:rPr>
          <w:rFonts w:ascii="Arial" w:hAnsi="Arial"/>
        </w:rPr>
        <w:t xml:space="preserve">, Baskin, </w:t>
      </w:r>
      <w:proofErr w:type="spellStart"/>
      <w:r w:rsidRPr="00BC0FF1">
        <w:rPr>
          <w:rFonts w:ascii="Arial" w:hAnsi="Arial"/>
        </w:rPr>
        <w:t>Buhlungu</w:t>
      </w:r>
      <w:proofErr w:type="spellEnd"/>
      <w:r w:rsidRPr="00BC0FF1">
        <w:rPr>
          <w:rFonts w:ascii="Arial" w:hAnsi="Arial"/>
        </w:rPr>
        <w:t xml:space="preserve"> &amp; Bird 1996:92-94.</w:t>
      </w:r>
    </w:p>
  </w:footnote>
  <w:footnote w:id="134">
    <w:p w14:paraId="372434E7" w14:textId="351A3E8A"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Lewis, </w:t>
      </w:r>
      <w:proofErr w:type="spellStart"/>
      <w:r w:rsidRPr="00BC0FF1">
        <w:rPr>
          <w:rFonts w:ascii="Arial" w:hAnsi="Arial"/>
        </w:rPr>
        <w:t>Ngoasheng</w:t>
      </w:r>
      <w:proofErr w:type="spellEnd"/>
      <w:r w:rsidRPr="00BC0FF1">
        <w:rPr>
          <w:rFonts w:ascii="Arial" w:hAnsi="Arial"/>
        </w:rPr>
        <w:t xml:space="preserve">, Baskin, </w:t>
      </w:r>
      <w:proofErr w:type="spellStart"/>
      <w:r w:rsidRPr="00BC0FF1">
        <w:rPr>
          <w:rFonts w:ascii="Arial" w:hAnsi="Arial"/>
        </w:rPr>
        <w:t>Buhlungu</w:t>
      </w:r>
      <w:proofErr w:type="spellEnd"/>
      <w:r w:rsidRPr="00BC0FF1">
        <w:rPr>
          <w:rFonts w:ascii="Arial" w:hAnsi="Arial"/>
        </w:rPr>
        <w:t xml:space="preserve"> &amp; Bird 1996:96-98.</w:t>
      </w:r>
    </w:p>
  </w:footnote>
  <w:footnote w:id="135">
    <w:p w14:paraId="030E5DDC" w14:textId="3E969AB7"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rPr>
        <w:t xml:space="preserve"> </w:t>
      </w:r>
      <w:r w:rsidR="00EC2252" w:rsidRPr="00BC0FF1">
        <w:rPr>
          <w:rFonts w:ascii="Arial" w:hAnsi="Arial"/>
        </w:rPr>
        <w:tab/>
      </w:r>
      <w:r w:rsidRPr="00BC0FF1">
        <w:rPr>
          <w:rFonts w:ascii="Arial" w:hAnsi="Arial"/>
        </w:rPr>
        <w:t xml:space="preserve">Lewis, </w:t>
      </w:r>
      <w:proofErr w:type="spellStart"/>
      <w:r w:rsidRPr="00BC0FF1">
        <w:rPr>
          <w:rFonts w:ascii="Arial" w:hAnsi="Arial"/>
        </w:rPr>
        <w:t>Ngoasheng</w:t>
      </w:r>
      <w:proofErr w:type="spellEnd"/>
      <w:r w:rsidRPr="00BC0FF1">
        <w:rPr>
          <w:rFonts w:ascii="Arial" w:hAnsi="Arial"/>
        </w:rPr>
        <w:t xml:space="preserve">, Baskin, </w:t>
      </w:r>
      <w:proofErr w:type="spellStart"/>
      <w:r w:rsidRPr="00BC0FF1">
        <w:rPr>
          <w:rFonts w:ascii="Arial" w:hAnsi="Arial"/>
        </w:rPr>
        <w:t>Buhlungu</w:t>
      </w:r>
      <w:proofErr w:type="spellEnd"/>
      <w:r w:rsidRPr="00BC0FF1">
        <w:rPr>
          <w:rFonts w:ascii="Arial" w:hAnsi="Arial"/>
        </w:rPr>
        <w:t xml:space="preserve"> &amp; Bird 1996:96-98.</w:t>
      </w:r>
    </w:p>
  </w:footnote>
  <w:footnote w:id="136">
    <w:p w14:paraId="59336F87" w14:textId="4ADE032F" w:rsidR="00664603" w:rsidRPr="00BC0FF1" w:rsidRDefault="00664603" w:rsidP="00664603">
      <w:pPr>
        <w:pStyle w:val="FootnoteText"/>
        <w:rPr>
          <w:rFonts w:ascii="Arial" w:hAnsi="Arial"/>
        </w:rPr>
      </w:pPr>
      <w:r w:rsidRPr="00BC0FF1">
        <w:rPr>
          <w:rStyle w:val="FootnoteReference"/>
          <w:rFonts w:ascii="Arial" w:hAnsi="Arial"/>
        </w:rPr>
        <w:footnoteRef/>
      </w:r>
      <w:r w:rsidRPr="00BC0FF1">
        <w:rPr>
          <w:rFonts w:ascii="Arial" w:hAnsi="Arial"/>
        </w:rPr>
        <w:t xml:space="preserve">    Burger &amp; Jafta 2010:9.</w:t>
      </w:r>
    </w:p>
  </w:footnote>
  <w:footnote w:id="137">
    <w:p w14:paraId="254A6723" w14:textId="3E001E77" w:rsidR="00664603" w:rsidRPr="00BC0FF1" w:rsidRDefault="00664603" w:rsidP="00664603">
      <w:pPr>
        <w:pStyle w:val="FootnoteText"/>
        <w:rPr>
          <w:rFonts w:ascii="Arial" w:hAnsi="Arial"/>
        </w:rPr>
      </w:pPr>
      <w:r w:rsidRPr="00BC0FF1">
        <w:rPr>
          <w:rStyle w:val="FootnoteReference"/>
          <w:rFonts w:ascii="Arial" w:hAnsi="Arial"/>
        </w:rPr>
        <w:footnoteRef/>
      </w:r>
      <w:r w:rsidR="00EC2252" w:rsidRPr="00BC0FF1">
        <w:rPr>
          <w:rFonts w:ascii="Arial" w:hAnsi="Arial"/>
          <w:i/>
          <w:iCs/>
        </w:rPr>
        <w:t xml:space="preserve"> </w:t>
      </w:r>
      <w:r w:rsidR="00EC2252" w:rsidRPr="00BC0FF1">
        <w:rPr>
          <w:rFonts w:ascii="Arial" w:hAnsi="Arial"/>
          <w:i/>
          <w:iCs/>
        </w:rPr>
        <w:tab/>
      </w:r>
      <w:r w:rsidRPr="00BC0FF1">
        <w:rPr>
          <w:rFonts w:ascii="Arial" w:hAnsi="Arial"/>
          <w:i/>
          <w:iCs/>
        </w:rPr>
        <w:t>South African Police Service v Solidarity obo Barnard</w:t>
      </w:r>
      <w:r w:rsidRPr="00BC0FF1">
        <w:rPr>
          <w:rFonts w:ascii="Arial" w:hAnsi="Arial"/>
        </w:rPr>
        <w:t xml:space="preserve"> (CCT 01/14) [2014] ZACC 23.</w:t>
      </w:r>
    </w:p>
  </w:footnote>
  <w:footnote w:id="138">
    <w:p w14:paraId="32637312" w14:textId="422CEDC1" w:rsidR="00664603" w:rsidRPr="00BC0FF1" w:rsidRDefault="00664603" w:rsidP="00EC2252">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bookmarkStart w:id="103" w:name="_Hlk183967035"/>
      <w:r w:rsidRPr="00BC0FF1">
        <w:rPr>
          <w:rFonts w:ascii="Arial" w:hAnsi="Arial"/>
          <w:i/>
          <w:iCs/>
        </w:rPr>
        <w:t>Scaw South Africa (Pty) Ltd v NUMSA obo Members and Others</w:t>
      </w:r>
      <w:r w:rsidRPr="00BC0FF1">
        <w:rPr>
          <w:rFonts w:ascii="Arial" w:hAnsi="Arial"/>
        </w:rPr>
        <w:t xml:space="preserve"> (J 296/2023) [2023] ZALCJHB 39 (</w:t>
      </w:r>
      <w:proofErr w:type="gramStart"/>
      <w:r w:rsidRPr="00BC0FF1">
        <w:rPr>
          <w:rFonts w:ascii="Arial" w:hAnsi="Arial"/>
        </w:rPr>
        <w:t>9  March</w:t>
      </w:r>
      <w:proofErr w:type="gramEnd"/>
      <w:r w:rsidRPr="00BC0FF1">
        <w:rPr>
          <w:rFonts w:ascii="Arial" w:hAnsi="Arial"/>
        </w:rPr>
        <w:t xml:space="preserve"> 2023).</w:t>
      </w:r>
      <w:bookmarkEnd w:id="103"/>
    </w:p>
    <w:p w14:paraId="2C424CB6" w14:textId="77777777" w:rsidR="00664603" w:rsidRPr="00BC0FF1" w:rsidRDefault="00664603" w:rsidP="00664603">
      <w:pPr>
        <w:pStyle w:val="FootnoteText"/>
        <w:ind w:left="284" w:hanging="284"/>
        <w:rPr>
          <w:rFonts w:ascii="Arial" w:hAnsi="Arial"/>
        </w:rPr>
      </w:pPr>
    </w:p>
  </w:footnote>
  <w:footnote w:id="139">
    <w:p w14:paraId="1C071F65"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The </w:t>
      </w:r>
      <w:proofErr w:type="gramStart"/>
      <w:r w:rsidRPr="00BC0FF1">
        <w:rPr>
          <w:rFonts w:ascii="Arial" w:hAnsi="Arial"/>
          <w:i/>
          <w:iCs/>
        </w:rPr>
        <w:t>Constitution</w:t>
      </w:r>
      <w:r w:rsidRPr="00BC0FF1">
        <w:rPr>
          <w:rFonts w:ascii="Arial" w:hAnsi="Arial"/>
        </w:rPr>
        <w:t>:sec.</w:t>
      </w:r>
      <w:proofErr w:type="gramEnd"/>
      <w:r w:rsidRPr="00BC0FF1">
        <w:rPr>
          <w:rFonts w:ascii="Arial" w:hAnsi="Arial"/>
        </w:rPr>
        <w:t xml:space="preserve">9(1). </w:t>
      </w:r>
    </w:p>
  </w:footnote>
  <w:footnote w:id="140">
    <w:p w14:paraId="584C2694"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 Plessis &amp; Corder 1994:139-140.</w:t>
      </w:r>
    </w:p>
  </w:footnote>
  <w:footnote w:id="141">
    <w:p w14:paraId="7C70E124"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The </w:t>
      </w:r>
      <w:proofErr w:type="gramStart"/>
      <w:r w:rsidRPr="00BC0FF1">
        <w:rPr>
          <w:rFonts w:ascii="Arial" w:hAnsi="Arial"/>
          <w:i/>
          <w:iCs/>
        </w:rPr>
        <w:t>Constitution</w:t>
      </w:r>
      <w:r w:rsidRPr="00BC0FF1">
        <w:rPr>
          <w:rFonts w:ascii="Arial" w:hAnsi="Arial"/>
        </w:rPr>
        <w:t>:sec.</w:t>
      </w:r>
      <w:proofErr w:type="gramEnd"/>
      <w:r w:rsidRPr="00BC0FF1">
        <w:rPr>
          <w:rFonts w:ascii="Arial" w:hAnsi="Arial"/>
        </w:rPr>
        <w:t>39.</w:t>
      </w:r>
    </w:p>
  </w:footnote>
  <w:footnote w:id="142">
    <w:p w14:paraId="117A1911"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Sen 1995:23-</w:t>
      </w:r>
      <w:proofErr w:type="gramStart"/>
      <w:r w:rsidRPr="00BC0FF1">
        <w:rPr>
          <w:rFonts w:ascii="Arial" w:hAnsi="Arial"/>
        </w:rPr>
        <w:t>26 ;</w:t>
      </w:r>
      <w:proofErr w:type="gramEnd"/>
      <w:r w:rsidRPr="00BC0FF1">
        <w:rPr>
          <w:rFonts w:ascii="Arial" w:hAnsi="Arial"/>
        </w:rPr>
        <w:t xml:space="preserve"> </w:t>
      </w:r>
      <w:proofErr w:type="spellStart"/>
      <w:r w:rsidRPr="00BC0FF1">
        <w:rPr>
          <w:rFonts w:ascii="Arial" w:hAnsi="Arial"/>
        </w:rPr>
        <w:t>Albertyn</w:t>
      </w:r>
      <w:proofErr w:type="spellEnd"/>
      <w:r w:rsidRPr="00BC0FF1">
        <w:rPr>
          <w:rFonts w:ascii="Arial" w:hAnsi="Arial"/>
        </w:rPr>
        <w:t xml:space="preserve"> &amp; Goldblatt 1998:248-276; Woolman 2017:35(3)-35(8).</w:t>
      </w:r>
    </w:p>
  </w:footnote>
  <w:footnote w:id="143">
    <w:p w14:paraId="142065BD"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De Vos 2000: 67; </w:t>
      </w:r>
      <w:proofErr w:type="spellStart"/>
      <w:r w:rsidRPr="00BC0FF1">
        <w:rPr>
          <w:rFonts w:ascii="Arial" w:hAnsi="Arial"/>
        </w:rPr>
        <w:t>Nconco</w:t>
      </w:r>
      <w:proofErr w:type="spellEnd"/>
      <w:r w:rsidRPr="00BC0FF1">
        <w:rPr>
          <w:rFonts w:ascii="Arial" w:hAnsi="Arial"/>
        </w:rPr>
        <w:t xml:space="preserve"> 2012:1-2.</w:t>
      </w:r>
    </w:p>
  </w:footnote>
  <w:footnote w:id="144">
    <w:p w14:paraId="39EBBEDB"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De Vos 2000: 67; </w:t>
      </w:r>
      <w:proofErr w:type="spellStart"/>
      <w:r w:rsidRPr="00BC0FF1">
        <w:rPr>
          <w:rFonts w:ascii="Arial" w:hAnsi="Arial"/>
        </w:rPr>
        <w:t>Nconco</w:t>
      </w:r>
      <w:proofErr w:type="spellEnd"/>
      <w:r w:rsidRPr="00BC0FF1">
        <w:rPr>
          <w:rFonts w:ascii="Arial" w:hAnsi="Arial"/>
        </w:rPr>
        <w:t xml:space="preserve"> 2012:1-2.</w:t>
      </w:r>
    </w:p>
  </w:footnote>
  <w:footnote w:id="145">
    <w:p w14:paraId="24059E11"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Vos &amp; Freedman 2021:2.</w:t>
      </w:r>
    </w:p>
  </w:footnote>
  <w:footnote w:id="146">
    <w:p w14:paraId="068DC919"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Sparks 1995.</w:t>
      </w:r>
    </w:p>
  </w:footnote>
  <w:footnote w:id="147">
    <w:p w14:paraId="15011FC6" w14:textId="35C0E779"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Home Affairs v National Institute for Crime Prevention</w:t>
      </w:r>
      <w:r w:rsidRPr="00BC0FF1">
        <w:rPr>
          <w:rFonts w:ascii="Arial" w:hAnsi="Arial"/>
        </w:rPr>
        <w:t xml:space="preserve"> 2005 (3) SA 280 (CC</w:t>
      </w:r>
      <w:proofErr w:type="gramStart"/>
      <w:r w:rsidRPr="00BC0FF1">
        <w:rPr>
          <w:rFonts w:ascii="Arial" w:hAnsi="Arial"/>
        </w:rPr>
        <w:t>):par.</w:t>
      </w:r>
      <w:proofErr w:type="gramEnd"/>
      <w:r w:rsidRPr="00BC0FF1">
        <w:rPr>
          <w:rFonts w:ascii="Arial" w:hAnsi="Arial"/>
        </w:rPr>
        <w:t>21.</w:t>
      </w:r>
    </w:p>
  </w:footnote>
  <w:footnote w:id="148">
    <w:p w14:paraId="2C6246C2" w14:textId="18858A88" w:rsidR="004B11DB" w:rsidRPr="00BC0FF1" w:rsidRDefault="004B11DB" w:rsidP="004B11DB">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President of the Republic of South Africa and Another v Hugo</w:t>
      </w:r>
      <w:r w:rsidRPr="00BC0FF1">
        <w:rPr>
          <w:rFonts w:ascii="Arial" w:hAnsi="Arial"/>
        </w:rPr>
        <w:t xml:space="preserve"> (CCT11/96) [1997] ZACC </w:t>
      </w:r>
      <w:proofErr w:type="gramStart"/>
      <w:r w:rsidRPr="00BC0FF1">
        <w:rPr>
          <w:rFonts w:ascii="Arial" w:hAnsi="Arial"/>
        </w:rPr>
        <w:t>4:par</w:t>
      </w:r>
      <w:r w:rsidR="000E7785" w:rsidRPr="00BC0FF1">
        <w:rPr>
          <w:rFonts w:ascii="Arial" w:hAnsi="Arial"/>
        </w:rPr>
        <w:t>as</w:t>
      </w:r>
      <w:proofErr w:type="gramEnd"/>
      <w:r w:rsidRPr="00BC0FF1">
        <w:rPr>
          <w:rFonts w:ascii="Arial" w:hAnsi="Arial"/>
        </w:rPr>
        <w:t>.113-114.</w:t>
      </w:r>
    </w:p>
  </w:footnote>
  <w:footnote w:id="149">
    <w:p w14:paraId="51414170" w14:textId="77777777" w:rsidR="004B11DB" w:rsidRPr="00BC0FF1" w:rsidRDefault="004B11DB" w:rsidP="004B11DB">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Harksen v Lane NO and Others</w:t>
      </w:r>
      <w:r w:rsidRPr="00BC0FF1">
        <w:rPr>
          <w:rFonts w:ascii="Arial" w:hAnsi="Arial"/>
        </w:rPr>
        <w:t xml:space="preserve"> (CCT9/97) [1997] ZACC </w:t>
      </w:r>
      <w:proofErr w:type="gramStart"/>
      <w:r w:rsidRPr="00BC0FF1">
        <w:rPr>
          <w:rFonts w:ascii="Arial" w:hAnsi="Arial"/>
        </w:rPr>
        <w:t>12:par.</w:t>
      </w:r>
      <w:proofErr w:type="gramEnd"/>
      <w:r w:rsidRPr="00BC0FF1">
        <w:rPr>
          <w:rFonts w:ascii="Arial" w:hAnsi="Arial"/>
        </w:rPr>
        <w:t>44.</w:t>
      </w:r>
    </w:p>
  </w:footnote>
  <w:footnote w:id="150">
    <w:p w14:paraId="3798935B" w14:textId="2DF7617D"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Finance and Other v Van Heerden</w:t>
      </w:r>
      <w:r w:rsidRPr="00BC0FF1">
        <w:rPr>
          <w:rFonts w:ascii="Arial" w:hAnsi="Arial"/>
        </w:rPr>
        <w:t xml:space="preserve"> (CCT 63/03) [2004] ZACC 3.</w:t>
      </w:r>
    </w:p>
  </w:footnote>
  <w:footnote w:id="151">
    <w:p w14:paraId="649870E6"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Harksen v Lane NO and </w:t>
      </w:r>
      <w:proofErr w:type="gramStart"/>
      <w:r w:rsidRPr="00BC0FF1">
        <w:rPr>
          <w:rFonts w:ascii="Arial" w:hAnsi="Arial"/>
          <w:i/>
          <w:iCs/>
        </w:rPr>
        <w:t>Others</w:t>
      </w:r>
      <w:r w:rsidRPr="00BC0FF1">
        <w:rPr>
          <w:rFonts w:ascii="Arial" w:hAnsi="Arial"/>
        </w:rPr>
        <w:t>:par.</w:t>
      </w:r>
      <w:proofErr w:type="gramEnd"/>
      <w:r w:rsidRPr="00BC0FF1">
        <w:rPr>
          <w:rFonts w:ascii="Arial" w:hAnsi="Arial"/>
        </w:rPr>
        <w:t>46.</w:t>
      </w:r>
    </w:p>
  </w:footnote>
  <w:footnote w:id="152">
    <w:p w14:paraId="47300BF5" w14:textId="3D46A147" w:rsidR="00DD7122" w:rsidRPr="00BC0FF1" w:rsidRDefault="00DD7122" w:rsidP="00DD7122">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National Coalition for Gay and Lesbian Equality and Another v Minister of Justice and Others</w:t>
      </w:r>
      <w:r w:rsidRPr="00BC0FF1">
        <w:rPr>
          <w:rFonts w:ascii="Arial" w:hAnsi="Arial"/>
        </w:rPr>
        <w:t xml:space="preserve"> (CCT11/98) [1998] ZACC </w:t>
      </w:r>
      <w:proofErr w:type="gramStart"/>
      <w:r w:rsidRPr="00BC0FF1">
        <w:rPr>
          <w:rFonts w:ascii="Arial" w:hAnsi="Arial"/>
        </w:rPr>
        <w:t>15:par</w:t>
      </w:r>
      <w:r w:rsidR="000E7785" w:rsidRPr="00BC0FF1">
        <w:rPr>
          <w:rFonts w:ascii="Arial" w:hAnsi="Arial"/>
        </w:rPr>
        <w:t>as</w:t>
      </w:r>
      <w:proofErr w:type="gramEnd"/>
      <w:r w:rsidRPr="00BC0FF1">
        <w:rPr>
          <w:rFonts w:ascii="Arial" w:hAnsi="Arial"/>
        </w:rPr>
        <w:t>.120-129.</w:t>
      </w:r>
    </w:p>
    <w:p w14:paraId="19479F22" w14:textId="77777777" w:rsidR="00DD7122" w:rsidRPr="00BC0FF1" w:rsidRDefault="00DD7122" w:rsidP="00DD7122">
      <w:pPr>
        <w:pStyle w:val="FootnoteText"/>
        <w:rPr>
          <w:rFonts w:ascii="Arial" w:hAnsi="Arial"/>
        </w:rPr>
      </w:pPr>
    </w:p>
  </w:footnote>
  <w:footnote w:id="153">
    <w:p w14:paraId="6BB088C1"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Finance and Other v Van Heerden</w:t>
      </w:r>
      <w:r w:rsidRPr="00BC0FF1">
        <w:rPr>
          <w:rFonts w:ascii="Arial" w:hAnsi="Arial"/>
        </w:rPr>
        <w:t>.</w:t>
      </w:r>
    </w:p>
  </w:footnote>
  <w:footnote w:id="154">
    <w:p w14:paraId="6E7B5729" w14:textId="77777777" w:rsidR="00DD7122" w:rsidRPr="00BC0FF1" w:rsidRDefault="00DD7122" w:rsidP="00DD7122">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10" w:name="_Hlk183967074"/>
      <w:r w:rsidRPr="00BC0FF1">
        <w:rPr>
          <w:rFonts w:ascii="Arial" w:hAnsi="Arial"/>
          <w:i/>
          <w:iCs/>
        </w:rPr>
        <w:t>Government of the Republic of South Africa and Others v Grootboom and Others</w:t>
      </w:r>
      <w:r w:rsidRPr="00BC0FF1">
        <w:rPr>
          <w:rFonts w:ascii="Arial" w:hAnsi="Arial"/>
        </w:rPr>
        <w:t xml:space="preserve"> (CCT11/00) [2000] ZACC </w:t>
      </w:r>
      <w:proofErr w:type="gramStart"/>
      <w:r w:rsidRPr="00BC0FF1">
        <w:rPr>
          <w:rFonts w:ascii="Arial" w:hAnsi="Arial"/>
        </w:rPr>
        <w:t>19:par.</w:t>
      </w:r>
      <w:proofErr w:type="gramEnd"/>
      <w:r w:rsidRPr="00BC0FF1">
        <w:rPr>
          <w:rFonts w:ascii="Arial" w:hAnsi="Arial"/>
        </w:rPr>
        <w:t>13.</w:t>
      </w:r>
    </w:p>
    <w:bookmarkEnd w:id="110"/>
    <w:p w14:paraId="0CCBB443" w14:textId="77777777" w:rsidR="00DD7122" w:rsidRPr="00BC0FF1" w:rsidRDefault="00DD7122" w:rsidP="00DD7122">
      <w:pPr>
        <w:pStyle w:val="FootnoteText"/>
        <w:rPr>
          <w:rFonts w:ascii="Arial" w:hAnsi="Arial"/>
        </w:rPr>
      </w:pPr>
    </w:p>
  </w:footnote>
  <w:footnote w:id="155">
    <w:p w14:paraId="7DCF254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Dupper 2004:16-20.</w:t>
      </w:r>
    </w:p>
  </w:footnote>
  <w:footnote w:id="156">
    <w:p w14:paraId="0ED55AA7"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Waal 2001:128-134.</w:t>
      </w:r>
    </w:p>
  </w:footnote>
  <w:footnote w:id="157">
    <w:p w14:paraId="2A036DF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Vos 2000:67.</w:t>
      </w:r>
    </w:p>
  </w:footnote>
  <w:footnote w:id="158">
    <w:p w14:paraId="609D960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Vos 2000:67.</w:t>
      </w:r>
    </w:p>
  </w:footnote>
  <w:footnote w:id="159">
    <w:p w14:paraId="1890B44E"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Vos 2000:290.</w:t>
      </w:r>
    </w:p>
  </w:footnote>
  <w:footnote w:id="160">
    <w:p w14:paraId="0261C531"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Nconco</w:t>
      </w:r>
      <w:proofErr w:type="spellEnd"/>
      <w:r w:rsidRPr="00BC0FF1">
        <w:rPr>
          <w:rFonts w:ascii="Arial" w:hAnsi="Arial"/>
        </w:rPr>
        <w:t xml:space="preserve"> 2012:2.</w:t>
      </w:r>
    </w:p>
  </w:footnote>
  <w:footnote w:id="161">
    <w:p w14:paraId="7BD6ACC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Wentholt</w:t>
      </w:r>
      <w:proofErr w:type="spellEnd"/>
      <w:r w:rsidRPr="00BC0FF1">
        <w:rPr>
          <w:rFonts w:ascii="Arial" w:hAnsi="Arial"/>
        </w:rPr>
        <w:t xml:space="preserve"> 1999:56.</w:t>
      </w:r>
    </w:p>
  </w:footnote>
  <w:footnote w:id="162">
    <w:p w14:paraId="75AE8503"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Wentholt</w:t>
      </w:r>
      <w:proofErr w:type="spellEnd"/>
      <w:r w:rsidRPr="00BC0FF1">
        <w:rPr>
          <w:rFonts w:ascii="Arial" w:hAnsi="Arial"/>
        </w:rPr>
        <w:t xml:space="preserve"> 1999:56.</w:t>
      </w:r>
    </w:p>
  </w:footnote>
  <w:footnote w:id="163">
    <w:p w14:paraId="46BDD109"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Flax 2005:190-207.</w:t>
      </w:r>
    </w:p>
  </w:footnote>
  <w:footnote w:id="164">
    <w:p w14:paraId="7B092E7E"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Finley 1986:1153.</w:t>
      </w:r>
    </w:p>
  </w:footnote>
  <w:footnote w:id="165">
    <w:p w14:paraId="2A498B04"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Smith 2014 609-632.</w:t>
      </w:r>
    </w:p>
  </w:footnote>
  <w:footnote w:id="166">
    <w:p w14:paraId="6266DA03"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Smith 2014:609-632.</w:t>
      </w:r>
    </w:p>
  </w:footnote>
  <w:footnote w:id="167">
    <w:p w14:paraId="1EC6A2D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bookmarkStart w:id="112" w:name="_Hlk181190336"/>
      <w:r w:rsidRPr="00BC0FF1">
        <w:rPr>
          <w:rFonts w:ascii="Arial" w:hAnsi="Arial"/>
        </w:rPr>
        <w:tab/>
        <w:t>Grant 2007:300</w:t>
      </w:r>
      <w:bookmarkEnd w:id="112"/>
      <w:r w:rsidRPr="00BC0FF1">
        <w:rPr>
          <w:rFonts w:ascii="Arial" w:hAnsi="Arial"/>
        </w:rPr>
        <w:t>; McCrudden 2004</w:t>
      </w:r>
      <w:bookmarkStart w:id="113" w:name="_Hlk181190501"/>
      <w:r w:rsidRPr="00BC0FF1">
        <w:rPr>
          <w:rFonts w:ascii="Arial" w:hAnsi="Arial"/>
        </w:rPr>
        <w:t>:581-668</w:t>
      </w:r>
      <w:bookmarkEnd w:id="113"/>
      <w:r w:rsidRPr="00BC0FF1">
        <w:rPr>
          <w:rFonts w:ascii="Arial" w:hAnsi="Arial"/>
        </w:rPr>
        <w:t>.</w:t>
      </w:r>
    </w:p>
  </w:footnote>
  <w:footnote w:id="168">
    <w:p w14:paraId="45612430"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Westen 1982:537.</w:t>
      </w:r>
    </w:p>
  </w:footnote>
  <w:footnote w:id="169">
    <w:p w14:paraId="3AB60D5F"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Bywater &amp; Bywater 1894:112-117.</w:t>
      </w:r>
    </w:p>
  </w:footnote>
  <w:footnote w:id="170">
    <w:p w14:paraId="752BB75F"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Wenholt 1999: 58; </w:t>
      </w:r>
      <w:proofErr w:type="spellStart"/>
      <w:r w:rsidRPr="00BC0FF1">
        <w:rPr>
          <w:rFonts w:ascii="Arial" w:hAnsi="Arial"/>
        </w:rPr>
        <w:t>Albertyn</w:t>
      </w:r>
      <w:proofErr w:type="spellEnd"/>
      <w:r w:rsidRPr="00BC0FF1">
        <w:rPr>
          <w:rFonts w:ascii="Arial" w:hAnsi="Arial"/>
        </w:rPr>
        <w:t xml:space="preserve"> &amp; Kentridge 1994:149-178.</w:t>
      </w:r>
    </w:p>
  </w:footnote>
  <w:footnote w:id="171">
    <w:p w14:paraId="2926AAC1"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Wenholt 1999: 58; </w:t>
      </w:r>
      <w:proofErr w:type="spellStart"/>
      <w:r w:rsidRPr="00BC0FF1">
        <w:rPr>
          <w:rFonts w:ascii="Arial" w:hAnsi="Arial"/>
        </w:rPr>
        <w:t>Albertyn</w:t>
      </w:r>
      <w:proofErr w:type="spellEnd"/>
      <w:r w:rsidRPr="00BC0FF1">
        <w:rPr>
          <w:rFonts w:ascii="Arial" w:hAnsi="Arial"/>
        </w:rPr>
        <w:t xml:space="preserve"> &amp; Kentridge 1994:149-178.</w:t>
      </w:r>
    </w:p>
  </w:footnote>
  <w:footnote w:id="172">
    <w:p w14:paraId="4B716FAD"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Smith 2014:609-632.</w:t>
      </w:r>
    </w:p>
  </w:footnote>
  <w:footnote w:id="173">
    <w:p w14:paraId="59D61736"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McCrudden 2003:1-38.</w:t>
      </w:r>
    </w:p>
  </w:footnote>
  <w:footnote w:id="174">
    <w:p w14:paraId="05456AE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McCrudden 2003:1-38</w:t>
      </w:r>
    </w:p>
  </w:footnote>
  <w:footnote w:id="175">
    <w:p w14:paraId="532201AB"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UNSEC Final Report Prevention of </w:t>
      </w:r>
      <w:proofErr w:type="gramStart"/>
      <w:r w:rsidRPr="00BC0FF1">
        <w:rPr>
          <w:rFonts w:ascii="Arial" w:hAnsi="Arial"/>
        </w:rPr>
        <w:t>Discrimination:par.</w:t>
      </w:r>
      <w:proofErr w:type="gramEnd"/>
      <w:r w:rsidRPr="00BC0FF1">
        <w:rPr>
          <w:rFonts w:ascii="Arial" w:hAnsi="Arial"/>
        </w:rPr>
        <w:t>35.</w:t>
      </w:r>
    </w:p>
  </w:footnote>
  <w:footnote w:id="176">
    <w:p w14:paraId="7D75CE54" w14:textId="0F5FDD95" w:rsidR="00C64BE2" w:rsidRPr="00BC0FF1" w:rsidRDefault="00C64BE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lang w:val="en-ZA"/>
        </w:rPr>
        <w:t xml:space="preserve">UNSEC Final Report Prevention of </w:t>
      </w:r>
      <w:proofErr w:type="gramStart"/>
      <w:r w:rsidRPr="00BC0FF1">
        <w:rPr>
          <w:rFonts w:ascii="Arial" w:hAnsi="Arial"/>
          <w:lang w:val="en-ZA"/>
        </w:rPr>
        <w:t>Discrimination:par.</w:t>
      </w:r>
      <w:proofErr w:type="gramEnd"/>
      <w:r w:rsidRPr="00BC0FF1">
        <w:rPr>
          <w:rFonts w:ascii="Arial" w:hAnsi="Arial"/>
          <w:lang w:val="en-ZA"/>
        </w:rPr>
        <w:t>35.</w:t>
      </w:r>
    </w:p>
  </w:footnote>
  <w:footnote w:id="177">
    <w:p w14:paraId="5AA6E558"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UNSEC Final Report Prevention of </w:t>
      </w:r>
      <w:proofErr w:type="gramStart"/>
      <w:r w:rsidRPr="00BC0FF1">
        <w:rPr>
          <w:rFonts w:ascii="Arial" w:hAnsi="Arial"/>
        </w:rPr>
        <w:t>Discrimination:par.</w:t>
      </w:r>
      <w:proofErr w:type="gramEnd"/>
      <w:r w:rsidRPr="00BC0FF1">
        <w:rPr>
          <w:rFonts w:ascii="Arial" w:hAnsi="Arial"/>
        </w:rPr>
        <w:t>35.</w:t>
      </w:r>
    </w:p>
  </w:footnote>
  <w:footnote w:id="178">
    <w:p w14:paraId="4FB95435"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 Toit 2006:430.</w:t>
      </w:r>
    </w:p>
  </w:footnote>
  <w:footnote w:id="179">
    <w:p w14:paraId="13E05D08"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Banton 1994:5.</w:t>
      </w:r>
    </w:p>
  </w:footnote>
  <w:footnote w:id="180">
    <w:p w14:paraId="215DC557"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UNESC Progress Report Prevention of </w:t>
      </w:r>
      <w:proofErr w:type="gramStart"/>
      <w:r w:rsidRPr="00BC0FF1">
        <w:rPr>
          <w:rFonts w:ascii="Arial" w:hAnsi="Arial"/>
        </w:rPr>
        <w:t>Discrimination:par.</w:t>
      </w:r>
      <w:proofErr w:type="gramEnd"/>
      <w:r w:rsidRPr="00BC0FF1">
        <w:rPr>
          <w:rFonts w:ascii="Arial" w:hAnsi="Arial"/>
        </w:rPr>
        <w:t>90.</w:t>
      </w:r>
    </w:p>
  </w:footnote>
  <w:footnote w:id="181">
    <w:p w14:paraId="25684E6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Dupper 2004:1280.</w:t>
      </w:r>
    </w:p>
  </w:footnote>
  <w:footnote w:id="182">
    <w:p w14:paraId="1BDAAAB3" w14:textId="7867B7B5" w:rsidR="007D3311" w:rsidRPr="007D3311" w:rsidRDefault="007D3311">
      <w:pPr>
        <w:pStyle w:val="FootnoteText"/>
      </w:pPr>
      <w:r>
        <w:rPr>
          <w:rStyle w:val="FootnoteReference"/>
        </w:rPr>
        <w:footnoteRef/>
      </w:r>
      <w:r>
        <w:t xml:space="preserve"> </w:t>
      </w:r>
      <w:r>
        <w:tab/>
      </w:r>
      <w:bookmarkStart w:id="118" w:name="_Hlk189586102"/>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2.</w:t>
      </w:r>
      <w:bookmarkEnd w:id="118"/>
    </w:p>
  </w:footnote>
  <w:footnote w:id="183">
    <w:p w14:paraId="18EA395D" w14:textId="09D186E2" w:rsidR="007D3311" w:rsidRDefault="007D3311">
      <w:pPr>
        <w:pStyle w:val="FootnoteText"/>
      </w:pPr>
      <w:r>
        <w:rPr>
          <w:rStyle w:val="FootnoteReference"/>
        </w:rPr>
        <w:footnoteRef/>
      </w:r>
      <w:r>
        <w:t xml:space="preserve"> </w:t>
      </w:r>
      <w:r>
        <w:tab/>
      </w:r>
      <w:bookmarkStart w:id="119" w:name="_Hlk189586198"/>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2.</w:t>
      </w:r>
      <w:bookmarkEnd w:id="119"/>
    </w:p>
  </w:footnote>
  <w:footnote w:id="184">
    <w:p w14:paraId="55CE3389" w14:textId="2559B06A" w:rsidR="007D3311" w:rsidRDefault="007D3311">
      <w:pPr>
        <w:pStyle w:val="FootnoteText"/>
      </w:pPr>
      <w:r>
        <w:rPr>
          <w:rStyle w:val="FootnoteReference"/>
        </w:rPr>
        <w:footnoteRef/>
      </w:r>
      <w:r>
        <w:t xml:space="preserve"> </w:t>
      </w:r>
      <w:r>
        <w:tab/>
      </w:r>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3.</w:t>
      </w:r>
    </w:p>
  </w:footnote>
  <w:footnote w:id="185">
    <w:p w14:paraId="0C87AD9B" w14:textId="54CBFF03" w:rsidR="00B052BA" w:rsidRDefault="00B052BA">
      <w:pPr>
        <w:pStyle w:val="FootnoteText"/>
      </w:pPr>
      <w:r>
        <w:rPr>
          <w:rStyle w:val="FootnoteReference"/>
        </w:rPr>
        <w:footnoteRef/>
      </w:r>
      <w:r>
        <w:t xml:space="preserve"> </w:t>
      </w:r>
      <w:r>
        <w:tab/>
      </w:r>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33.</w:t>
      </w:r>
    </w:p>
  </w:footnote>
  <w:footnote w:id="186">
    <w:p w14:paraId="25D60A54" w14:textId="1165E054" w:rsidR="00B052BA" w:rsidRDefault="00B052BA">
      <w:pPr>
        <w:pStyle w:val="FootnoteText"/>
      </w:pPr>
      <w:r>
        <w:rPr>
          <w:rStyle w:val="FootnoteReference"/>
        </w:rPr>
        <w:footnoteRef/>
      </w:r>
      <w:r>
        <w:t xml:space="preserve"> </w:t>
      </w:r>
      <w:r>
        <w:tab/>
      </w:r>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36.</w:t>
      </w:r>
    </w:p>
  </w:footnote>
  <w:footnote w:id="187">
    <w:p w14:paraId="440B6005" w14:textId="13F69600" w:rsidR="00B052BA" w:rsidRDefault="00B052BA">
      <w:pPr>
        <w:pStyle w:val="FootnoteText"/>
      </w:pPr>
      <w:r>
        <w:rPr>
          <w:rStyle w:val="FootnoteReference"/>
        </w:rPr>
        <w:footnoteRef/>
      </w:r>
      <w:r>
        <w:t xml:space="preserve"> </w:t>
      </w:r>
      <w:r>
        <w:tab/>
      </w:r>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36.</w:t>
      </w:r>
    </w:p>
  </w:footnote>
  <w:footnote w:id="188">
    <w:p w14:paraId="76D86DC5" w14:textId="2A821613" w:rsidR="00B052BA" w:rsidRDefault="00B052BA">
      <w:pPr>
        <w:pStyle w:val="FootnoteText"/>
      </w:pPr>
      <w:r>
        <w:rPr>
          <w:rStyle w:val="FootnoteReference"/>
        </w:rPr>
        <w:footnoteRef/>
      </w:r>
      <w:r>
        <w:t xml:space="preserve"> </w:t>
      </w:r>
      <w:r>
        <w:tab/>
      </w:r>
      <w:bookmarkStart w:id="120" w:name="_Hlk189587232"/>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46.</w:t>
      </w:r>
    </w:p>
    <w:bookmarkEnd w:id="120"/>
  </w:footnote>
  <w:footnote w:id="189">
    <w:p w14:paraId="16BED8C1" w14:textId="10B6FA5E" w:rsidR="004F683E" w:rsidRDefault="004F683E">
      <w:pPr>
        <w:pStyle w:val="FootnoteText"/>
      </w:pPr>
      <w:r>
        <w:rPr>
          <w:rStyle w:val="FootnoteReference"/>
        </w:rPr>
        <w:footnoteRef/>
      </w:r>
      <w:r>
        <w:t xml:space="preserve"> </w:t>
      </w:r>
      <w:r>
        <w:tab/>
      </w:r>
      <w:r w:rsidRPr="007D3311">
        <w:rPr>
          <w:rFonts w:ascii="Arial" w:hAnsi="Arial"/>
          <w:i/>
          <w:iCs/>
        </w:rPr>
        <w:t xml:space="preserve">President of the Republic of South Africa v </w:t>
      </w:r>
      <w:proofErr w:type="gramStart"/>
      <w:r w:rsidRPr="007D3311">
        <w:rPr>
          <w:rFonts w:ascii="Arial" w:hAnsi="Arial"/>
          <w:i/>
          <w:iCs/>
        </w:rPr>
        <w:t>Hugo</w:t>
      </w:r>
      <w:r>
        <w:rPr>
          <w:rFonts w:ascii="Arial" w:hAnsi="Arial"/>
          <w:i/>
          <w:iCs/>
        </w:rPr>
        <w:t>:</w:t>
      </w:r>
      <w:r>
        <w:rPr>
          <w:rFonts w:ascii="Arial" w:hAnsi="Arial"/>
        </w:rPr>
        <w:t>par.</w:t>
      </w:r>
      <w:proofErr w:type="gramEnd"/>
      <w:r>
        <w:rPr>
          <w:rFonts w:ascii="Arial" w:hAnsi="Arial"/>
        </w:rPr>
        <w:t>53.</w:t>
      </w:r>
    </w:p>
  </w:footnote>
  <w:footnote w:id="190">
    <w:p w14:paraId="4DCA8A7E" w14:textId="175DF58A" w:rsidR="00AB2F9F" w:rsidRPr="00AB2F9F" w:rsidRDefault="00AB2F9F">
      <w:pPr>
        <w:pStyle w:val="FootnoteText"/>
      </w:pPr>
      <w:r>
        <w:rPr>
          <w:rStyle w:val="FootnoteReference"/>
        </w:rPr>
        <w:footnoteRef/>
      </w:r>
      <w:r>
        <w:t xml:space="preserve"> </w:t>
      </w:r>
      <w:r>
        <w:tab/>
      </w:r>
      <w:r w:rsidRPr="00AB2F9F">
        <w:rPr>
          <w:rFonts w:ascii="Arial" w:hAnsi="Arial"/>
          <w:i/>
          <w:iCs/>
          <w:lang w:val="en-GB"/>
        </w:rPr>
        <w:t xml:space="preserve">National Coalition for Gay and Lesbian Equality and Another v Minister of </w:t>
      </w:r>
      <w:proofErr w:type="gramStart"/>
      <w:r w:rsidRPr="00AB2F9F">
        <w:rPr>
          <w:rFonts w:ascii="Arial" w:hAnsi="Arial"/>
          <w:i/>
          <w:iCs/>
          <w:lang w:val="en-GB"/>
        </w:rPr>
        <w:t>Justice</w:t>
      </w:r>
      <w:r>
        <w:rPr>
          <w:rFonts w:ascii="Arial" w:hAnsi="Arial"/>
          <w:lang w:val="en-GB"/>
        </w:rPr>
        <w:t>:par.</w:t>
      </w:r>
      <w:proofErr w:type="gramEnd"/>
      <w:r>
        <w:rPr>
          <w:rFonts w:ascii="Arial" w:hAnsi="Arial"/>
          <w:lang w:val="en-GB"/>
        </w:rPr>
        <w:t>1.</w:t>
      </w:r>
    </w:p>
  </w:footnote>
  <w:footnote w:id="191">
    <w:p w14:paraId="4307665A" w14:textId="61ED6383" w:rsidR="009341E8" w:rsidRPr="009341E8" w:rsidRDefault="009341E8" w:rsidP="009341E8">
      <w:pPr>
        <w:pStyle w:val="FootnoteText"/>
        <w:ind w:left="454" w:hanging="454"/>
        <w:rPr>
          <w:rFonts w:ascii="Arial" w:hAnsi="Arial"/>
        </w:rPr>
      </w:pPr>
      <w:r>
        <w:rPr>
          <w:rStyle w:val="FootnoteReference"/>
        </w:rPr>
        <w:footnoteRef/>
      </w:r>
      <w:r>
        <w:t xml:space="preserve"> </w:t>
      </w:r>
      <w:r>
        <w:tab/>
      </w:r>
      <w:bookmarkStart w:id="124" w:name="_Hlk189593135"/>
      <w:r w:rsidRPr="00BC0FF1">
        <w:rPr>
          <w:rFonts w:ascii="Arial" w:hAnsi="Arial"/>
          <w:i/>
          <w:iCs/>
        </w:rPr>
        <w:t xml:space="preserve">National Coalition for Gay and Lesbian Equality and Another v Minister of Justice and </w:t>
      </w:r>
      <w:proofErr w:type="gramStart"/>
      <w:r w:rsidRPr="00BC0FF1">
        <w:rPr>
          <w:rFonts w:ascii="Arial" w:hAnsi="Arial"/>
          <w:i/>
          <w:iCs/>
        </w:rPr>
        <w:t>Others</w:t>
      </w:r>
      <w:r w:rsidRPr="00BC0FF1">
        <w:rPr>
          <w:rFonts w:ascii="Arial" w:hAnsi="Arial"/>
        </w:rPr>
        <w:t>:par</w:t>
      </w:r>
      <w:r>
        <w:rPr>
          <w:rFonts w:ascii="Arial" w:hAnsi="Arial"/>
        </w:rPr>
        <w:t>as</w:t>
      </w:r>
      <w:proofErr w:type="gramEnd"/>
      <w:r>
        <w:rPr>
          <w:rFonts w:ascii="Arial" w:hAnsi="Arial"/>
        </w:rPr>
        <w:t>.61-64.</w:t>
      </w:r>
    </w:p>
    <w:bookmarkEnd w:id="124"/>
  </w:footnote>
  <w:footnote w:id="192">
    <w:p w14:paraId="367C7D9E" w14:textId="3877F7E9" w:rsidR="00EC50F4" w:rsidRPr="00EC50F4" w:rsidRDefault="00EC50F4" w:rsidP="00EC50F4">
      <w:pPr>
        <w:pStyle w:val="FootnoteText"/>
        <w:ind w:left="454" w:hanging="454"/>
        <w:rPr>
          <w:rFonts w:ascii="Arial" w:hAnsi="Arial"/>
        </w:rPr>
      </w:pPr>
      <w:r>
        <w:rPr>
          <w:rStyle w:val="FootnoteReference"/>
        </w:rPr>
        <w:footnoteRef/>
      </w:r>
      <w:r>
        <w:t xml:space="preserve"> </w:t>
      </w:r>
      <w:r>
        <w:tab/>
      </w:r>
      <w:r w:rsidRPr="00BC0FF1">
        <w:rPr>
          <w:rFonts w:ascii="Arial" w:hAnsi="Arial"/>
          <w:i/>
          <w:iCs/>
        </w:rPr>
        <w:t xml:space="preserve">National Coalition for Gay and Lesbian Equality and Another v Minister of Justice and </w:t>
      </w:r>
      <w:proofErr w:type="gramStart"/>
      <w:r w:rsidRPr="00BC0FF1">
        <w:rPr>
          <w:rFonts w:ascii="Arial" w:hAnsi="Arial"/>
          <w:i/>
          <w:iCs/>
        </w:rPr>
        <w:t>Others</w:t>
      </w:r>
      <w:r w:rsidRPr="00BC0FF1">
        <w:rPr>
          <w:rFonts w:ascii="Arial" w:hAnsi="Arial"/>
        </w:rPr>
        <w:t>:par</w:t>
      </w:r>
      <w:r>
        <w:rPr>
          <w:rFonts w:ascii="Arial" w:hAnsi="Arial"/>
        </w:rPr>
        <w:t>.</w:t>
      </w:r>
      <w:proofErr w:type="gramEnd"/>
      <w:r>
        <w:rPr>
          <w:rFonts w:ascii="Arial" w:hAnsi="Arial"/>
        </w:rPr>
        <w:t>37.</w:t>
      </w:r>
    </w:p>
  </w:footnote>
  <w:footnote w:id="193">
    <w:p w14:paraId="59CE250E" w14:textId="055D27BF" w:rsidR="00EC50F4" w:rsidRPr="00EC50F4" w:rsidRDefault="00EC50F4" w:rsidP="00EC50F4">
      <w:pPr>
        <w:pStyle w:val="FootnoteText"/>
        <w:ind w:left="454" w:hanging="454"/>
        <w:rPr>
          <w:rFonts w:ascii="Arial" w:hAnsi="Arial"/>
        </w:rPr>
      </w:pPr>
      <w:r>
        <w:rPr>
          <w:rStyle w:val="FootnoteReference"/>
        </w:rPr>
        <w:footnoteRef/>
      </w:r>
      <w:r>
        <w:t xml:space="preserve"> </w:t>
      </w:r>
      <w:r>
        <w:tab/>
      </w:r>
      <w:r w:rsidRPr="00BC0FF1">
        <w:rPr>
          <w:rFonts w:ascii="Arial" w:hAnsi="Arial"/>
          <w:i/>
          <w:iCs/>
        </w:rPr>
        <w:t xml:space="preserve">National Coalition for Gay and Lesbian Equality and Another v Minister of Justice and </w:t>
      </w:r>
      <w:proofErr w:type="gramStart"/>
      <w:r w:rsidRPr="00BC0FF1">
        <w:rPr>
          <w:rFonts w:ascii="Arial" w:hAnsi="Arial"/>
          <w:i/>
          <w:iCs/>
        </w:rPr>
        <w:t>Others</w:t>
      </w:r>
      <w:r w:rsidRPr="00BC0FF1">
        <w:rPr>
          <w:rFonts w:ascii="Arial" w:hAnsi="Arial"/>
        </w:rPr>
        <w:t>:par</w:t>
      </w:r>
      <w:r>
        <w:rPr>
          <w:rFonts w:ascii="Arial" w:hAnsi="Arial"/>
        </w:rPr>
        <w:t>.</w:t>
      </w:r>
      <w:proofErr w:type="gramEnd"/>
      <w:r>
        <w:rPr>
          <w:rFonts w:ascii="Arial" w:hAnsi="Arial"/>
        </w:rPr>
        <w:t>11.</w:t>
      </w:r>
    </w:p>
  </w:footnote>
  <w:footnote w:id="194">
    <w:p w14:paraId="36305AAF" w14:textId="5358E2F2" w:rsidR="00EC50F4" w:rsidRPr="00F61E8A" w:rsidRDefault="00EC50F4" w:rsidP="00F61E8A">
      <w:pPr>
        <w:pStyle w:val="FootnoteText"/>
        <w:ind w:left="454" w:hanging="454"/>
        <w:rPr>
          <w:rFonts w:ascii="Arial" w:hAnsi="Arial"/>
        </w:rPr>
      </w:pPr>
      <w:r>
        <w:rPr>
          <w:rStyle w:val="FootnoteReference"/>
        </w:rPr>
        <w:footnoteRef/>
      </w:r>
      <w:r>
        <w:t xml:space="preserve"> </w:t>
      </w:r>
      <w:r>
        <w:tab/>
      </w:r>
      <w:r w:rsidRPr="00BC0FF1">
        <w:rPr>
          <w:rFonts w:ascii="Arial" w:hAnsi="Arial"/>
          <w:i/>
          <w:iCs/>
        </w:rPr>
        <w:t xml:space="preserve">National Coalition for Gay and Lesbian Equality and Another v Minister of Justice and </w:t>
      </w:r>
      <w:proofErr w:type="gramStart"/>
      <w:r w:rsidRPr="00BC0FF1">
        <w:rPr>
          <w:rFonts w:ascii="Arial" w:hAnsi="Arial"/>
          <w:i/>
          <w:iCs/>
        </w:rPr>
        <w:t>Others</w:t>
      </w:r>
      <w:r w:rsidRPr="00BC0FF1">
        <w:rPr>
          <w:rFonts w:ascii="Arial" w:hAnsi="Arial"/>
        </w:rPr>
        <w:t>:par</w:t>
      </w:r>
      <w:r>
        <w:rPr>
          <w:rFonts w:ascii="Arial" w:hAnsi="Arial"/>
        </w:rPr>
        <w:t>as</w:t>
      </w:r>
      <w:proofErr w:type="gramEnd"/>
      <w:r>
        <w:rPr>
          <w:rFonts w:ascii="Arial" w:hAnsi="Arial"/>
        </w:rPr>
        <w:t>.61-64.</w:t>
      </w:r>
    </w:p>
  </w:footnote>
  <w:footnote w:id="195">
    <w:p w14:paraId="28E110AE" w14:textId="1C97C5E2" w:rsidR="003A5874" w:rsidRPr="003A5874" w:rsidRDefault="003A5874">
      <w:pPr>
        <w:pStyle w:val="FootnoteText"/>
      </w:pPr>
      <w:r>
        <w:rPr>
          <w:rStyle w:val="FootnoteReference"/>
        </w:rPr>
        <w:footnoteRef/>
      </w:r>
      <w:r>
        <w:t xml:space="preserve"> </w:t>
      </w:r>
      <w:r>
        <w:tab/>
      </w:r>
      <w:bookmarkStart w:id="127" w:name="_Hlk189595242"/>
      <w:r w:rsidRPr="003A5874">
        <w:rPr>
          <w:rFonts w:ascii="Arial" w:hAnsi="Arial"/>
          <w:i/>
          <w:iCs/>
        </w:rPr>
        <w:t xml:space="preserve">Minister of Finance v Van </w:t>
      </w:r>
      <w:proofErr w:type="gramStart"/>
      <w:r w:rsidRPr="003A5874">
        <w:rPr>
          <w:rFonts w:ascii="Arial" w:hAnsi="Arial"/>
          <w:i/>
          <w:iCs/>
        </w:rPr>
        <w:t>Heerden</w:t>
      </w:r>
      <w:r>
        <w:rPr>
          <w:rFonts w:ascii="Arial" w:hAnsi="Arial"/>
        </w:rPr>
        <w:t>:paras</w:t>
      </w:r>
      <w:proofErr w:type="gramEnd"/>
      <w:r>
        <w:rPr>
          <w:rFonts w:ascii="Arial" w:hAnsi="Arial"/>
        </w:rPr>
        <w:t>.1-3.</w:t>
      </w:r>
    </w:p>
    <w:bookmarkEnd w:id="127"/>
  </w:footnote>
  <w:footnote w:id="196">
    <w:p w14:paraId="6C10D071" w14:textId="434CEFE3" w:rsidR="003A5874" w:rsidRDefault="003A5874">
      <w:pPr>
        <w:pStyle w:val="FootnoteText"/>
      </w:pPr>
      <w:r>
        <w:rPr>
          <w:rStyle w:val="FootnoteReference"/>
        </w:rPr>
        <w:footnoteRef/>
      </w:r>
      <w:r>
        <w:t xml:space="preserve"> </w:t>
      </w:r>
      <w:r>
        <w:tab/>
      </w:r>
      <w:bookmarkStart w:id="128" w:name="_Hlk189595837"/>
      <w:r w:rsidRPr="003A5874">
        <w:rPr>
          <w:rFonts w:ascii="Arial" w:hAnsi="Arial"/>
          <w:i/>
          <w:iCs/>
        </w:rPr>
        <w:t xml:space="preserve">Minister of Finance v Van </w:t>
      </w:r>
      <w:proofErr w:type="gramStart"/>
      <w:r w:rsidRPr="003A5874">
        <w:rPr>
          <w:rFonts w:ascii="Arial" w:hAnsi="Arial"/>
          <w:i/>
          <w:iCs/>
        </w:rPr>
        <w:t>Heerden</w:t>
      </w:r>
      <w:r>
        <w:rPr>
          <w:rFonts w:ascii="Arial" w:hAnsi="Arial"/>
        </w:rPr>
        <w:t>:paras</w:t>
      </w:r>
      <w:proofErr w:type="gramEnd"/>
      <w:r>
        <w:rPr>
          <w:rFonts w:ascii="Arial" w:hAnsi="Arial"/>
        </w:rPr>
        <w:t>.28-31.</w:t>
      </w:r>
    </w:p>
    <w:bookmarkEnd w:id="128"/>
  </w:footnote>
  <w:footnote w:id="197">
    <w:p w14:paraId="686F1BAB" w14:textId="3DA123C1" w:rsidR="007B1FD6" w:rsidRDefault="007B1FD6" w:rsidP="007B1FD6">
      <w:pPr>
        <w:pStyle w:val="FootnoteText"/>
      </w:pPr>
      <w:r>
        <w:rPr>
          <w:rStyle w:val="FootnoteReference"/>
        </w:rPr>
        <w:footnoteRef/>
      </w:r>
      <w:r>
        <w:t xml:space="preserve"> </w:t>
      </w:r>
      <w:r>
        <w:tab/>
      </w:r>
      <w:r w:rsidRPr="003A5874">
        <w:rPr>
          <w:rFonts w:ascii="Arial" w:hAnsi="Arial"/>
          <w:i/>
          <w:iCs/>
        </w:rPr>
        <w:t xml:space="preserve">Minister of Finance v Van </w:t>
      </w:r>
      <w:proofErr w:type="gramStart"/>
      <w:r w:rsidRPr="003A5874">
        <w:rPr>
          <w:rFonts w:ascii="Arial" w:hAnsi="Arial"/>
          <w:i/>
          <w:iCs/>
        </w:rPr>
        <w:t>Heerden</w:t>
      </w:r>
      <w:r>
        <w:rPr>
          <w:rFonts w:ascii="Arial" w:hAnsi="Arial"/>
        </w:rPr>
        <w:t>:par.</w:t>
      </w:r>
      <w:proofErr w:type="gramEnd"/>
      <w:r>
        <w:rPr>
          <w:rFonts w:ascii="Arial" w:hAnsi="Arial"/>
        </w:rPr>
        <w:t>37.</w:t>
      </w:r>
    </w:p>
    <w:p w14:paraId="1DE0F56D" w14:textId="09854F68" w:rsidR="007B1FD6" w:rsidRDefault="007B1FD6">
      <w:pPr>
        <w:pStyle w:val="FootnoteText"/>
      </w:pPr>
    </w:p>
  </w:footnote>
  <w:footnote w:id="198">
    <w:p w14:paraId="1D9C3937"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Vos 2000:68.</w:t>
      </w:r>
    </w:p>
  </w:footnote>
  <w:footnote w:id="199">
    <w:p w14:paraId="0D4BBB37" w14:textId="77777777" w:rsidR="00DD7122" w:rsidRPr="00BC0FF1" w:rsidRDefault="00DD7122" w:rsidP="00DD7122">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National Coalition for Gay &amp; Lesbian Equality &amp; another v Minister of Justice &amp; others</w:t>
      </w:r>
      <w:r w:rsidRPr="00BC0FF1">
        <w:rPr>
          <w:rFonts w:ascii="Arial" w:hAnsi="Arial"/>
        </w:rPr>
        <w:t xml:space="preserve"> (1998) 12 BCLR 1517 (CC):1546.</w:t>
      </w:r>
    </w:p>
  </w:footnote>
  <w:footnote w:id="200">
    <w:p w14:paraId="6046F6D6" w14:textId="59722541" w:rsidR="00056583" w:rsidRDefault="00056583">
      <w:pPr>
        <w:pStyle w:val="FootnoteText"/>
      </w:pPr>
      <w:r>
        <w:rPr>
          <w:rStyle w:val="FootnoteReference"/>
        </w:rPr>
        <w:footnoteRef/>
      </w:r>
      <w:r>
        <w:t xml:space="preserve"> </w:t>
      </w:r>
      <w:r>
        <w:tab/>
      </w:r>
      <w:proofErr w:type="spellStart"/>
      <w:r w:rsidRPr="00056583">
        <w:rPr>
          <w:rFonts w:ascii="Arial" w:hAnsi="Arial"/>
        </w:rPr>
        <w:t>Nconco</w:t>
      </w:r>
      <w:proofErr w:type="spellEnd"/>
      <w:r w:rsidRPr="00056583">
        <w:rPr>
          <w:rFonts w:ascii="Arial" w:hAnsi="Arial"/>
        </w:rPr>
        <w:t xml:space="preserve"> 2012:2-3.</w:t>
      </w:r>
    </w:p>
  </w:footnote>
  <w:footnote w:id="201">
    <w:p w14:paraId="7CB9A496" w14:textId="2D57631A" w:rsidR="00056583" w:rsidRDefault="00056583">
      <w:pPr>
        <w:pStyle w:val="FootnoteText"/>
      </w:pPr>
      <w:r>
        <w:rPr>
          <w:rStyle w:val="FootnoteReference"/>
        </w:rPr>
        <w:footnoteRef/>
      </w:r>
      <w:r>
        <w:t xml:space="preserve"> </w:t>
      </w:r>
      <w:r>
        <w:tab/>
      </w:r>
      <w:proofErr w:type="spellStart"/>
      <w:r w:rsidRPr="00056583">
        <w:rPr>
          <w:rFonts w:ascii="Arial" w:hAnsi="Arial"/>
        </w:rPr>
        <w:t>Nconco</w:t>
      </w:r>
      <w:proofErr w:type="spellEnd"/>
      <w:r w:rsidRPr="00056583">
        <w:rPr>
          <w:rFonts w:ascii="Arial" w:hAnsi="Arial"/>
        </w:rPr>
        <w:t xml:space="preserve"> 2012:6-7.</w:t>
      </w:r>
    </w:p>
  </w:footnote>
  <w:footnote w:id="202">
    <w:p w14:paraId="0763CBA5" w14:textId="23529F99" w:rsidR="00056583" w:rsidRDefault="00056583">
      <w:pPr>
        <w:pStyle w:val="FootnoteText"/>
      </w:pPr>
      <w:r>
        <w:rPr>
          <w:rStyle w:val="FootnoteReference"/>
        </w:rPr>
        <w:footnoteRef/>
      </w:r>
      <w:r>
        <w:t xml:space="preserve"> </w:t>
      </w:r>
      <w:r>
        <w:tab/>
      </w:r>
      <w:r w:rsidRPr="00BB6D2F">
        <w:rPr>
          <w:rFonts w:ascii="Arial" w:hAnsi="Arial"/>
          <w:i/>
          <w:iCs/>
        </w:rPr>
        <w:t xml:space="preserve">Brink v </w:t>
      </w:r>
      <w:proofErr w:type="spellStart"/>
      <w:r w:rsidRPr="00BB6D2F">
        <w:rPr>
          <w:rFonts w:ascii="Arial" w:hAnsi="Arial"/>
          <w:i/>
          <w:iCs/>
        </w:rPr>
        <w:t>Kitshoff</w:t>
      </w:r>
      <w:proofErr w:type="spellEnd"/>
      <w:r w:rsidRPr="00BB6D2F">
        <w:rPr>
          <w:rFonts w:ascii="Arial" w:hAnsi="Arial"/>
          <w:i/>
          <w:iCs/>
        </w:rPr>
        <w:t xml:space="preserve"> NO</w:t>
      </w:r>
      <w:r w:rsidRPr="00BB6D2F">
        <w:rPr>
          <w:rFonts w:ascii="Arial" w:hAnsi="Arial"/>
        </w:rPr>
        <w:t xml:space="preserve"> (CCT15/</w:t>
      </w:r>
      <w:r w:rsidR="00BB6D2F" w:rsidRPr="00BB6D2F">
        <w:rPr>
          <w:rFonts w:ascii="Arial" w:hAnsi="Arial"/>
        </w:rPr>
        <w:t xml:space="preserve">95) [1996] ZACC </w:t>
      </w:r>
      <w:proofErr w:type="gramStart"/>
      <w:r w:rsidR="00BB6D2F" w:rsidRPr="00BB6D2F">
        <w:rPr>
          <w:rFonts w:ascii="Arial" w:hAnsi="Arial"/>
        </w:rPr>
        <w:t>9:par.</w:t>
      </w:r>
      <w:proofErr w:type="gramEnd"/>
      <w:r w:rsidR="00BB6D2F" w:rsidRPr="00BB6D2F">
        <w:rPr>
          <w:rFonts w:ascii="Arial" w:hAnsi="Arial"/>
        </w:rPr>
        <w:t>40.</w:t>
      </w:r>
    </w:p>
  </w:footnote>
  <w:footnote w:id="203">
    <w:p w14:paraId="511EF8AC" w14:textId="7DB8F5F0" w:rsidR="003619F6" w:rsidRDefault="003619F6">
      <w:pPr>
        <w:pStyle w:val="FootnoteText"/>
      </w:pPr>
      <w:r>
        <w:rPr>
          <w:rStyle w:val="FootnoteReference"/>
        </w:rPr>
        <w:footnoteRef/>
      </w:r>
      <w:r>
        <w:t xml:space="preserve"> </w:t>
      </w:r>
      <w:r>
        <w:tab/>
      </w:r>
      <w:r w:rsidRPr="003619F6">
        <w:rPr>
          <w:rFonts w:ascii="Arial" w:hAnsi="Arial"/>
          <w:i/>
          <w:iCs/>
        </w:rPr>
        <w:t xml:space="preserve">Minister of Finance v Van </w:t>
      </w:r>
      <w:proofErr w:type="gramStart"/>
      <w:r w:rsidRPr="003619F6">
        <w:rPr>
          <w:rFonts w:ascii="Arial" w:hAnsi="Arial"/>
          <w:i/>
          <w:iCs/>
        </w:rPr>
        <w:t>Heerden</w:t>
      </w:r>
      <w:r w:rsidRPr="003619F6">
        <w:rPr>
          <w:rFonts w:ascii="Arial" w:hAnsi="Arial"/>
        </w:rPr>
        <w:t>:par.</w:t>
      </w:r>
      <w:proofErr w:type="gramEnd"/>
      <w:r w:rsidRPr="003619F6">
        <w:rPr>
          <w:rFonts w:ascii="Arial" w:hAnsi="Arial"/>
        </w:rPr>
        <w:t>27.</w:t>
      </w:r>
    </w:p>
  </w:footnote>
  <w:footnote w:id="204">
    <w:p w14:paraId="39A0E444" w14:textId="6D8DE7BF" w:rsidR="003619F6" w:rsidRDefault="003619F6">
      <w:pPr>
        <w:pStyle w:val="FootnoteText"/>
      </w:pPr>
      <w:r>
        <w:rPr>
          <w:rStyle w:val="FootnoteReference"/>
        </w:rPr>
        <w:footnoteRef/>
      </w:r>
      <w:r>
        <w:t xml:space="preserve"> </w:t>
      </w:r>
      <w:r>
        <w:tab/>
      </w:r>
      <w:r w:rsidRPr="00216D0A">
        <w:rPr>
          <w:rFonts w:ascii="Arial" w:hAnsi="Arial"/>
        </w:rPr>
        <w:t>Fredman 2001:145-168</w:t>
      </w:r>
      <w:r>
        <w:t>.</w:t>
      </w:r>
    </w:p>
  </w:footnote>
  <w:footnote w:id="205">
    <w:p w14:paraId="0B580A93" w14:textId="208E3925" w:rsidR="00216D0A" w:rsidRDefault="00216D0A">
      <w:pPr>
        <w:pStyle w:val="FootnoteText"/>
      </w:pPr>
      <w:r>
        <w:rPr>
          <w:rStyle w:val="FootnoteReference"/>
        </w:rPr>
        <w:footnoteRef/>
      </w:r>
      <w:r>
        <w:t xml:space="preserve"> </w:t>
      </w:r>
      <w:r>
        <w:tab/>
      </w:r>
      <w:r w:rsidRPr="00216D0A">
        <w:rPr>
          <w:rFonts w:ascii="Arial" w:hAnsi="Arial"/>
        </w:rPr>
        <w:t>Andrews 1997:82.</w:t>
      </w:r>
    </w:p>
  </w:footnote>
  <w:footnote w:id="206">
    <w:p w14:paraId="4DB981BB" w14:textId="4DF7204E" w:rsidR="00216D0A" w:rsidRPr="00216D0A" w:rsidRDefault="00216D0A">
      <w:pPr>
        <w:pStyle w:val="FootnoteText"/>
      </w:pPr>
      <w:r>
        <w:rPr>
          <w:rStyle w:val="FootnoteReference"/>
        </w:rPr>
        <w:footnoteRef/>
      </w:r>
      <w:r>
        <w:t xml:space="preserve"> </w:t>
      </w:r>
      <w:r>
        <w:tab/>
      </w:r>
      <w:r w:rsidRPr="003619F6">
        <w:rPr>
          <w:rFonts w:ascii="Arial" w:hAnsi="Arial"/>
          <w:i/>
          <w:iCs/>
          <w:lang w:val="en-ZA"/>
        </w:rPr>
        <w:t xml:space="preserve">National Coalition for Gay and Lesbian Equality v Minister of </w:t>
      </w:r>
      <w:proofErr w:type="gramStart"/>
      <w:r w:rsidRPr="003619F6">
        <w:rPr>
          <w:rFonts w:ascii="Arial" w:hAnsi="Arial"/>
          <w:i/>
          <w:iCs/>
          <w:lang w:val="en-ZA"/>
        </w:rPr>
        <w:t>Justice</w:t>
      </w:r>
      <w:r w:rsidRPr="00216D0A">
        <w:rPr>
          <w:rFonts w:ascii="Arial" w:hAnsi="Arial"/>
          <w:lang w:val="en-ZA"/>
        </w:rPr>
        <w:t>:par.</w:t>
      </w:r>
      <w:proofErr w:type="gramEnd"/>
      <w:r w:rsidRPr="00216D0A">
        <w:rPr>
          <w:rFonts w:ascii="Arial" w:hAnsi="Arial"/>
          <w:lang w:val="en-ZA"/>
        </w:rPr>
        <w:t>16.</w:t>
      </w:r>
    </w:p>
  </w:footnote>
  <w:footnote w:id="207">
    <w:p w14:paraId="40AF3079" w14:textId="2FBD0744" w:rsidR="0070580D" w:rsidRDefault="0070580D">
      <w:pPr>
        <w:pStyle w:val="FootnoteText"/>
      </w:pPr>
      <w:r>
        <w:rPr>
          <w:rStyle w:val="FootnoteReference"/>
        </w:rPr>
        <w:footnoteRef/>
      </w:r>
      <w:r>
        <w:t xml:space="preserve"> </w:t>
      </w:r>
      <w:r>
        <w:tab/>
      </w:r>
      <w:proofErr w:type="spellStart"/>
      <w:r w:rsidRPr="0070580D">
        <w:rPr>
          <w:rFonts w:ascii="Arial" w:hAnsi="Arial"/>
        </w:rPr>
        <w:t>Albertyn</w:t>
      </w:r>
      <w:proofErr w:type="spellEnd"/>
      <w:r w:rsidRPr="0070580D">
        <w:rPr>
          <w:rFonts w:ascii="Arial" w:hAnsi="Arial"/>
        </w:rPr>
        <w:t xml:space="preserve"> 2007:253.</w:t>
      </w:r>
    </w:p>
  </w:footnote>
  <w:footnote w:id="208">
    <w:p w14:paraId="2B1BCF5E" w14:textId="283352EE" w:rsidR="0070580D" w:rsidRPr="0070580D" w:rsidRDefault="0070580D">
      <w:pPr>
        <w:pStyle w:val="FootnoteText"/>
        <w:rPr>
          <w:rFonts w:ascii="Arial" w:hAnsi="Arial"/>
        </w:rPr>
      </w:pPr>
      <w:r>
        <w:rPr>
          <w:rStyle w:val="FootnoteReference"/>
        </w:rPr>
        <w:footnoteRef/>
      </w:r>
      <w:r>
        <w:t xml:space="preserve"> </w:t>
      </w:r>
      <w:r>
        <w:tab/>
      </w:r>
      <w:proofErr w:type="spellStart"/>
      <w:r w:rsidRPr="0070580D">
        <w:rPr>
          <w:rFonts w:ascii="Arial" w:hAnsi="Arial"/>
          <w:i/>
          <w:iCs/>
        </w:rPr>
        <w:t>Bhe</w:t>
      </w:r>
      <w:proofErr w:type="spellEnd"/>
      <w:r w:rsidRPr="0070580D">
        <w:rPr>
          <w:rFonts w:ascii="Arial" w:hAnsi="Arial"/>
          <w:i/>
          <w:iCs/>
        </w:rPr>
        <w:t xml:space="preserve"> and Others v Khayelitsha Magistrate and Others</w:t>
      </w:r>
      <w:r w:rsidRPr="0070580D">
        <w:rPr>
          <w:rFonts w:ascii="Arial" w:hAnsi="Arial"/>
        </w:rPr>
        <w:t xml:space="preserve"> (CCT49/03) [2004] ZACC </w:t>
      </w:r>
      <w:proofErr w:type="gramStart"/>
      <w:r w:rsidRPr="0070580D">
        <w:rPr>
          <w:rFonts w:ascii="Arial" w:hAnsi="Arial"/>
        </w:rPr>
        <w:t>17:par.</w:t>
      </w:r>
      <w:proofErr w:type="gramEnd"/>
      <w:r w:rsidRPr="0070580D">
        <w:rPr>
          <w:rFonts w:ascii="Arial" w:hAnsi="Arial"/>
        </w:rPr>
        <w:t>80.</w:t>
      </w:r>
    </w:p>
  </w:footnote>
  <w:footnote w:id="209">
    <w:p w14:paraId="186F1F3D" w14:textId="2B7DD417" w:rsidR="0070580D" w:rsidRPr="0070580D" w:rsidRDefault="0070580D">
      <w:pPr>
        <w:pStyle w:val="FootnoteText"/>
      </w:pPr>
      <w:r>
        <w:rPr>
          <w:rStyle w:val="FootnoteReference"/>
        </w:rPr>
        <w:footnoteRef/>
      </w:r>
      <w:r>
        <w:t xml:space="preserve"> </w:t>
      </w:r>
      <w:r>
        <w:tab/>
      </w:r>
      <w:r w:rsidRPr="00216D0A">
        <w:rPr>
          <w:rFonts w:ascii="Arial" w:hAnsi="Arial"/>
          <w:i/>
          <w:iCs/>
          <w:lang w:val="en-ZA"/>
        </w:rPr>
        <w:t>President of the Republic of South Africa v </w:t>
      </w:r>
      <w:proofErr w:type="gramStart"/>
      <w:r w:rsidRPr="00216D0A">
        <w:rPr>
          <w:rFonts w:ascii="Arial" w:hAnsi="Arial"/>
          <w:i/>
          <w:iCs/>
          <w:lang w:val="en-ZA"/>
        </w:rPr>
        <w:t>Hugo</w:t>
      </w:r>
      <w:r w:rsidRPr="0070580D">
        <w:rPr>
          <w:rFonts w:ascii="Arial" w:hAnsi="Arial"/>
          <w:lang w:val="en-ZA"/>
        </w:rPr>
        <w:t>:par.</w:t>
      </w:r>
      <w:proofErr w:type="gramEnd"/>
      <w:r w:rsidRPr="0070580D">
        <w:rPr>
          <w:rFonts w:ascii="Arial" w:hAnsi="Arial"/>
          <w:lang w:val="en-ZA"/>
        </w:rPr>
        <w:t>81.</w:t>
      </w:r>
    </w:p>
  </w:footnote>
  <w:footnote w:id="210">
    <w:p w14:paraId="626F25CF" w14:textId="341F0DB7" w:rsidR="0070580D" w:rsidRDefault="0070580D">
      <w:pPr>
        <w:pStyle w:val="FootnoteText"/>
      </w:pPr>
      <w:r>
        <w:rPr>
          <w:rStyle w:val="FootnoteReference"/>
        </w:rPr>
        <w:footnoteRef/>
      </w:r>
      <w:r>
        <w:t xml:space="preserve"> </w:t>
      </w:r>
      <w:r>
        <w:tab/>
      </w:r>
      <w:r w:rsidRPr="00216D0A">
        <w:rPr>
          <w:rFonts w:ascii="Arial" w:hAnsi="Arial"/>
          <w:i/>
          <w:iCs/>
          <w:lang w:val="en-ZA"/>
        </w:rPr>
        <w:t>President of the Republic of South Africa v </w:t>
      </w:r>
      <w:proofErr w:type="gramStart"/>
      <w:r w:rsidRPr="00216D0A">
        <w:rPr>
          <w:rFonts w:ascii="Arial" w:hAnsi="Arial"/>
          <w:i/>
          <w:iCs/>
          <w:lang w:val="en-ZA"/>
        </w:rPr>
        <w:t>Hugo</w:t>
      </w:r>
      <w:r w:rsidRPr="0070580D">
        <w:rPr>
          <w:rFonts w:ascii="Arial" w:hAnsi="Arial"/>
          <w:lang w:val="en-ZA"/>
        </w:rPr>
        <w:t>:par.</w:t>
      </w:r>
      <w:proofErr w:type="gramEnd"/>
      <w:r w:rsidRPr="0070580D">
        <w:rPr>
          <w:rFonts w:ascii="Arial" w:hAnsi="Arial"/>
          <w:lang w:val="en-ZA"/>
        </w:rPr>
        <w:t>81.</w:t>
      </w:r>
    </w:p>
  </w:footnote>
  <w:footnote w:id="211">
    <w:p w14:paraId="6C984E7E" w14:textId="3CEB1E62" w:rsidR="00F40606" w:rsidRPr="00F40606" w:rsidRDefault="00F40606">
      <w:pPr>
        <w:pStyle w:val="FootnoteText"/>
        <w:rPr>
          <w:rFonts w:ascii="Arial" w:hAnsi="Arial"/>
        </w:rPr>
      </w:pPr>
      <w:r>
        <w:rPr>
          <w:rStyle w:val="FootnoteReference"/>
        </w:rPr>
        <w:footnoteRef/>
      </w:r>
      <w:r>
        <w:t xml:space="preserve"> </w:t>
      </w:r>
      <w:r>
        <w:tab/>
      </w:r>
      <w:r w:rsidRPr="0070580D">
        <w:rPr>
          <w:rFonts w:ascii="Arial" w:hAnsi="Arial"/>
          <w:i/>
          <w:iCs/>
          <w:lang w:val="en-ZA"/>
        </w:rPr>
        <w:t>City Council of Pretoria v Walker</w:t>
      </w:r>
      <w:r w:rsidRPr="00F40606">
        <w:rPr>
          <w:rFonts w:ascii="Arial" w:hAnsi="Arial"/>
          <w:lang w:val="en-ZA"/>
        </w:rPr>
        <w:t xml:space="preserve"> (CCT8/97) [1998] ZACC </w:t>
      </w:r>
      <w:proofErr w:type="gramStart"/>
      <w:r w:rsidRPr="00F40606">
        <w:rPr>
          <w:rFonts w:ascii="Arial" w:hAnsi="Arial"/>
          <w:lang w:val="en-ZA"/>
        </w:rPr>
        <w:t>1:par.</w:t>
      </w:r>
      <w:proofErr w:type="gramEnd"/>
      <w:r w:rsidRPr="00F40606">
        <w:rPr>
          <w:rFonts w:ascii="Arial" w:hAnsi="Arial"/>
          <w:lang w:val="en-ZA"/>
        </w:rPr>
        <w:t>140.</w:t>
      </w:r>
    </w:p>
  </w:footnote>
  <w:footnote w:id="212">
    <w:p w14:paraId="55371BDC" w14:textId="665689AD" w:rsidR="00F40606" w:rsidRDefault="00F40606">
      <w:pPr>
        <w:pStyle w:val="FootnoteText"/>
      </w:pPr>
      <w:r>
        <w:rPr>
          <w:rStyle w:val="FootnoteReference"/>
        </w:rPr>
        <w:footnoteRef/>
      </w:r>
      <w:r>
        <w:t xml:space="preserve"> </w:t>
      </w:r>
      <w:r>
        <w:tab/>
      </w:r>
      <w:r w:rsidRPr="0070580D">
        <w:rPr>
          <w:rFonts w:ascii="Arial" w:hAnsi="Arial"/>
          <w:i/>
          <w:iCs/>
          <w:lang w:val="en-ZA"/>
        </w:rPr>
        <w:t>Harksen v Lane NO</w:t>
      </w:r>
      <w:r w:rsidRPr="00F40606">
        <w:rPr>
          <w:rFonts w:ascii="Arial" w:hAnsi="Arial"/>
          <w:i/>
          <w:iCs/>
          <w:lang w:val="en-ZA"/>
        </w:rPr>
        <w:t xml:space="preserve"> and Others </w:t>
      </w:r>
      <w:r w:rsidRPr="00F40606">
        <w:rPr>
          <w:rFonts w:ascii="Arial" w:hAnsi="Arial"/>
          <w:lang w:val="en-ZA"/>
        </w:rPr>
        <w:t xml:space="preserve">(CCT9/97) [1997] ZACC </w:t>
      </w:r>
      <w:proofErr w:type="gramStart"/>
      <w:r w:rsidRPr="00F40606">
        <w:rPr>
          <w:rFonts w:ascii="Arial" w:hAnsi="Arial"/>
          <w:lang w:val="en-ZA"/>
        </w:rPr>
        <w:t>12:par.</w:t>
      </w:r>
      <w:proofErr w:type="gramEnd"/>
      <w:r w:rsidRPr="00F40606">
        <w:rPr>
          <w:rFonts w:ascii="Arial" w:hAnsi="Arial"/>
          <w:lang w:val="en-ZA"/>
        </w:rPr>
        <w:t>50.</w:t>
      </w:r>
    </w:p>
  </w:footnote>
  <w:footnote w:id="213">
    <w:p w14:paraId="6FE9E963" w14:textId="1073765C" w:rsidR="00F40606" w:rsidRDefault="00F40606">
      <w:pPr>
        <w:pStyle w:val="FootnoteText"/>
      </w:pPr>
      <w:r>
        <w:rPr>
          <w:rStyle w:val="FootnoteReference"/>
        </w:rPr>
        <w:footnoteRef/>
      </w:r>
      <w:r>
        <w:t xml:space="preserve"> </w:t>
      </w:r>
      <w:r>
        <w:tab/>
      </w:r>
      <w:proofErr w:type="spellStart"/>
      <w:r w:rsidRPr="00F40606">
        <w:rPr>
          <w:rFonts w:ascii="Arial" w:hAnsi="Arial"/>
        </w:rPr>
        <w:t>Nconco</w:t>
      </w:r>
      <w:proofErr w:type="spellEnd"/>
      <w:r w:rsidRPr="00F40606">
        <w:rPr>
          <w:rFonts w:ascii="Arial" w:hAnsi="Arial"/>
        </w:rPr>
        <w:t xml:space="preserve"> 2012:3, UNESC Progress Report Prevention </w:t>
      </w:r>
      <w:proofErr w:type="spellStart"/>
      <w:r w:rsidRPr="00F40606">
        <w:rPr>
          <w:rFonts w:ascii="Arial" w:hAnsi="Arial"/>
        </w:rPr>
        <w:t>od</w:t>
      </w:r>
      <w:proofErr w:type="spellEnd"/>
      <w:r w:rsidRPr="00F40606">
        <w:rPr>
          <w:rFonts w:ascii="Arial" w:hAnsi="Arial"/>
        </w:rPr>
        <w:t xml:space="preserve"> </w:t>
      </w:r>
      <w:proofErr w:type="gramStart"/>
      <w:r w:rsidRPr="00F40606">
        <w:rPr>
          <w:rFonts w:ascii="Arial" w:hAnsi="Arial"/>
        </w:rPr>
        <w:t>Discrimination:par.</w:t>
      </w:r>
      <w:proofErr w:type="gramEnd"/>
      <w:r w:rsidRPr="00F40606">
        <w:rPr>
          <w:rFonts w:ascii="Arial" w:hAnsi="Arial"/>
        </w:rPr>
        <w:t>90.</w:t>
      </w:r>
    </w:p>
  </w:footnote>
  <w:footnote w:id="214">
    <w:p w14:paraId="16CA4C8F" w14:textId="34870C9A" w:rsidR="00FC0917" w:rsidRDefault="00FC0917">
      <w:pPr>
        <w:pStyle w:val="FootnoteText"/>
      </w:pPr>
      <w:r>
        <w:rPr>
          <w:rStyle w:val="FootnoteReference"/>
        </w:rPr>
        <w:footnoteRef/>
      </w:r>
      <w:r>
        <w:t xml:space="preserve"> </w:t>
      </w:r>
      <w:r>
        <w:tab/>
      </w:r>
      <w:r w:rsidRPr="00FC0917">
        <w:rPr>
          <w:rFonts w:ascii="Arial" w:hAnsi="Arial"/>
        </w:rPr>
        <w:t>Gardner 1989:13.</w:t>
      </w:r>
    </w:p>
  </w:footnote>
  <w:footnote w:id="215">
    <w:p w14:paraId="62218A49" w14:textId="54102BBA" w:rsidR="00FC0917" w:rsidRDefault="00FC0917">
      <w:pPr>
        <w:pStyle w:val="FootnoteText"/>
      </w:pPr>
      <w:r>
        <w:rPr>
          <w:rStyle w:val="FootnoteReference"/>
        </w:rPr>
        <w:footnoteRef/>
      </w:r>
      <w:r>
        <w:t xml:space="preserve"> </w:t>
      </w:r>
      <w:r>
        <w:tab/>
      </w:r>
      <w:bookmarkStart w:id="132" w:name="_Hlk184039355"/>
      <w:r w:rsidRPr="00FC0917">
        <w:rPr>
          <w:rFonts w:ascii="Arial" w:hAnsi="Arial"/>
        </w:rPr>
        <w:t>Mill and Collini 1989:13.</w:t>
      </w:r>
      <w:bookmarkEnd w:id="132"/>
    </w:p>
  </w:footnote>
  <w:footnote w:id="216">
    <w:p w14:paraId="0BFF0C9A" w14:textId="3B2CF6E5" w:rsidR="00FC0917" w:rsidRDefault="00FC0917">
      <w:pPr>
        <w:pStyle w:val="FootnoteText"/>
      </w:pPr>
      <w:r>
        <w:rPr>
          <w:rStyle w:val="FootnoteReference"/>
        </w:rPr>
        <w:footnoteRef/>
      </w:r>
      <w:r>
        <w:t xml:space="preserve"> </w:t>
      </w:r>
      <w:r>
        <w:tab/>
      </w:r>
      <w:r w:rsidRPr="00FC0917">
        <w:rPr>
          <w:rFonts w:ascii="Arial" w:hAnsi="Arial"/>
          <w:lang w:val="en-GB"/>
        </w:rPr>
        <w:t>Mill and Collini 1989:13.</w:t>
      </w:r>
    </w:p>
  </w:footnote>
  <w:footnote w:id="217">
    <w:p w14:paraId="27638961" w14:textId="03171877" w:rsidR="00332C80" w:rsidRPr="00BC0FF1" w:rsidRDefault="00332C80">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lang w:val="en-ZA"/>
        </w:rPr>
        <w:t>Dupper 2002: 275-292.</w:t>
      </w:r>
    </w:p>
  </w:footnote>
  <w:footnote w:id="218">
    <w:p w14:paraId="4DB60040" w14:textId="46E3FFA1" w:rsidR="00332C80" w:rsidRPr="00BC0FF1" w:rsidRDefault="00332C80">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lang w:val="en-ZA"/>
        </w:rPr>
        <w:t>South African Police Service v Solidarity obo Barnard: par</w:t>
      </w:r>
      <w:r w:rsidR="00E3073F" w:rsidRPr="00BC0FF1">
        <w:rPr>
          <w:rFonts w:ascii="Arial" w:hAnsi="Arial"/>
          <w:lang w:val="en-ZA"/>
        </w:rPr>
        <w:t>as</w:t>
      </w:r>
      <w:r w:rsidRPr="00BC0FF1">
        <w:rPr>
          <w:rFonts w:ascii="Arial" w:hAnsi="Arial"/>
          <w:lang w:val="en-ZA"/>
        </w:rPr>
        <w:t>.40 – 41.</w:t>
      </w:r>
      <w:r w:rsidRPr="00BC0FF1">
        <w:rPr>
          <w:rFonts w:ascii="Arial" w:hAnsi="Arial"/>
        </w:rPr>
        <w:tab/>
      </w:r>
    </w:p>
  </w:footnote>
  <w:footnote w:id="219">
    <w:p w14:paraId="4B19E04B"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President of the Republic of South Africa and Another v </w:t>
      </w:r>
      <w:proofErr w:type="gramStart"/>
      <w:r w:rsidRPr="00BC0FF1">
        <w:rPr>
          <w:rFonts w:ascii="Arial" w:hAnsi="Arial"/>
          <w:i/>
          <w:iCs/>
        </w:rPr>
        <w:t>Hugo</w:t>
      </w:r>
      <w:r w:rsidRPr="00BC0FF1">
        <w:rPr>
          <w:rFonts w:ascii="Arial" w:hAnsi="Arial"/>
        </w:rPr>
        <w:t>:par.</w:t>
      </w:r>
      <w:proofErr w:type="gramEnd"/>
      <w:r w:rsidRPr="00BC0FF1">
        <w:rPr>
          <w:rFonts w:ascii="Arial" w:hAnsi="Arial"/>
        </w:rPr>
        <w:t>41.</w:t>
      </w:r>
    </w:p>
  </w:footnote>
  <w:footnote w:id="220">
    <w:p w14:paraId="3ABE81CD"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34" w:name="_Hlk183967137"/>
      <w:r w:rsidRPr="00BC0FF1">
        <w:rPr>
          <w:rFonts w:ascii="Arial" w:hAnsi="Arial"/>
          <w:i/>
          <w:iCs/>
        </w:rPr>
        <w:t>Prinsloo v Van der Linde and Another</w:t>
      </w:r>
      <w:r w:rsidRPr="00BC0FF1">
        <w:rPr>
          <w:rFonts w:ascii="Arial" w:hAnsi="Arial"/>
        </w:rPr>
        <w:t xml:space="preserve"> (CCT4/96) [1997] ZACC </w:t>
      </w:r>
      <w:proofErr w:type="gramStart"/>
      <w:r w:rsidRPr="00BC0FF1">
        <w:rPr>
          <w:rFonts w:ascii="Arial" w:hAnsi="Arial"/>
        </w:rPr>
        <w:t>5</w:t>
      </w:r>
      <w:bookmarkEnd w:id="134"/>
      <w:r w:rsidRPr="00BC0FF1">
        <w:rPr>
          <w:rFonts w:ascii="Arial" w:hAnsi="Arial"/>
        </w:rPr>
        <w:t>:par.</w:t>
      </w:r>
      <w:proofErr w:type="gramEnd"/>
      <w:r w:rsidRPr="00BC0FF1">
        <w:rPr>
          <w:rFonts w:ascii="Arial" w:hAnsi="Arial"/>
        </w:rPr>
        <w:t>31.</w:t>
      </w:r>
    </w:p>
  </w:footnote>
  <w:footnote w:id="221">
    <w:p w14:paraId="3986662C" w14:textId="71EF0622"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Sachs 2011.</w:t>
      </w:r>
    </w:p>
  </w:footnote>
  <w:footnote w:id="222">
    <w:p w14:paraId="740A7182"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Freedman 2018:175.</w:t>
      </w:r>
    </w:p>
  </w:footnote>
  <w:footnote w:id="223">
    <w:p w14:paraId="4FB18C06" w14:textId="77777777" w:rsidR="00DD7122" w:rsidRPr="00BC0FF1" w:rsidRDefault="00DD7122" w:rsidP="00DD7122">
      <w:pPr>
        <w:pStyle w:val="NoSpacing"/>
        <w:rPr>
          <w:rFonts w:ascii="Arial" w:hAnsi="Arial" w:cs="Arial"/>
          <w:sz w:val="20"/>
          <w:szCs w:val="20"/>
          <w:lang w:val="en-US"/>
        </w:rPr>
      </w:pPr>
      <w:r w:rsidRPr="00BC0FF1">
        <w:rPr>
          <w:rStyle w:val="FootnoteReference"/>
          <w:rFonts w:ascii="Arial" w:hAnsi="Arial" w:cs="Arial"/>
          <w:sz w:val="20"/>
          <w:szCs w:val="20"/>
        </w:rPr>
        <w:footnoteRef/>
      </w:r>
      <w:r w:rsidRPr="00BC0FF1">
        <w:rPr>
          <w:rFonts w:ascii="Arial" w:hAnsi="Arial" w:cs="Arial"/>
          <w:sz w:val="20"/>
          <w:szCs w:val="20"/>
        </w:rPr>
        <w:t xml:space="preserve"> </w:t>
      </w:r>
      <w:r w:rsidRPr="00BC0FF1">
        <w:rPr>
          <w:rFonts w:ascii="Arial" w:hAnsi="Arial" w:cs="Arial"/>
          <w:sz w:val="20"/>
          <w:szCs w:val="20"/>
        </w:rPr>
        <w:tab/>
        <w:t xml:space="preserve">Pateman 2005:22-35; Bock &amp; James 1992:17, 28; </w:t>
      </w:r>
      <w:proofErr w:type="spellStart"/>
      <w:r w:rsidRPr="00BC0FF1">
        <w:rPr>
          <w:rFonts w:ascii="Arial" w:hAnsi="Arial" w:cs="Arial"/>
          <w:sz w:val="20"/>
          <w:szCs w:val="20"/>
        </w:rPr>
        <w:t>Albertyn</w:t>
      </w:r>
      <w:proofErr w:type="spellEnd"/>
      <w:r w:rsidRPr="00BC0FF1">
        <w:rPr>
          <w:rFonts w:ascii="Arial" w:hAnsi="Arial" w:cs="Arial"/>
          <w:sz w:val="20"/>
          <w:szCs w:val="20"/>
        </w:rPr>
        <w:t xml:space="preserve"> 2007:258.</w:t>
      </w:r>
    </w:p>
  </w:footnote>
  <w:footnote w:id="224">
    <w:p w14:paraId="6955AF7F"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i/>
          <w:iCs/>
        </w:rPr>
        <w:t xml:space="preserve"> </w:t>
      </w:r>
      <w:r w:rsidRPr="00BC0FF1">
        <w:rPr>
          <w:rFonts w:ascii="Arial" w:hAnsi="Arial"/>
          <w:i/>
          <w:iCs/>
        </w:rPr>
        <w:tab/>
      </w:r>
      <w:r w:rsidRPr="00BC0FF1">
        <w:rPr>
          <w:rFonts w:ascii="Arial" w:hAnsi="Arial"/>
        </w:rPr>
        <w:t xml:space="preserve">The </w:t>
      </w:r>
      <w:proofErr w:type="gramStart"/>
      <w:r w:rsidRPr="00BC0FF1">
        <w:rPr>
          <w:rFonts w:ascii="Arial" w:hAnsi="Arial"/>
          <w:i/>
          <w:iCs/>
        </w:rPr>
        <w:t>Constitution</w:t>
      </w:r>
      <w:r w:rsidRPr="00BC0FF1">
        <w:rPr>
          <w:rFonts w:ascii="Arial" w:hAnsi="Arial"/>
        </w:rPr>
        <w:t>:sec.</w:t>
      </w:r>
      <w:proofErr w:type="gramEnd"/>
      <w:r w:rsidRPr="00BC0FF1">
        <w:rPr>
          <w:rFonts w:ascii="Arial" w:hAnsi="Arial"/>
        </w:rPr>
        <w:t>9(2).</w:t>
      </w:r>
    </w:p>
  </w:footnote>
  <w:footnote w:id="225">
    <w:p w14:paraId="173A9BDE"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30.</w:t>
      </w:r>
    </w:p>
  </w:footnote>
  <w:footnote w:id="226">
    <w:p w14:paraId="3E7A495F" w14:textId="3004A70B"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South African Police Service v Solidarity obo </w:t>
      </w:r>
      <w:proofErr w:type="gramStart"/>
      <w:r w:rsidRPr="00BC0FF1">
        <w:rPr>
          <w:rFonts w:ascii="Arial" w:hAnsi="Arial"/>
          <w:i/>
          <w:iCs/>
        </w:rPr>
        <w:t>Barnard</w:t>
      </w:r>
      <w:r w:rsidRPr="00BC0FF1">
        <w:rPr>
          <w:rFonts w:ascii="Arial" w:hAnsi="Arial"/>
        </w:rPr>
        <w:t>:par</w:t>
      </w:r>
      <w:r w:rsidR="00E3073F" w:rsidRPr="00BC0FF1">
        <w:rPr>
          <w:rFonts w:ascii="Arial" w:hAnsi="Arial"/>
        </w:rPr>
        <w:t>as</w:t>
      </w:r>
      <w:proofErr w:type="gramEnd"/>
      <w:r w:rsidRPr="00BC0FF1">
        <w:rPr>
          <w:rFonts w:ascii="Arial" w:hAnsi="Arial"/>
        </w:rPr>
        <w:t>.42-45.</w:t>
      </w:r>
    </w:p>
  </w:footnote>
  <w:footnote w:id="227">
    <w:p w14:paraId="745DA46A"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Crenshaw 2013:93-118.</w:t>
      </w:r>
    </w:p>
  </w:footnote>
  <w:footnote w:id="228">
    <w:p w14:paraId="47796DB8"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Albertyn</w:t>
      </w:r>
      <w:proofErr w:type="spellEnd"/>
      <w:r w:rsidRPr="00BC0FF1">
        <w:rPr>
          <w:rFonts w:ascii="Arial" w:hAnsi="Arial"/>
        </w:rPr>
        <w:t xml:space="preserve"> 2007:254.</w:t>
      </w:r>
    </w:p>
  </w:footnote>
  <w:footnote w:id="229">
    <w:p w14:paraId="18730563"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Albertyn</w:t>
      </w:r>
      <w:proofErr w:type="spellEnd"/>
      <w:r w:rsidRPr="00BC0FF1">
        <w:rPr>
          <w:rFonts w:ascii="Arial" w:hAnsi="Arial"/>
        </w:rPr>
        <w:t xml:space="preserve"> 2007:254.</w:t>
      </w:r>
    </w:p>
  </w:footnote>
  <w:footnote w:id="230">
    <w:p w14:paraId="0FA25CC4"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Nconco</w:t>
      </w:r>
      <w:proofErr w:type="spellEnd"/>
      <w:r w:rsidRPr="00BC0FF1">
        <w:rPr>
          <w:rFonts w:ascii="Arial" w:hAnsi="Arial"/>
        </w:rPr>
        <w:t xml:space="preserve"> 2012:25.</w:t>
      </w:r>
    </w:p>
  </w:footnote>
  <w:footnote w:id="231">
    <w:p w14:paraId="62CD8EB6"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Nconco</w:t>
      </w:r>
      <w:proofErr w:type="spellEnd"/>
      <w:r w:rsidRPr="00BC0FF1">
        <w:rPr>
          <w:rFonts w:ascii="Arial" w:hAnsi="Arial"/>
        </w:rPr>
        <w:t xml:space="preserve"> 2012:25; </w:t>
      </w:r>
      <w:proofErr w:type="spellStart"/>
      <w:r w:rsidRPr="00BC0FF1">
        <w:rPr>
          <w:rFonts w:ascii="Arial" w:hAnsi="Arial"/>
        </w:rPr>
        <w:t>Qunta</w:t>
      </w:r>
      <w:proofErr w:type="spellEnd"/>
      <w:r w:rsidRPr="00BC0FF1">
        <w:rPr>
          <w:rFonts w:ascii="Arial" w:hAnsi="Arial"/>
        </w:rPr>
        <w:t xml:space="preserve"> 1995. </w:t>
      </w:r>
    </w:p>
  </w:footnote>
  <w:footnote w:id="232">
    <w:p w14:paraId="02E8CF36"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Duvenhage 2022:96.</w:t>
      </w:r>
    </w:p>
  </w:footnote>
  <w:footnote w:id="233">
    <w:p w14:paraId="3861FE18" w14:textId="77777777" w:rsidR="00DD7122" w:rsidRPr="00BC0FF1" w:rsidRDefault="00DD7122" w:rsidP="00DD7122">
      <w:pPr>
        <w:pStyle w:val="FootnoteText"/>
        <w:rPr>
          <w:rFonts w:ascii="Arial" w:hAnsi="Arial"/>
          <w:lang w:val="en-ZA"/>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32.</w:t>
      </w:r>
    </w:p>
  </w:footnote>
  <w:footnote w:id="234">
    <w:p w14:paraId="225DB065"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Dupper 2006:138-164.</w:t>
      </w:r>
    </w:p>
  </w:footnote>
  <w:footnote w:id="235">
    <w:p w14:paraId="7F44DCB8"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KC Sandra Fredman 2022.</w:t>
      </w:r>
    </w:p>
  </w:footnote>
  <w:footnote w:id="236">
    <w:p w14:paraId="0FD46A5E"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Nconco</w:t>
      </w:r>
      <w:proofErr w:type="spellEnd"/>
      <w:r w:rsidRPr="00BC0FF1">
        <w:rPr>
          <w:rFonts w:ascii="Arial" w:hAnsi="Arial"/>
        </w:rPr>
        <w:t xml:space="preserve"> 2012:33.</w:t>
      </w:r>
    </w:p>
  </w:footnote>
  <w:footnote w:id="237">
    <w:p w14:paraId="630164CC" w14:textId="530EFBF9" w:rsidR="00DD7122" w:rsidRPr="00BC0FF1" w:rsidRDefault="00DD7122" w:rsidP="00DD7122">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Du Preez v Minister of Justice and Constitutional Development and Others</w:t>
      </w:r>
      <w:r w:rsidRPr="00BC0FF1">
        <w:rPr>
          <w:rFonts w:ascii="Arial" w:hAnsi="Arial"/>
        </w:rPr>
        <w:t xml:space="preserve"> (368/</w:t>
      </w:r>
      <w:r w:rsidR="00E3073F" w:rsidRPr="00BC0FF1">
        <w:rPr>
          <w:rFonts w:ascii="Arial" w:hAnsi="Arial"/>
        </w:rPr>
        <w:t>04,</w:t>
      </w:r>
      <w:r w:rsidRPr="00BC0FF1">
        <w:rPr>
          <w:rFonts w:ascii="Arial" w:hAnsi="Arial"/>
        </w:rPr>
        <w:t xml:space="preserve"> ECJ24/2006) [2006] ZAECHC </w:t>
      </w:r>
      <w:proofErr w:type="gramStart"/>
      <w:r w:rsidRPr="00BC0FF1">
        <w:rPr>
          <w:rFonts w:ascii="Arial" w:hAnsi="Arial"/>
        </w:rPr>
        <w:t>17:par.</w:t>
      </w:r>
      <w:proofErr w:type="gramEnd"/>
      <w:r w:rsidRPr="00BC0FF1">
        <w:rPr>
          <w:rFonts w:ascii="Arial" w:hAnsi="Arial"/>
        </w:rPr>
        <w:t>34.</w:t>
      </w:r>
    </w:p>
  </w:footnote>
  <w:footnote w:id="238">
    <w:p w14:paraId="4784DF58"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Du Preez v Minister of Justice and Constitutional Development and </w:t>
      </w:r>
      <w:proofErr w:type="gramStart"/>
      <w:r w:rsidRPr="00BC0FF1">
        <w:rPr>
          <w:rFonts w:ascii="Arial" w:hAnsi="Arial"/>
          <w:i/>
          <w:iCs/>
        </w:rPr>
        <w:t>Others</w:t>
      </w:r>
      <w:r w:rsidRPr="00BC0FF1">
        <w:rPr>
          <w:rFonts w:ascii="Arial" w:hAnsi="Arial"/>
        </w:rPr>
        <w:t>:par.</w:t>
      </w:r>
      <w:proofErr w:type="gramEnd"/>
      <w:r w:rsidRPr="00BC0FF1">
        <w:rPr>
          <w:rFonts w:ascii="Arial" w:hAnsi="Arial"/>
        </w:rPr>
        <w:t>18.</w:t>
      </w:r>
    </w:p>
    <w:p w14:paraId="4F7908C3" w14:textId="77777777" w:rsidR="00DD7122" w:rsidRPr="00BC0FF1" w:rsidRDefault="00DD7122" w:rsidP="00DD7122">
      <w:pPr>
        <w:pStyle w:val="FootnoteText"/>
        <w:rPr>
          <w:rFonts w:ascii="Arial" w:hAnsi="Arial"/>
        </w:rPr>
      </w:pPr>
    </w:p>
  </w:footnote>
  <w:footnote w:id="239">
    <w:p w14:paraId="7151F9DA" w14:textId="47376121"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SAPS</w:t>
      </w:r>
      <w:r w:rsidR="00986219">
        <w:rPr>
          <w:rFonts w:ascii="Arial" w:hAnsi="Arial"/>
          <w:i/>
          <w:iCs/>
        </w:rPr>
        <w:t xml:space="preserve"> </w:t>
      </w:r>
      <w:r w:rsidR="00717506" w:rsidRPr="00BC0FF1">
        <w:rPr>
          <w:rFonts w:ascii="Arial" w:hAnsi="Arial"/>
          <w:i/>
          <w:iCs/>
        </w:rPr>
        <w:t>v</w:t>
      </w:r>
      <w:r w:rsidRPr="00BC0FF1">
        <w:rPr>
          <w:rFonts w:ascii="Arial" w:hAnsi="Arial"/>
          <w:i/>
          <w:iCs/>
        </w:rPr>
        <w:t xml:space="preserve"> Solidarity obo </w:t>
      </w:r>
      <w:proofErr w:type="gramStart"/>
      <w:r w:rsidRPr="00BC0FF1">
        <w:rPr>
          <w:rFonts w:ascii="Arial" w:hAnsi="Arial"/>
          <w:i/>
          <w:iCs/>
        </w:rPr>
        <w:t>Barnard:</w:t>
      </w:r>
      <w:r w:rsidRPr="00BC0FF1">
        <w:rPr>
          <w:rFonts w:ascii="Arial" w:hAnsi="Arial"/>
        </w:rPr>
        <w:t>par.</w:t>
      </w:r>
      <w:proofErr w:type="gramEnd"/>
      <w:r w:rsidRPr="00BC0FF1">
        <w:rPr>
          <w:rFonts w:ascii="Arial" w:hAnsi="Arial"/>
        </w:rPr>
        <w:t>97.</w:t>
      </w:r>
    </w:p>
  </w:footnote>
  <w:footnote w:id="240">
    <w:p w14:paraId="70EB184D"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Albertyn</w:t>
      </w:r>
      <w:proofErr w:type="spellEnd"/>
      <w:r w:rsidRPr="00BC0FF1">
        <w:rPr>
          <w:rFonts w:ascii="Arial" w:hAnsi="Arial"/>
        </w:rPr>
        <w:t xml:space="preserve"> &amp; Goldblatt 1998:248-276.</w:t>
      </w:r>
    </w:p>
  </w:footnote>
  <w:footnote w:id="241">
    <w:p w14:paraId="061048C6"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Waal, Currie &amp; Erasmus 2000:244-267.</w:t>
      </w:r>
    </w:p>
  </w:footnote>
  <w:footnote w:id="242">
    <w:p w14:paraId="423E0175" w14:textId="0F91A2BE"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Waal, Currie &amp; Erasmus 2000:244-267.</w:t>
      </w:r>
    </w:p>
  </w:footnote>
  <w:footnote w:id="243">
    <w:p w14:paraId="5FCAAA36"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Fredman 2011:405-427.</w:t>
      </w:r>
    </w:p>
  </w:footnote>
  <w:footnote w:id="244">
    <w:p w14:paraId="7CF0C91B"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Fredman 2011:405-427.</w:t>
      </w:r>
    </w:p>
  </w:footnote>
  <w:footnote w:id="245">
    <w:p w14:paraId="26C3D4F0" w14:textId="43414B18"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others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152.</w:t>
      </w:r>
    </w:p>
  </w:footnote>
  <w:footnote w:id="246">
    <w:p w14:paraId="41CCC67E"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9(2).</w:t>
      </w:r>
    </w:p>
  </w:footnote>
  <w:footnote w:id="247">
    <w:p w14:paraId="67E7984D"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9(2).</w:t>
      </w:r>
    </w:p>
  </w:footnote>
  <w:footnote w:id="248">
    <w:p w14:paraId="3ACABB95"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others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42.</w:t>
      </w:r>
    </w:p>
  </w:footnote>
  <w:footnote w:id="249">
    <w:p w14:paraId="0E8B1567" w14:textId="77777777"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others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44.</w:t>
      </w:r>
    </w:p>
  </w:footnote>
  <w:footnote w:id="250">
    <w:p w14:paraId="08C0D4D5" w14:textId="7A772094" w:rsidR="00DD7122" w:rsidRPr="00BC0FF1" w:rsidRDefault="00DD7122" w:rsidP="00DD7122">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others v Van </w:t>
      </w:r>
      <w:proofErr w:type="gramStart"/>
      <w:r w:rsidRPr="00BC0FF1">
        <w:rPr>
          <w:rFonts w:ascii="Arial" w:hAnsi="Arial"/>
          <w:i/>
          <w:iCs/>
        </w:rPr>
        <w:t>Heerden</w:t>
      </w:r>
      <w:r w:rsidRPr="00BC0FF1">
        <w:rPr>
          <w:rFonts w:ascii="Arial" w:hAnsi="Arial"/>
        </w:rPr>
        <w:t>:par</w:t>
      </w:r>
      <w:r w:rsidR="00E3073F" w:rsidRPr="00BC0FF1">
        <w:rPr>
          <w:rFonts w:ascii="Arial" w:hAnsi="Arial"/>
        </w:rPr>
        <w:t>as</w:t>
      </w:r>
      <w:proofErr w:type="gramEnd"/>
      <w:r w:rsidRPr="00BC0FF1">
        <w:rPr>
          <w:rFonts w:ascii="Arial" w:hAnsi="Arial"/>
        </w:rPr>
        <w:t>.44,152.</w:t>
      </w:r>
    </w:p>
  </w:footnote>
  <w:footnote w:id="251">
    <w:p w14:paraId="7215041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111.</w:t>
      </w:r>
    </w:p>
  </w:footnote>
  <w:footnote w:id="252">
    <w:p w14:paraId="2B4A3488" w14:textId="48BE98FB" w:rsidR="00BB7375" w:rsidRPr="00BC0FF1" w:rsidRDefault="00BB7375" w:rsidP="00BB7375">
      <w:pPr>
        <w:pStyle w:val="FootnoteText"/>
        <w:rPr>
          <w:rFonts w:ascii="Arial" w:hAnsi="Arial"/>
        </w:rPr>
      </w:pPr>
      <w:r w:rsidRPr="00BC0FF1">
        <w:rPr>
          <w:rStyle w:val="FootnoteReference"/>
          <w:rFonts w:ascii="Arial" w:hAnsi="Arial"/>
        </w:rPr>
        <w:footnoteRef/>
      </w:r>
      <w:r w:rsidR="00E3073F" w:rsidRPr="00BC0FF1">
        <w:rPr>
          <w:rFonts w:ascii="Arial" w:hAnsi="Arial"/>
        </w:rPr>
        <w:t xml:space="preserve"> </w:t>
      </w:r>
      <w:r w:rsidR="00E3073F" w:rsidRPr="00BC0FF1">
        <w:rPr>
          <w:rFonts w:ascii="Arial" w:hAnsi="Arial"/>
        </w:rPr>
        <w:tab/>
      </w:r>
      <w:r w:rsidRPr="00BC0FF1">
        <w:rPr>
          <w:rFonts w:ascii="Arial" w:hAnsi="Arial"/>
        </w:rPr>
        <w:t>Herbert 1994:25; Charoux 1990:10.</w:t>
      </w:r>
    </w:p>
  </w:footnote>
  <w:footnote w:id="253">
    <w:p w14:paraId="58CE00F9" w14:textId="7C334BD1" w:rsidR="00BB7375" w:rsidRPr="00BC0FF1" w:rsidRDefault="00BB7375" w:rsidP="00BB7375">
      <w:pPr>
        <w:pStyle w:val="FootnoteText"/>
        <w:ind w:left="397" w:hanging="397"/>
        <w:rPr>
          <w:rFonts w:ascii="Arial" w:hAnsi="Arial"/>
        </w:rPr>
      </w:pPr>
      <w:r w:rsidRPr="00BC0FF1">
        <w:rPr>
          <w:rStyle w:val="FootnoteReference"/>
          <w:rFonts w:ascii="Arial" w:hAnsi="Arial"/>
        </w:rPr>
        <w:footnoteRef/>
      </w:r>
      <w:r w:rsidR="00E3073F" w:rsidRPr="00BC0FF1">
        <w:rPr>
          <w:rFonts w:ascii="Arial" w:hAnsi="Arial"/>
        </w:rPr>
        <w:t xml:space="preserve"> </w:t>
      </w:r>
      <w:r w:rsidR="00E3073F" w:rsidRPr="00BC0FF1">
        <w:rPr>
          <w:rFonts w:ascii="Arial" w:hAnsi="Arial"/>
        </w:rPr>
        <w:tab/>
        <w:t xml:space="preserve"> </w:t>
      </w:r>
      <w:proofErr w:type="spellStart"/>
      <w:r w:rsidRPr="00BC0FF1">
        <w:rPr>
          <w:rFonts w:ascii="Arial" w:hAnsi="Arial"/>
        </w:rPr>
        <w:t>Albertyn</w:t>
      </w:r>
      <w:proofErr w:type="spellEnd"/>
      <w:r w:rsidRPr="00BC0FF1">
        <w:rPr>
          <w:rFonts w:ascii="Arial" w:hAnsi="Arial"/>
        </w:rPr>
        <w:t xml:space="preserve"> 2007:253-276.</w:t>
      </w:r>
    </w:p>
  </w:footnote>
  <w:footnote w:id="254">
    <w:p w14:paraId="720839CE" w14:textId="56F08823" w:rsidR="00BB7375" w:rsidRPr="00BC0FF1" w:rsidRDefault="00BB7375" w:rsidP="00BB7375">
      <w:pPr>
        <w:pStyle w:val="FootnoteText"/>
        <w:ind w:left="397" w:hanging="397"/>
        <w:rPr>
          <w:rFonts w:ascii="Arial" w:hAnsi="Arial"/>
        </w:rPr>
      </w:pPr>
      <w:r w:rsidRPr="00BC0FF1">
        <w:rPr>
          <w:rStyle w:val="FootnoteReference"/>
          <w:rFonts w:ascii="Arial" w:hAnsi="Arial"/>
        </w:rPr>
        <w:footnoteRef/>
      </w:r>
      <w:r w:rsidRPr="00BC0FF1">
        <w:rPr>
          <w:rFonts w:ascii="Arial" w:hAnsi="Arial"/>
        </w:rPr>
        <w:tab/>
      </w:r>
      <w:r w:rsidR="00E3073F" w:rsidRPr="00BC0FF1">
        <w:rPr>
          <w:rFonts w:ascii="Arial" w:hAnsi="Arial"/>
        </w:rPr>
        <w:t xml:space="preserve"> </w:t>
      </w:r>
      <w:r w:rsidRPr="00BC0FF1">
        <w:rPr>
          <w:rFonts w:ascii="Arial" w:hAnsi="Arial"/>
        </w:rPr>
        <w:t>Mkhwanazi 1993:14-17;</w:t>
      </w:r>
      <w:r w:rsidRPr="00BC0FF1">
        <w:rPr>
          <w:rFonts w:ascii="Arial" w:hAnsi="Arial"/>
          <w:color w:val="222222"/>
          <w:shd w:val="clear" w:color="auto" w:fill="FFFFFF"/>
        </w:rPr>
        <w:t xml:space="preserve"> </w:t>
      </w:r>
      <w:r w:rsidRPr="00BC0FF1">
        <w:rPr>
          <w:rFonts w:ascii="Arial" w:hAnsi="Arial"/>
        </w:rPr>
        <w:t>Khoza 1993:77-85.</w:t>
      </w:r>
    </w:p>
  </w:footnote>
  <w:footnote w:id="255">
    <w:p w14:paraId="409E7C8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Innes 1993:4-5.</w:t>
      </w:r>
    </w:p>
  </w:footnote>
  <w:footnote w:id="256">
    <w:p w14:paraId="1B1B7DF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19(1).</w:t>
      </w:r>
    </w:p>
  </w:footnote>
  <w:footnote w:id="257">
    <w:p w14:paraId="08BD28E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Crosby 1994:13-41.</w:t>
      </w:r>
    </w:p>
  </w:footnote>
  <w:footnote w:id="258">
    <w:p w14:paraId="5BD7FA0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Crosby 1994:13-41.</w:t>
      </w:r>
    </w:p>
  </w:footnote>
  <w:footnote w:id="259">
    <w:p w14:paraId="079F573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EEA</w:t>
      </w:r>
      <w:r w:rsidRPr="00BC0FF1">
        <w:rPr>
          <w:rFonts w:ascii="Arial" w:hAnsi="Arial"/>
        </w:rPr>
        <w:t xml:space="preserve">: sec.20(1). </w:t>
      </w:r>
      <w:r w:rsidRPr="00BC0FF1">
        <w:rPr>
          <w:rFonts w:ascii="Arial" w:hAnsi="Arial"/>
        </w:rPr>
        <w:tab/>
      </w:r>
    </w:p>
  </w:footnote>
  <w:footnote w:id="260">
    <w:p w14:paraId="06E1210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Preamble to the </w:t>
      </w:r>
      <w:r w:rsidRPr="00BC0FF1">
        <w:rPr>
          <w:rFonts w:ascii="Arial" w:hAnsi="Arial"/>
          <w:i/>
          <w:iCs/>
        </w:rPr>
        <w:t>Employment Equity Act</w:t>
      </w:r>
      <w:r w:rsidRPr="00BC0FF1">
        <w:rPr>
          <w:rFonts w:ascii="Arial" w:hAnsi="Arial"/>
        </w:rPr>
        <w:t>.</w:t>
      </w:r>
    </w:p>
  </w:footnote>
  <w:footnote w:id="261">
    <w:p w14:paraId="05BC2FA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Adams 1993:110.</w:t>
      </w:r>
    </w:p>
  </w:footnote>
  <w:footnote w:id="262">
    <w:p w14:paraId="1F7C0E8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Finance and Other v Van Heerden</w:t>
      </w:r>
      <w:r w:rsidRPr="00BC0FF1">
        <w:rPr>
          <w:rFonts w:ascii="Arial" w:hAnsi="Arial"/>
        </w:rPr>
        <w:t xml:space="preserve"> (CCT 63/03) [2004] ZACC </w:t>
      </w:r>
      <w:proofErr w:type="gramStart"/>
      <w:r w:rsidRPr="00BC0FF1">
        <w:rPr>
          <w:rFonts w:ascii="Arial" w:hAnsi="Arial"/>
        </w:rPr>
        <w:t>3:par.</w:t>
      </w:r>
      <w:proofErr w:type="gramEnd"/>
      <w:r w:rsidRPr="00BC0FF1">
        <w:rPr>
          <w:rFonts w:ascii="Arial" w:hAnsi="Arial"/>
        </w:rPr>
        <w:t>137.</w:t>
      </w:r>
    </w:p>
  </w:footnote>
  <w:footnote w:id="263">
    <w:p w14:paraId="75461F1E" w14:textId="77777777"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Naidoo and Others v Parliament of the Republic of South Africa</w:t>
      </w:r>
      <w:r w:rsidRPr="00BC0FF1">
        <w:rPr>
          <w:rFonts w:ascii="Arial" w:hAnsi="Arial"/>
        </w:rPr>
        <w:t xml:space="preserve"> (CA4/2019) [2020] ZALAC </w:t>
      </w:r>
      <w:proofErr w:type="gramStart"/>
      <w:r w:rsidRPr="00BC0FF1">
        <w:rPr>
          <w:rFonts w:ascii="Arial" w:hAnsi="Arial"/>
        </w:rPr>
        <w:t>38:par.</w:t>
      </w:r>
      <w:proofErr w:type="gramEnd"/>
      <w:r w:rsidRPr="00BC0FF1">
        <w:rPr>
          <w:rFonts w:ascii="Arial" w:hAnsi="Arial"/>
        </w:rPr>
        <w:t>27.</w:t>
      </w:r>
    </w:p>
  </w:footnote>
  <w:footnote w:id="264">
    <w:p w14:paraId="1E24A614" w14:textId="77777777" w:rsidR="00BB7375" w:rsidRPr="00BC0FF1" w:rsidRDefault="00BB7375" w:rsidP="00BB7375">
      <w:pPr>
        <w:pStyle w:val="FootnoteText"/>
        <w:ind w:left="397" w:hanging="397"/>
        <w:rPr>
          <w:rFonts w:ascii="Arial" w:hAnsi="Arial"/>
        </w:rPr>
      </w:pPr>
      <w:r w:rsidRPr="00BC0FF1">
        <w:rPr>
          <w:rStyle w:val="FootnoteReference"/>
          <w:rFonts w:ascii="Arial" w:hAnsi="Arial"/>
        </w:rPr>
        <w:footnoteRef/>
      </w:r>
      <w:r w:rsidRPr="00BC0FF1">
        <w:rPr>
          <w:rFonts w:ascii="Arial" w:hAnsi="Arial"/>
        </w:rPr>
        <w:tab/>
      </w:r>
      <w:bookmarkStart w:id="154" w:name="_Hlk183967230"/>
      <w:r w:rsidRPr="00BC0FF1">
        <w:rPr>
          <w:rFonts w:ascii="Arial" w:hAnsi="Arial"/>
          <w:i/>
          <w:iCs/>
        </w:rPr>
        <w:t xml:space="preserve">City of Tshwane Metropolitan Municipality v </w:t>
      </w:r>
      <w:proofErr w:type="spellStart"/>
      <w:r w:rsidRPr="00BC0FF1">
        <w:rPr>
          <w:rFonts w:ascii="Arial" w:hAnsi="Arial"/>
          <w:i/>
          <w:iCs/>
        </w:rPr>
        <w:t>Afriforum</w:t>
      </w:r>
      <w:proofErr w:type="spellEnd"/>
      <w:r w:rsidRPr="00BC0FF1">
        <w:rPr>
          <w:rFonts w:ascii="Arial" w:hAnsi="Arial"/>
          <w:i/>
          <w:iCs/>
        </w:rPr>
        <w:t xml:space="preserve"> and Another</w:t>
      </w:r>
      <w:r w:rsidRPr="00BC0FF1">
        <w:rPr>
          <w:rFonts w:ascii="Arial" w:hAnsi="Arial"/>
        </w:rPr>
        <w:t xml:space="preserve"> (157/15) [2016] ZACC </w:t>
      </w:r>
      <w:proofErr w:type="gramStart"/>
      <w:r w:rsidRPr="00BC0FF1">
        <w:rPr>
          <w:rFonts w:ascii="Arial" w:hAnsi="Arial"/>
        </w:rPr>
        <w:t>19</w:t>
      </w:r>
      <w:bookmarkEnd w:id="154"/>
      <w:r w:rsidRPr="00BC0FF1">
        <w:rPr>
          <w:rFonts w:ascii="Arial" w:hAnsi="Arial"/>
        </w:rPr>
        <w:t>:paras</w:t>
      </w:r>
      <w:proofErr w:type="gramEnd"/>
      <w:r w:rsidRPr="00BC0FF1">
        <w:rPr>
          <w:rFonts w:ascii="Arial" w:hAnsi="Arial"/>
        </w:rPr>
        <w:t>.8-9.</w:t>
      </w:r>
    </w:p>
  </w:footnote>
  <w:footnote w:id="265">
    <w:p w14:paraId="7F04218E" w14:textId="77777777" w:rsidR="00BB7375" w:rsidRPr="00BC0FF1" w:rsidRDefault="00BB7375" w:rsidP="00BB7375">
      <w:pPr>
        <w:pStyle w:val="FootnoteText"/>
        <w:ind w:left="397" w:hanging="397"/>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56" w:name="_Hlk183967214"/>
      <w:r w:rsidRPr="00BC0FF1">
        <w:rPr>
          <w:rFonts w:ascii="Arial" w:hAnsi="Arial"/>
          <w:i/>
          <w:iCs/>
        </w:rPr>
        <w:t>Standard Bank of South Africa v Commission for Conciliation, Mediation and Arbitration and Others</w:t>
      </w:r>
      <w:r w:rsidRPr="00BC0FF1">
        <w:rPr>
          <w:rFonts w:ascii="Arial" w:hAnsi="Arial"/>
        </w:rPr>
        <w:t xml:space="preserve"> (JR 662/06) [2007] ZALC </w:t>
      </w:r>
      <w:proofErr w:type="gramStart"/>
      <w:r w:rsidRPr="00BC0FF1">
        <w:rPr>
          <w:rFonts w:ascii="Arial" w:hAnsi="Arial"/>
        </w:rPr>
        <w:t>98</w:t>
      </w:r>
      <w:bookmarkEnd w:id="156"/>
      <w:r w:rsidRPr="00BC0FF1">
        <w:rPr>
          <w:rFonts w:ascii="Arial" w:hAnsi="Arial"/>
        </w:rPr>
        <w:t>:paras</w:t>
      </w:r>
      <w:proofErr w:type="gramEnd"/>
      <w:r w:rsidRPr="00BC0FF1">
        <w:rPr>
          <w:rFonts w:ascii="Arial" w:hAnsi="Arial"/>
        </w:rPr>
        <w:t>.77-79.</w:t>
      </w:r>
    </w:p>
  </w:footnote>
  <w:footnote w:id="266">
    <w:p w14:paraId="5C88520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i/>
          <w:iCs/>
        </w:rPr>
        <w:t>EEA</w:t>
      </w:r>
      <w:r w:rsidRPr="00BC0FF1">
        <w:rPr>
          <w:rFonts w:ascii="Arial" w:hAnsi="Arial"/>
        </w:rPr>
        <w:t>:sec.</w:t>
      </w:r>
      <w:proofErr w:type="gramEnd"/>
      <w:r w:rsidRPr="00BC0FF1">
        <w:rPr>
          <w:rFonts w:ascii="Arial" w:hAnsi="Arial"/>
        </w:rPr>
        <w:t>15(3),</w:t>
      </w:r>
    </w:p>
  </w:footnote>
  <w:footnote w:id="267">
    <w:p w14:paraId="74C0942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Benjamin &amp; Cheadle, H 2019:41.</w:t>
      </w:r>
    </w:p>
  </w:footnote>
  <w:footnote w:id="268">
    <w:p w14:paraId="1B00E82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Benjamin &amp; Cheadle, H 2019:41.</w:t>
      </w:r>
    </w:p>
  </w:footnote>
  <w:footnote w:id="269">
    <w:p w14:paraId="0CD5D79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24(2).</w:t>
      </w:r>
    </w:p>
  </w:footnote>
  <w:footnote w:id="270">
    <w:p w14:paraId="02BC65AB"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27(2).</w:t>
      </w:r>
    </w:p>
  </w:footnote>
  <w:footnote w:id="271">
    <w:p w14:paraId="1095123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27(3).</w:t>
      </w:r>
    </w:p>
  </w:footnote>
  <w:footnote w:id="272">
    <w:p w14:paraId="41E95BB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i/>
          <w:iCs/>
        </w:rPr>
        <w:t>EEA</w:t>
      </w:r>
      <w:r w:rsidRPr="00BC0FF1">
        <w:rPr>
          <w:rFonts w:ascii="Arial" w:hAnsi="Arial"/>
        </w:rPr>
        <w:t>:sec.</w:t>
      </w:r>
      <w:proofErr w:type="gramEnd"/>
      <w:r w:rsidRPr="00BC0FF1">
        <w:rPr>
          <w:rFonts w:ascii="Arial" w:hAnsi="Arial"/>
        </w:rPr>
        <w:t>27(5).</w:t>
      </w:r>
    </w:p>
  </w:footnote>
  <w:footnote w:id="273">
    <w:p w14:paraId="30707D1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i/>
          <w:iCs/>
        </w:rPr>
        <w:t>EEA</w:t>
      </w:r>
      <w:r w:rsidRPr="00BC0FF1">
        <w:rPr>
          <w:rFonts w:ascii="Arial" w:hAnsi="Arial"/>
        </w:rPr>
        <w:t>:sec.</w:t>
      </w:r>
      <w:proofErr w:type="gramEnd"/>
      <w:r w:rsidRPr="00BC0FF1">
        <w:rPr>
          <w:rFonts w:ascii="Arial" w:hAnsi="Arial"/>
        </w:rPr>
        <w:t>27(6).</w:t>
      </w:r>
    </w:p>
  </w:footnote>
  <w:footnote w:id="274">
    <w:p w14:paraId="667C57C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Mushariwa 2011:441.</w:t>
      </w:r>
    </w:p>
  </w:footnote>
  <w:footnote w:id="275">
    <w:p w14:paraId="4B40B83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Dupper, Bhoola, and Garbers 2009: 98-99.</w:t>
      </w:r>
    </w:p>
  </w:footnote>
  <w:footnote w:id="276">
    <w:p w14:paraId="0CE751E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Mushariwa 2011: 41.</w:t>
      </w:r>
    </w:p>
  </w:footnote>
  <w:footnote w:id="277">
    <w:p w14:paraId="213CAD95"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68" w:name="_Hlk183967256"/>
      <w:r w:rsidRPr="00BC0FF1">
        <w:rPr>
          <w:rFonts w:ascii="Arial" w:hAnsi="Arial"/>
          <w:i/>
          <w:iCs/>
        </w:rPr>
        <w:t>Durban Metropolitan Council (Parks Department) v SAMWU</w:t>
      </w:r>
      <w:r w:rsidRPr="00BC0FF1">
        <w:rPr>
          <w:rFonts w:ascii="Arial" w:hAnsi="Arial"/>
        </w:rPr>
        <w:t xml:space="preserve"> (1998) 7 ARB</w:t>
      </w:r>
      <w:bookmarkEnd w:id="168"/>
      <w:r w:rsidRPr="00BC0FF1">
        <w:rPr>
          <w:rFonts w:ascii="Arial" w:hAnsi="Arial"/>
        </w:rPr>
        <w:t>: 6.9.5.</w:t>
      </w:r>
    </w:p>
  </w:footnote>
  <w:footnote w:id="278">
    <w:p w14:paraId="2FDBF13D" w14:textId="4223177C"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00A530CA">
        <w:rPr>
          <w:rFonts w:ascii="Arial" w:hAnsi="Arial"/>
        </w:rPr>
        <w:tab/>
      </w:r>
      <w:r w:rsidRPr="00BC0FF1">
        <w:rPr>
          <w:rFonts w:ascii="Arial" w:hAnsi="Arial"/>
          <w:i/>
          <w:iCs/>
        </w:rPr>
        <w:t>Storman v Minister of Safety and Security</w:t>
      </w:r>
      <w:r w:rsidRPr="00BC0FF1">
        <w:rPr>
          <w:rFonts w:ascii="Arial" w:hAnsi="Arial"/>
        </w:rPr>
        <w:t xml:space="preserve"> 2002 (3) 468 (T):482C-H.</w:t>
      </w:r>
    </w:p>
  </w:footnote>
  <w:footnote w:id="279">
    <w:p w14:paraId="23C28F46" w14:textId="6F31E88D"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Fourie v Provincial Commissioner of SA Police Service (</w:t>
      </w:r>
      <w:proofErr w:type="gramStart"/>
      <w:r w:rsidRPr="00BC0FF1">
        <w:rPr>
          <w:rFonts w:ascii="Arial" w:hAnsi="Arial"/>
          <w:i/>
          <w:iCs/>
        </w:rPr>
        <w:t>North West</w:t>
      </w:r>
      <w:proofErr w:type="gramEnd"/>
      <w:r w:rsidRPr="00BC0FF1">
        <w:rPr>
          <w:rFonts w:ascii="Arial" w:hAnsi="Arial"/>
          <w:i/>
          <w:iCs/>
        </w:rPr>
        <w:t xml:space="preserve"> Province</w:t>
      </w:r>
      <w:r w:rsidRPr="00BC0FF1">
        <w:rPr>
          <w:rFonts w:ascii="Arial" w:hAnsi="Arial"/>
        </w:rPr>
        <w:t>) 2004 25 ILJ 1716 LC:1737C.</w:t>
      </w:r>
    </w:p>
  </w:footnote>
  <w:footnote w:id="280">
    <w:p w14:paraId="79FF294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City Council of Pretoria v Walker</w:t>
      </w:r>
      <w:r w:rsidRPr="00BC0FF1">
        <w:rPr>
          <w:rFonts w:ascii="Arial" w:hAnsi="Arial"/>
        </w:rPr>
        <w:t xml:space="preserve"> (CCT8/97) [1998] ZACC 1.</w:t>
      </w:r>
    </w:p>
  </w:footnote>
  <w:footnote w:id="281">
    <w:p w14:paraId="4CE043A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South African Police Service v Solidarity obo Barnard</w:t>
      </w:r>
      <w:r w:rsidRPr="00BC0FF1">
        <w:rPr>
          <w:rFonts w:ascii="Arial" w:hAnsi="Arial"/>
        </w:rPr>
        <w:t xml:space="preserve"> (CCT 01/14) [2014] ZACC </w:t>
      </w:r>
      <w:proofErr w:type="gramStart"/>
      <w:r w:rsidRPr="00BC0FF1">
        <w:rPr>
          <w:rFonts w:ascii="Arial" w:hAnsi="Arial"/>
        </w:rPr>
        <w:t>23:par.</w:t>
      </w:r>
      <w:proofErr w:type="gramEnd"/>
      <w:r w:rsidRPr="00BC0FF1">
        <w:rPr>
          <w:rFonts w:ascii="Arial" w:hAnsi="Arial"/>
        </w:rPr>
        <w:t>93.</w:t>
      </w:r>
    </w:p>
  </w:footnote>
  <w:footnote w:id="282">
    <w:p w14:paraId="528FCE4F"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70" w:name="_Hlk183967279"/>
      <w:r w:rsidRPr="00BC0FF1">
        <w:rPr>
          <w:rFonts w:ascii="Arial" w:hAnsi="Arial"/>
          <w:i/>
          <w:iCs/>
        </w:rPr>
        <w:t>Thomas auf der Heyde v University of Cape Town</w:t>
      </w:r>
      <w:r w:rsidRPr="00BC0FF1">
        <w:rPr>
          <w:rFonts w:ascii="Arial" w:hAnsi="Arial"/>
        </w:rPr>
        <w:t xml:space="preserve"> 2000 8 BLLR 877 (LC).</w:t>
      </w:r>
    </w:p>
    <w:bookmarkEnd w:id="170"/>
  </w:footnote>
  <w:footnote w:id="283">
    <w:p w14:paraId="71EA7D7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2000 8 BLLR 877 (LC):893H and 893I; McGregor 2005:.658.</w:t>
      </w:r>
    </w:p>
  </w:footnote>
  <w:footnote w:id="284">
    <w:p w14:paraId="4BDC5D7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2000 8 BLLR 877 (LC):893H and 893I; McGregor 2005:.658</w:t>
      </w:r>
    </w:p>
  </w:footnote>
  <w:footnote w:id="285">
    <w:p w14:paraId="5FFA048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McGregor 2005:663.</w:t>
      </w:r>
    </w:p>
  </w:footnote>
  <w:footnote w:id="286">
    <w:p w14:paraId="158CA3A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McGregor 2005:663.</w:t>
      </w:r>
    </w:p>
  </w:footnote>
  <w:footnote w:id="287">
    <w:p w14:paraId="4F6E499A"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Immigration Act</w:t>
      </w:r>
      <w:r w:rsidRPr="00BC0FF1">
        <w:rPr>
          <w:rFonts w:ascii="Arial" w:hAnsi="Arial"/>
        </w:rPr>
        <w:t xml:space="preserve"> 13/2002.</w:t>
      </w:r>
    </w:p>
  </w:footnote>
  <w:footnote w:id="288">
    <w:p w14:paraId="550A8B4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Immigration Act</w:t>
      </w:r>
      <w:r w:rsidRPr="00BC0FF1">
        <w:rPr>
          <w:rFonts w:ascii="Arial" w:hAnsi="Arial"/>
        </w:rPr>
        <w:t>: sec.19(1).</w:t>
      </w:r>
    </w:p>
  </w:footnote>
  <w:footnote w:id="289">
    <w:p w14:paraId="108E506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Immigration </w:t>
      </w:r>
      <w:proofErr w:type="gramStart"/>
      <w:r w:rsidRPr="00BC0FF1">
        <w:rPr>
          <w:rFonts w:ascii="Arial" w:hAnsi="Arial"/>
          <w:i/>
          <w:iCs/>
        </w:rPr>
        <w:t>Act</w:t>
      </w:r>
      <w:r w:rsidRPr="00BC0FF1">
        <w:rPr>
          <w:rFonts w:ascii="Arial" w:hAnsi="Arial"/>
        </w:rPr>
        <w:t>:sec.</w:t>
      </w:r>
      <w:proofErr w:type="gramEnd"/>
      <w:r w:rsidRPr="00BC0FF1">
        <w:rPr>
          <w:rFonts w:ascii="Arial" w:hAnsi="Arial"/>
        </w:rPr>
        <w:t>19(2)(a).</w:t>
      </w:r>
    </w:p>
  </w:footnote>
  <w:footnote w:id="290">
    <w:p w14:paraId="3EAF53F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Immigration </w:t>
      </w:r>
      <w:proofErr w:type="gramStart"/>
      <w:r w:rsidRPr="00BC0FF1">
        <w:rPr>
          <w:rFonts w:ascii="Arial" w:hAnsi="Arial"/>
          <w:i/>
          <w:iCs/>
        </w:rPr>
        <w:t>Act</w:t>
      </w:r>
      <w:r w:rsidRPr="00BC0FF1">
        <w:rPr>
          <w:rFonts w:ascii="Arial" w:hAnsi="Arial"/>
        </w:rPr>
        <w:t>:sec.</w:t>
      </w:r>
      <w:proofErr w:type="gramEnd"/>
      <w:r w:rsidRPr="00BC0FF1">
        <w:rPr>
          <w:rFonts w:ascii="Arial" w:hAnsi="Arial"/>
        </w:rPr>
        <w:t>27(a).</w:t>
      </w:r>
    </w:p>
  </w:footnote>
  <w:footnote w:id="291">
    <w:p w14:paraId="6733F3D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Immigration </w:t>
      </w:r>
      <w:proofErr w:type="gramStart"/>
      <w:r w:rsidRPr="00BC0FF1">
        <w:rPr>
          <w:rFonts w:ascii="Arial" w:hAnsi="Arial"/>
          <w:i/>
          <w:iCs/>
        </w:rPr>
        <w:t>Act</w:t>
      </w:r>
      <w:r w:rsidRPr="00BC0FF1">
        <w:rPr>
          <w:rFonts w:ascii="Arial" w:hAnsi="Arial"/>
        </w:rPr>
        <w:t>:sec.</w:t>
      </w:r>
      <w:proofErr w:type="gramEnd"/>
      <w:r w:rsidRPr="00BC0FF1">
        <w:rPr>
          <w:rFonts w:ascii="Arial" w:hAnsi="Arial"/>
        </w:rPr>
        <w:t>27(b).</w:t>
      </w:r>
    </w:p>
  </w:footnote>
  <w:footnote w:id="292">
    <w:p w14:paraId="4F1DFD75"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Finance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36.</w:t>
      </w:r>
    </w:p>
  </w:footnote>
  <w:footnote w:id="293">
    <w:p w14:paraId="4C914B7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v Department of Correctional </w:t>
      </w:r>
      <w:proofErr w:type="gramStart"/>
      <w:r w:rsidRPr="00BC0FF1">
        <w:rPr>
          <w:rFonts w:ascii="Arial" w:hAnsi="Arial"/>
          <w:i/>
          <w:iCs/>
        </w:rPr>
        <w:t>Services</w:t>
      </w:r>
      <w:r w:rsidRPr="00BC0FF1">
        <w:rPr>
          <w:rFonts w:ascii="Arial" w:hAnsi="Arial"/>
        </w:rPr>
        <w:t>:paras</w:t>
      </w:r>
      <w:proofErr w:type="gramEnd"/>
      <w:r w:rsidRPr="00BC0FF1">
        <w:rPr>
          <w:rFonts w:ascii="Arial" w:hAnsi="Arial"/>
        </w:rPr>
        <w:t>.41-41;54-55.</w:t>
      </w:r>
    </w:p>
  </w:footnote>
  <w:footnote w:id="294">
    <w:p w14:paraId="7D0A006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Finance and Other v Van Heerden</w:t>
      </w:r>
      <w:r w:rsidRPr="00BC0FF1">
        <w:rPr>
          <w:rFonts w:ascii="Arial" w:hAnsi="Arial"/>
        </w:rPr>
        <w:t xml:space="preserve"> (CCT 63/03) [2004] ZACC </w:t>
      </w:r>
      <w:proofErr w:type="gramStart"/>
      <w:r w:rsidRPr="00BC0FF1">
        <w:rPr>
          <w:rFonts w:ascii="Arial" w:hAnsi="Arial"/>
        </w:rPr>
        <w:t>3:par.</w:t>
      </w:r>
      <w:proofErr w:type="gramEnd"/>
      <w:r w:rsidRPr="00BC0FF1">
        <w:rPr>
          <w:rFonts w:ascii="Arial" w:hAnsi="Arial"/>
        </w:rPr>
        <w:t>38.</w:t>
      </w:r>
    </w:p>
  </w:footnote>
  <w:footnote w:id="295">
    <w:p w14:paraId="03BD80C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Durban City Council (Electricity Department) v SAMWU</w:t>
      </w:r>
      <w:r w:rsidRPr="00BC0FF1">
        <w:rPr>
          <w:rFonts w:ascii="Arial" w:hAnsi="Arial"/>
        </w:rPr>
        <w:t xml:space="preserve"> (1995) 4 ARB: 6.9.23.</w:t>
      </w:r>
    </w:p>
  </w:footnote>
  <w:footnote w:id="296">
    <w:p w14:paraId="180114C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8C5C51">
        <w:rPr>
          <w:rFonts w:ascii="Arial" w:hAnsi="Arial"/>
          <w:i/>
          <w:iCs/>
          <w:lang w:val="en-ZA"/>
        </w:rPr>
        <w:t xml:space="preserve">Solidarity v Department of Correctional </w:t>
      </w:r>
      <w:proofErr w:type="gramStart"/>
      <w:r w:rsidRPr="008C5C51">
        <w:rPr>
          <w:rFonts w:ascii="Arial" w:hAnsi="Arial"/>
          <w:i/>
          <w:iCs/>
          <w:lang w:val="en-ZA"/>
        </w:rPr>
        <w:t>Services</w:t>
      </w:r>
      <w:r w:rsidRPr="00BC0FF1">
        <w:rPr>
          <w:rFonts w:ascii="Arial" w:hAnsi="Arial"/>
        </w:rPr>
        <w:t>:paras</w:t>
      </w:r>
      <w:proofErr w:type="gramEnd"/>
      <w:r w:rsidRPr="00BC0FF1">
        <w:rPr>
          <w:rFonts w:ascii="Arial" w:hAnsi="Arial"/>
        </w:rPr>
        <w:t>.40-41.</w:t>
      </w:r>
    </w:p>
  </w:footnote>
  <w:footnote w:id="297">
    <w:p w14:paraId="7C87C82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8C5C51">
        <w:rPr>
          <w:rFonts w:ascii="Arial" w:hAnsi="Arial"/>
          <w:i/>
          <w:iCs/>
          <w:lang w:val="en-ZA"/>
        </w:rPr>
        <w:t xml:space="preserve">Solidarity v Department of Correctional </w:t>
      </w:r>
      <w:proofErr w:type="gramStart"/>
      <w:r w:rsidRPr="008C5C51">
        <w:rPr>
          <w:rFonts w:ascii="Arial" w:hAnsi="Arial"/>
          <w:i/>
          <w:iCs/>
          <w:lang w:val="en-ZA"/>
        </w:rPr>
        <w:t>Services</w:t>
      </w:r>
      <w:r w:rsidRPr="00BC0FF1">
        <w:rPr>
          <w:rFonts w:ascii="Arial" w:hAnsi="Arial"/>
        </w:rPr>
        <w:t>:paras</w:t>
      </w:r>
      <w:proofErr w:type="gramEnd"/>
      <w:r w:rsidRPr="00BC0FF1">
        <w:rPr>
          <w:rFonts w:ascii="Arial" w:hAnsi="Arial"/>
        </w:rPr>
        <w:t>.50-53.</w:t>
      </w:r>
    </w:p>
  </w:footnote>
  <w:footnote w:id="298">
    <w:p w14:paraId="0016452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8C5C51">
        <w:rPr>
          <w:rFonts w:ascii="Arial" w:hAnsi="Arial"/>
          <w:i/>
          <w:iCs/>
          <w:lang w:val="en-ZA"/>
        </w:rPr>
        <w:t xml:space="preserve">Solidarity v Department of Correctional </w:t>
      </w:r>
      <w:proofErr w:type="gramStart"/>
      <w:r w:rsidRPr="008C5C51">
        <w:rPr>
          <w:rFonts w:ascii="Arial" w:hAnsi="Arial"/>
          <w:i/>
          <w:iCs/>
          <w:lang w:val="en-ZA"/>
        </w:rPr>
        <w:t>Services</w:t>
      </w:r>
      <w:r w:rsidRPr="00BC0FF1">
        <w:rPr>
          <w:rFonts w:ascii="Arial" w:hAnsi="Arial"/>
        </w:rPr>
        <w:t>:paras</w:t>
      </w:r>
      <w:proofErr w:type="gramEnd"/>
      <w:r w:rsidRPr="00BC0FF1">
        <w:rPr>
          <w:rFonts w:ascii="Arial" w:hAnsi="Arial"/>
        </w:rPr>
        <w:t>.38-42.</w:t>
      </w:r>
    </w:p>
  </w:footnote>
  <w:footnote w:id="299">
    <w:p w14:paraId="7168B46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8C5C51">
        <w:rPr>
          <w:rFonts w:ascii="Arial" w:hAnsi="Arial"/>
          <w:i/>
          <w:iCs/>
          <w:lang w:val="en-ZA"/>
        </w:rPr>
        <w:t xml:space="preserve">Solidarity v Department of Correctional </w:t>
      </w:r>
      <w:proofErr w:type="gramStart"/>
      <w:r w:rsidRPr="008C5C51">
        <w:rPr>
          <w:rFonts w:ascii="Arial" w:hAnsi="Arial"/>
          <w:i/>
          <w:iCs/>
          <w:lang w:val="en-ZA"/>
        </w:rPr>
        <w:t>Services</w:t>
      </w:r>
      <w:r w:rsidRPr="00BC0FF1">
        <w:rPr>
          <w:rFonts w:ascii="Arial" w:hAnsi="Arial"/>
        </w:rPr>
        <w:t>:par.</w:t>
      </w:r>
      <w:proofErr w:type="gramEnd"/>
      <w:r w:rsidRPr="00BC0FF1">
        <w:rPr>
          <w:rFonts w:ascii="Arial" w:hAnsi="Arial"/>
        </w:rPr>
        <w:t>40.</w:t>
      </w:r>
    </w:p>
  </w:footnote>
  <w:footnote w:id="300">
    <w:p w14:paraId="58DE94B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74" w:name="_Hlk183967300"/>
      <w:r w:rsidRPr="00BC0FF1">
        <w:rPr>
          <w:rFonts w:ascii="Arial" w:hAnsi="Arial"/>
          <w:i/>
          <w:iCs/>
          <w:lang w:val="en-ZA"/>
        </w:rPr>
        <w:t xml:space="preserve">Solidarity on behalf of </w:t>
      </w:r>
      <w:proofErr w:type="spellStart"/>
      <w:r w:rsidRPr="00BC0FF1">
        <w:rPr>
          <w:rFonts w:ascii="Arial" w:hAnsi="Arial"/>
          <w:i/>
          <w:iCs/>
          <w:lang w:val="en-ZA"/>
        </w:rPr>
        <w:t>Christiaans</w:t>
      </w:r>
      <w:proofErr w:type="spellEnd"/>
      <w:r w:rsidRPr="00BC0FF1">
        <w:rPr>
          <w:rFonts w:ascii="Arial" w:hAnsi="Arial"/>
          <w:i/>
          <w:iCs/>
          <w:lang w:val="en-ZA"/>
        </w:rPr>
        <w:t xml:space="preserve"> and Eskom Holdings Ltd</w:t>
      </w:r>
      <w:r w:rsidRPr="00BC0FF1">
        <w:rPr>
          <w:rFonts w:ascii="Arial" w:hAnsi="Arial"/>
        </w:rPr>
        <w:t xml:space="preserve"> </w:t>
      </w:r>
      <w:r w:rsidRPr="00BC0FF1">
        <w:rPr>
          <w:rFonts w:ascii="Arial" w:hAnsi="Arial"/>
          <w:lang w:val="en-ZA"/>
        </w:rPr>
        <w:t>(2006) 27 ILJ 1291 (ARB)</w:t>
      </w:r>
      <w:r w:rsidRPr="00BC0FF1">
        <w:rPr>
          <w:rFonts w:ascii="Arial" w:hAnsi="Arial"/>
        </w:rPr>
        <w:t>.</w:t>
      </w:r>
    </w:p>
    <w:bookmarkEnd w:id="174"/>
  </w:footnote>
  <w:footnote w:id="301">
    <w:p w14:paraId="6DFBECF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lang w:val="en-ZA"/>
        </w:rPr>
        <w:t xml:space="preserve">Solidarity on behalf of </w:t>
      </w:r>
      <w:proofErr w:type="spellStart"/>
      <w:r w:rsidRPr="00BC0FF1">
        <w:rPr>
          <w:rFonts w:ascii="Arial" w:hAnsi="Arial"/>
          <w:i/>
          <w:iCs/>
          <w:lang w:val="en-ZA"/>
        </w:rPr>
        <w:t>Christiaans</w:t>
      </w:r>
      <w:proofErr w:type="spellEnd"/>
      <w:r w:rsidRPr="00BC0FF1">
        <w:rPr>
          <w:rFonts w:ascii="Arial" w:hAnsi="Arial"/>
          <w:i/>
          <w:iCs/>
          <w:lang w:val="en-ZA"/>
        </w:rPr>
        <w:t xml:space="preserve"> and Eskom Holdings </w:t>
      </w:r>
      <w:proofErr w:type="gramStart"/>
      <w:r w:rsidRPr="00BC0FF1">
        <w:rPr>
          <w:rFonts w:ascii="Arial" w:hAnsi="Arial"/>
          <w:i/>
          <w:iCs/>
          <w:lang w:val="en-ZA"/>
        </w:rPr>
        <w:t>Ltd</w:t>
      </w:r>
      <w:r w:rsidRPr="00BC0FF1">
        <w:rPr>
          <w:rFonts w:ascii="Arial" w:hAnsi="Arial"/>
        </w:rPr>
        <w:t>:par.</w:t>
      </w:r>
      <w:proofErr w:type="gramEnd"/>
      <w:r w:rsidRPr="00BC0FF1">
        <w:rPr>
          <w:rFonts w:ascii="Arial" w:hAnsi="Arial"/>
        </w:rPr>
        <w:t>1307.</w:t>
      </w:r>
    </w:p>
  </w:footnote>
  <w:footnote w:id="302">
    <w:p w14:paraId="74BDF02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lang w:val="en-ZA"/>
        </w:rPr>
        <w:t xml:space="preserve">Solidarity on behalf of </w:t>
      </w:r>
      <w:proofErr w:type="spellStart"/>
      <w:r w:rsidRPr="00BC0FF1">
        <w:rPr>
          <w:rFonts w:ascii="Arial" w:hAnsi="Arial"/>
          <w:i/>
          <w:iCs/>
          <w:lang w:val="en-ZA"/>
        </w:rPr>
        <w:t>Christiaans</w:t>
      </w:r>
      <w:proofErr w:type="spellEnd"/>
      <w:r w:rsidRPr="00BC0FF1">
        <w:rPr>
          <w:rFonts w:ascii="Arial" w:hAnsi="Arial"/>
          <w:i/>
          <w:iCs/>
          <w:lang w:val="en-ZA"/>
        </w:rPr>
        <w:t xml:space="preserve"> and Eskom Holdings </w:t>
      </w:r>
      <w:proofErr w:type="spellStart"/>
      <w:proofErr w:type="gramStart"/>
      <w:r w:rsidRPr="00BC0FF1">
        <w:rPr>
          <w:rFonts w:ascii="Arial" w:hAnsi="Arial"/>
          <w:i/>
          <w:iCs/>
          <w:lang w:val="en-ZA"/>
        </w:rPr>
        <w:t>Ltd</w:t>
      </w:r>
      <w:r w:rsidRPr="00BC0FF1">
        <w:rPr>
          <w:rFonts w:ascii="Arial" w:hAnsi="Arial"/>
          <w:lang w:val="en-ZA"/>
        </w:rPr>
        <w:t>:paras</w:t>
      </w:r>
      <w:proofErr w:type="spellEnd"/>
      <w:proofErr w:type="gramEnd"/>
      <w:r w:rsidRPr="00BC0FF1">
        <w:rPr>
          <w:rFonts w:ascii="Arial" w:hAnsi="Arial"/>
        </w:rPr>
        <w:t>:1301-1307.</w:t>
      </w:r>
    </w:p>
  </w:footnote>
  <w:footnote w:id="303">
    <w:p w14:paraId="35B30C4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i/>
          <w:iCs/>
        </w:rPr>
        <w:t>LRA</w:t>
      </w:r>
      <w:r w:rsidRPr="00BC0FF1">
        <w:rPr>
          <w:rFonts w:ascii="Arial" w:hAnsi="Arial"/>
        </w:rPr>
        <w:t>:sec.</w:t>
      </w:r>
      <w:proofErr w:type="gramEnd"/>
      <w:r w:rsidRPr="00BC0FF1">
        <w:rPr>
          <w:rFonts w:ascii="Arial" w:hAnsi="Arial"/>
        </w:rPr>
        <w:t>198C(3)(a).</w:t>
      </w:r>
    </w:p>
  </w:footnote>
  <w:footnote w:id="304">
    <w:p w14:paraId="30EA6F8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i/>
          <w:iCs/>
        </w:rPr>
        <w:t>LRA</w:t>
      </w:r>
      <w:r w:rsidRPr="00BC0FF1">
        <w:rPr>
          <w:rFonts w:ascii="Arial" w:hAnsi="Arial"/>
        </w:rPr>
        <w:t>:sec.</w:t>
      </w:r>
      <w:proofErr w:type="gramEnd"/>
      <w:r w:rsidRPr="00BC0FF1">
        <w:rPr>
          <w:rFonts w:ascii="Arial" w:hAnsi="Arial"/>
        </w:rPr>
        <w:t>198C(3)(b).</w:t>
      </w:r>
    </w:p>
  </w:footnote>
  <w:footnote w:id="305">
    <w:p w14:paraId="2CC5A4A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i/>
          <w:iCs/>
        </w:rPr>
        <w:t>LRA</w:t>
      </w:r>
      <w:r w:rsidRPr="00BC0FF1">
        <w:rPr>
          <w:rFonts w:ascii="Arial" w:hAnsi="Arial"/>
        </w:rPr>
        <w:t>:sec.</w:t>
      </w:r>
      <w:proofErr w:type="gramEnd"/>
      <w:r w:rsidRPr="00BC0FF1">
        <w:rPr>
          <w:rFonts w:ascii="Arial" w:hAnsi="Arial"/>
        </w:rPr>
        <w:t>198C(5).</w:t>
      </w:r>
    </w:p>
  </w:footnote>
  <w:footnote w:id="306">
    <w:p w14:paraId="354A51E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proofErr w:type="gramStart"/>
      <w:r w:rsidRPr="00BC0FF1">
        <w:rPr>
          <w:rFonts w:ascii="Arial" w:hAnsi="Arial"/>
          <w:i/>
          <w:iCs/>
        </w:rPr>
        <w:t>LRA</w:t>
      </w:r>
      <w:r w:rsidRPr="00BC0FF1">
        <w:rPr>
          <w:rFonts w:ascii="Arial" w:hAnsi="Arial"/>
        </w:rPr>
        <w:t>:sec</w:t>
      </w:r>
      <w:proofErr w:type="spellEnd"/>
      <w:r w:rsidRPr="00BC0FF1">
        <w:rPr>
          <w:rFonts w:ascii="Arial" w:hAnsi="Arial"/>
        </w:rPr>
        <w:t>.</w:t>
      </w:r>
      <w:proofErr w:type="gramEnd"/>
      <w:r w:rsidRPr="00BC0FF1">
        <w:rPr>
          <w:rFonts w:ascii="Arial" w:hAnsi="Arial"/>
          <w:lang w:val="en-ZA"/>
        </w:rPr>
        <w:t>198D</w:t>
      </w:r>
      <w:r w:rsidRPr="00BC0FF1">
        <w:rPr>
          <w:rFonts w:ascii="Arial" w:hAnsi="Arial"/>
        </w:rPr>
        <w:t>(2).</w:t>
      </w:r>
    </w:p>
  </w:footnote>
  <w:footnote w:id="307">
    <w:p w14:paraId="7F346CA5"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proofErr w:type="gramStart"/>
      <w:r w:rsidRPr="00BC0FF1">
        <w:rPr>
          <w:rFonts w:ascii="Arial" w:hAnsi="Arial"/>
          <w:i/>
          <w:iCs/>
        </w:rPr>
        <w:t>LRA</w:t>
      </w:r>
      <w:r w:rsidRPr="00BC0FF1">
        <w:rPr>
          <w:rFonts w:ascii="Arial" w:hAnsi="Arial"/>
        </w:rPr>
        <w:t>:sec</w:t>
      </w:r>
      <w:proofErr w:type="spellEnd"/>
      <w:r w:rsidRPr="00BC0FF1">
        <w:rPr>
          <w:rFonts w:ascii="Arial" w:hAnsi="Arial"/>
        </w:rPr>
        <w:t>.</w:t>
      </w:r>
      <w:proofErr w:type="gramEnd"/>
      <w:r w:rsidRPr="00BC0FF1">
        <w:rPr>
          <w:rFonts w:ascii="Arial" w:hAnsi="Arial"/>
          <w:lang w:val="en-ZA"/>
        </w:rPr>
        <w:t>198D(2).</w:t>
      </w:r>
    </w:p>
  </w:footnote>
  <w:footnote w:id="308">
    <w:p w14:paraId="1938E77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Code of Good </w:t>
      </w:r>
      <w:proofErr w:type="gramStart"/>
      <w:r w:rsidRPr="00BC0FF1">
        <w:rPr>
          <w:rFonts w:ascii="Arial" w:hAnsi="Arial"/>
        </w:rPr>
        <w:t>Practice:sec.</w:t>
      </w:r>
      <w:proofErr w:type="gramEnd"/>
      <w:r w:rsidRPr="00BC0FF1">
        <w:rPr>
          <w:rFonts w:ascii="Arial" w:hAnsi="Arial"/>
        </w:rPr>
        <w:t>5.3.</w:t>
      </w:r>
    </w:p>
  </w:footnote>
  <w:footnote w:id="309">
    <w:p w14:paraId="3714548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Finance and Others v Van Heerden</w:t>
      </w:r>
      <w:r w:rsidRPr="00BC0FF1">
        <w:rPr>
          <w:rFonts w:ascii="Arial" w:hAnsi="Arial"/>
        </w:rPr>
        <w:t> (CCT 63/03) [2004] ZACC 3.</w:t>
      </w:r>
    </w:p>
  </w:footnote>
  <w:footnote w:id="310">
    <w:p w14:paraId="21FBEE3A"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lang w:val="en-ZA"/>
        </w:rPr>
        <w:t xml:space="preserve">Minister of Finance &amp; another v Van </w:t>
      </w:r>
      <w:proofErr w:type="gramStart"/>
      <w:r w:rsidRPr="00BC0FF1">
        <w:rPr>
          <w:rFonts w:ascii="Arial" w:hAnsi="Arial"/>
          <w:i/>
          <w:iCs/>
          <w:lang w:val="en-ZA"/>
        </w:rPr>
        <w:t>Heerden</w:t>
      </w:r>
      <w:r w:rsidRPr="00BC0FF1">
        <w:rPr>
          <w:rFonts w:ascii="Arial" w:hAnsi="Arial"/>
        </w:rPr>
        <w:t>:par.</w:t>
      </w:r>
      <w:proofErr w:type="gramEnd"/>
      <w:r w:rsidRPr="00BC0FF1">
        <w:rPr>
          <w:rFonts w:ascii="Arial" w:hAnsi="Arial"/>
        </w:rPr>
        <w:t>37.</w:t>
      </w:r>
    </w:p>
  </w:footnote>
  <w:footnote w:id="311">
    <w:p w14:paraId="58EEF47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6(2).</w:t>
      </w:r>
    </w:p>
  </w:footnote>
  <w:footnote w:id="312">
    <w:p w14:paraId="622591C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AF78A5">
        <w:rPr>
          <w:rFonts w:ascii="Arial" w:hAnsi="Arial"/>
          <w:i/>
          <w:iCs/>
          <w:lang w:val="en-ZA"/>
        </w:rPr>
        <w:t xml:space="preserve">Van Heerden v Minister of </w:t>
      </w:r>
      <w:proofErr w:type="gramStart"/>
      <w:r w:rsidRPr="00AF78A5">
        <w:rPr>
          <w:rFonts w:ascii="Arial" w:hAnsi="Arial"/>
          <w:i/>
          <w:iCs/>
          <w:lang w:val="en-ZA"/>
        </w:rPr>
        <w:t>Finance</w:t>
      </w:r>
      <w:r w:rsidRPr="00BC0FF1">
        <w:rPr>
          <w:rFonts w:ascii="Arial" w:hAnsi="Arial"/>
        </w:rPr>
        <w:t>:par.</w:t>
      </w:r>
      <w:proofErr w:type="gramEnd"/>
      <w:r w:rsidRPr="00BC0FF1">
        <w:rPr>
          <w:rFonts w:ascii="Arial" w:hAnsi="Arial"/>
        </w:rPr>
        <w:t>44.</w:t>
      </w:r>
    </w:p>
  </w:footnote>
  <w:footnote w:id="313">
    <w:p w14:paraId="56569EF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AF78A5">
        <w:rPr>
          <w:rFonts w:ascii="Arial" w:hAnsi="Arial"/>
          <w:i/>
          <w:iCs/>
          <w:lang w:val="en-ZA"/>
        </w:rPr>
        <w:t xml:space="preserve">Van Heerden v Minister of </w:t>
      </w:r>
      <w:proofErr w:type="gramStart"/>
      <w:r w:rsidRPr="00AF78A5">
        <w:rPr>
          <w:rFonts w:ascii="Arial" w:hAnsi="Arial"/>
          <w:i/>
          <w:iCs/>
          <w:lang w:val="en-ZA"/>
        </w:rPr>
        <w:t>Finance</w:t>
      </w:r>
      <w:r w:rsidRPr="00BC0FF1">
        <w:rPr>
          <w:rFonts w:ascii="Arial" w:hAnsi="Arial"/>
        </w:rPr>
        <w:t>:par.</w:t>
      </w:r>
      <w:proofErr w:type="gramEnd"/>
      <w:r w:rsidRPr="00BC0FF1">
        <w:rPr>
          <w:rFonts w:ascii="Arial" w:hAnsi="Arial"/>
        </w:rPr>
        <w:t>37.</w:t>
      </w:r>
    </w:p>
  </w:footnote>
  <w:footnote w:id="314">
    <w:p w14:paraId="541D467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4C5663">
        <w:rPr>
          <w:rFonts w:ascii="Arial" w:hAnsi="Arial"/>
          <w:i/>
          <w:iCs/>
          <w:lang w:val="en-ZA"/>
        </w:rPr>
        <w:t xml:space="preserve">Solidarity v Department of Correctional </w:t>
      </w:r>
      <w:proofErr w:type="gramStart"/>
      <w:r w:rsidRPr="004C5663">
        <w:rPr>
          <w:rFonts w:ascii="Arial" w:hAnsi="Arial"/>
          <w:i/>
          <w:iCs/>
          <w:lang w:val="en-ZA"/>
        </w:rPr>
        <w:t>Services</w:t>
      </w:r>
      <w:r w:rsidRPr="00BC0FF1">
        <w:rPr>
          <w:rFonts w:ascii="Arial" w:hAnsi="Arial"/>
        </w:rPr>
        <w:t>:par.</w:t>
      </w:r>
      <w:proofErr w:type="gramEnd"/>
      <w:r w:rsidRPr="00BC0FF1">
        <w:rPr>
          <w:rFonts w:ascii="Arial" w:hAnsi="Arial"/>
        </w:rPr>
        <w:t>68.</w:t>
      </w:r>
    </w:p>
  </w:footnote>
  <w:footnote w:id="315">
    <w:p w14:paraId="022624A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4C5663">
        <w:rPr>
          <w:rFonts w:ascii="Arial" w:hAnsi="Arial"/>
          <w:i/>
          <w:iCs/>
          <w:lang w:val="en-ZA"/>
        </w:rPr>
        <w:t xml:space="preserve">Solidarity v Department of Correctional </w:t>
      </w:r>
      <w:proofErr w:type="gramStart"/>
      <w:r w:rsidRPr="004C5663">
        <w:rPr>
          <w:rFonts w:ascii="Arial" w:hAnsi="Arial"/>
          <w:i/>
          <w:iCs/>
          <w:lang w:val="en-ZA"/>
        </w:rPr>
        <w:t>Services</w:t>
      </w:r>
      <w:r w:rsidRPr="00BC0FF1">
        <w:rPr>
          <w:rFonts w:ascii="Arial" w:hAnsi="Arial"/>
        </w:rPr>
        <w:t>:paras</w:t>
      </w:r>
      <w:proofErr w:type="gramEnd"/>
      <w:r w:rsidRPr="00BC0FF1">
        <w:rPr>
          <w:rFonts w:ascii="Arial" w:hAnsi="Arial"/>
        </w:rPr>
        <w:t>.65.</w:t>
      </w:r>
    </w:p>
  </w:footnote>
  <w:footnote w:id="316">
    <w:p w14:paraId="0C59863F"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4C5663">
        <w:rPr>
          <w:rFonts w:ascii="Arial" w:hAnsi="Arial"/>
          <w:i/>
          <w:iCs/>
          <w:lang w:val="en-ZA"/>
        </w:rPr>
        <w:t xml:space="preserve">Solidarity v Department of Correctional </w:t>
      </w:r>
      <w:proofErr w:type="gramStart"/>
      <w:r w:rsidRPr="004C5663">
        <w:rPr>
          <w:rFonts w:ascii="Arial" w:hAnsi="Arial"/>
          <w:i/>
          <w:iCs/>
          <w:lang w:val="en-ZA"/>
        </w:rPr>
        <w:t>Services</w:t>
      </w:r>
      <w:r w:rsidRPr="00BC0FF1">
        <w:rPr>
          <w:rFonts w:ascii="Arial" w:hAnsi="Arial"/>
        </w:rPr>
        <w:t>:par.</w:t>
      </w:r>
      <w:proofErr w:type="gramEnd"/>
      <w:r w:rsidRPr="00BC0FF1">
        <w:rPr>
          <w:rFonts w:ascii="Arial" w:hAnsi="Arial"/>
        </w:rPr>
        <w:t>32.</w:t>
      </w:r>
    </w:p>
  </w:footnote>
  <w:footnote w:id="317">
    <w:p w14:paraId="617FD55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4C5663">
        <w:rPr>
          <w:rFonts w:ascii="Arial" w:hAnsi="Arial"/>
          <w:i/>
          <w:iCs/>
          <w:lang w:val="en-ZA"/>
        </w:rPr>
        <w:t xml:space="preserve">Solidarity v Department of Correctional </w:t>
      </w:r>
      <w:proofErr w:type="gramStart"/>
      <w:r w:rsidRPr="004C5663">
        <w:rPr>
          <w:rFonts w:ascii="Arial" w:hAnsi="Arial"/>
          <w:i/>
          <w:iCs/>
          <w:lang w:val="en-ZA"/>
        </w:rPr>
        <w:t>Services</w:t>
      </w:r>
      <w:r w:rsidRPr="00BC0FF1">
        <w:rPr>
          <w:rFonts w:ascii="Arial" w:hAnsi="Arial"/>
          <w:lang w:val="en-ZA"/>
        </w:rPr>
        <w:t>:par.</w:t>
      </w:r>
      <w:proofErr w:type="gramEnd"/>
      <w:r w:rsidRPr="00BC0FF1">
        <w:rPr>
          <w:rFonts w:ascii="Arial" w:hAnsi="Arial"/>
          <w:lang w:val="en-ZA"/>
        </w:rPr>
        <w:t>32.</w:t>
      </w:r>
    </w:p>
  </w:footnote>
  <w:footnote w:id="318">
    <w:p w14:paraId="00291D4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4C5663">
        <w:rPr>
          <w:rFonts w:ascii="Arial" w:hAnsi="Arial"/>
          <w:i/>
          <w:iCs/>
          <w:lang w:val="en-ZA"/>
        </w:rPr>
        <w:t xml:space="preserve">Solidarity v Department of Correctional </w:t>
      </w:r>
      <w:proofErr w:type="spellStart"/>
      <w:proofErr w:type="gramStart"/>
      <w:r w:rsidRPr="004C5663">
        <w:rPr>
          <w:rFonts w:ascii="Arial" w:hAnsi="Arial"/>
          <w:i/>
          <w:iCs/>
          <w:lang w:val="en-ZA"/>
        </w:rPr>
        <w:t>Services</w:t>
      </w:r>
      <w:r w:rsidRPr="00BC0FF1">
        <w:rPr>
          <w:rFonts w:ascii="Arial" w:hAnsi="Arial"/>
          <w:lang w:val="en-ZA"/>
        </w:rPr>
        <w:t>:par</w:t>
      </w:r>
      <w:proofErr w:type="spellEnd"/>
      <w:r w:rsidRPr="00BC0FF1">
        <w:rPr>
          <w:rFonts w:ascii="Arial" w:hAnsi="Arial"/>
          <w:lang w:val="en-ZA"/>
        </w:rPr>
        <w:t>.</w:t>
      </w:r>
      <w:proofErr w:type="gramEnd"/>
      <w:r w:rsidRPr="00BC0FF1">
        <w:rPr>
          <w:rFonts w:ascii="Arial" w:hAnsi="Arial"/>
        </w:rPr>
        <w:t>65.</w:t>
      </w:r>
    </w:p>
  </w:footnote>
  <w:footnote w:id="319">
    <w:p w14:paraId="445508C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Liebenberg &amp; Goldblatt 2007: 335-361.</w:t>
      </w:r>
    </w:p>
  </w:footnote>
  <w:footnote w:id="320">
    <w:p w14:paraId="0D3FA2C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Liebenberg &amp; Goldblatt 2007: 335-361.</w:t>
      </w:r>
    </w:p>
  </w:footnote>
  <w:footnote w:id="321">
    <w:p w14:paraId="5D54694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Liebenberg &amp; Goldblatt 2007: 335-361.</w:t>
      </w:r>
    </w:p>
  </w:footnote>
  <w:footnote w:id="322">
    <w:p w14:paraId="0A57E9D1" w14:textId="328254F4"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Naidoo v Minister of Safety and Security and National Commissioner of the South African </w:t>
      </w:r>
      <w:proofErr w:type="gramStart"/>
      <w:r w:rsidRPr="00BC0FF1">
        <w:rPr>
          <w:rFonts w:ascii="Arial" w:hAnsi="Arial"/>
          <w:i/>
          <w:iCs/>
        </w:rPr>
        <w:t xml:space="preserve">Police </w:t>
      </w:r>
      <w:r w:rsidR="00A530CA">
        <w:rPr>
          <w:rFonts w:ascii="Arial" w:hAnsi="Arial"/>
          <w:i/>
          <w:iCs/>
        </w:rPr>
        <w:t xml:space="preserve"> </w:t>
      </w:r>
      <w:r w:rsidRPr="00BC0FF1">
        <w:rPr>
          <w:rFonts w:ascii="Arial" w:hAnsi="Arial"/>
          <w:i/>
          <w:iCs/>
        </w:rPr>
        <w:t>Service</w:t>
      </w:r>
      <w:proofErr w:type="gramEnd"/>
      <w:r w:rsidRPr="00BC0FF1">
        <w:rPr>
          <w:rFonts w:ascii="Arial" w:hAnsi="Arial"/>
        </w:rPr>
        <w:t>: par.132.</w:t>
      </w:r>
    </w:p>
  </w:footnote>
  <w:footnote w:id="323">
    <w:p w14:paraId="69B1B7A9" w14:textId="4D01E377" w:rsidR="00BB7375" w:rsidRPr="00BC0FF1" w:rsidRDefault="00BB7375" w:rsidP="00BB7375">
      <w:pPr>
        <w:pStyle w:val="FootnoteText"/>
        <w:ind w:left="397" w:hanging="397"/>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00A530CA">
        <w:rPr>
          <w:rFonts w:ascii="Arial" w:hAnsi="Arial"/>
        </w:rPr>
        <w:t xml:space="preserve"> </w:t>
      </w:r>
      <w:r w:rsidRPr="00BC0FF1">
        <w:rPr>
          <w:rFonts w:ascii="Arial" w:hAnsi="Arial"/>
          <w:i/>
          <w:iCs/>
        </w:rPr>
        <w:t>Naidoo v Minister of Safety and Security and National Commissioner of the South African Police Service</w:t>
      </w:r>
      <w:r w:rsidRPr="00BC0FF1">
        <w:rPr>
          <w:rFonts w:ascii="Arial" w:hAnsi="Arial"/>
        </w:rPr>
        <w:t>: par.180-181.</w:t>
      </w:r>
    </w:p>
  </w:footnote>
  <w:footnote w:id="324">
    <w:p w14:paraId="61DFCC3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Naidoo v Minister of Safety and </w:t>
      </w:r>
      <w:proofErr w:type="gramStart"/>
      <w:r w:rsidRPr="00BC0FF1">
        <w:rPr>
          <w:rFonts w:ascii="Arial" w:hAnsi="Arial"/>
          <w:i/>
          <w:iCs/>
        </w:rPr>
        <w:t>Security</w:t>
      </w:r>
      <w:r w:rsidRPr="00BC0FF1">
        <w:rPr>
          <w:rFonts w:ascii="Arial" w:hAnsi="Arial"/>
        </w:rPr>
        <w:t>:par.</w:t>
      </w:r>
      <w:proofErr w:type="gramEnd"/>
      <w:r w:rsidRPr="00BC0FF1">
        <w:rPr>
          <w:rFonts w:ascii="Arial" w:hAnsi="Arial"/>
        </w:rPr>
        <w:t>230.</w:t>
      </w:r>
    </w:p>
  </w:footnote>
  <w:footnote w:id="325">
    <w:p w14:paraId="61A99964" w14:textId="3665D293" w:rsidR="00BB7375" w:rsidRPr="00BC0FF1" w:rsidRDefault="00BB7375" w:rsidP="00A530CA">
      <w:pPr>
        <w:pStyle w:val="FootnoteText"/>
        <w:ind w:left="510" w:hanging="510"/>
        <w:rPr>
          <w:rFonts w:ascii="Arial" w:hAnsi="Arial"/>
        </w:rPr>
      </w:pPr>
      <w:r w:rsidRPr="00BC0FF1">
        <w:rPr>
          <w:rStyle w:val="FootnoteReference"/>
          <w:rFonts w:ascii="Arial" w:hAnsi="Arial"/>
        </w:rPr>
        <w:footnoteRef/>
      </w:r>
      <w:r w:rsidRPr="00BC0FF1">
        <w:rPr>
          <w:rFonts w:ascii="Arial" w:hAnsi="Arial"/>
        </w:rPr>
        <w:t xml:space="preserve"> </w:t>
      </w:r>
      <w:r w:rsidR="00A530CA">
        <w:rPr>
          <w:rFonts w:ascii="Arial" w:hAnsi="Arial"/>
        </w:rPr>
        <w:t xml:space="preserve">   </w:t>
      </w:r>
      <w:r w:rsidRPr="00BC0FF1">
        <w:rPr>
          <w:rFonts w:ascii="Arial" w:hAnsi="Arial"/>
          <w:i/>
          <w:iCs/>
        </w:rPr>
        <w:t xml:space="preserve">Solidarity and Others v Department of Correctional Services and Others </w:t>
      </w:r>
      <w:r w:rsidRPr="00BC0FF1">
        <w:rPr>
          <w:rFonts w:ascii="Arial" w:hAnsi="Arial"/>
        </w:rPr>
        <w:t>(CCT 78/15) [2016</w:t>
      </w:r>
      <w:proofErr w:type="gramStart"/>
      <w:r w:rsidRPr="00BC0FF1">
        <w:rPr>
          <w:rFonts w:ascii="Arial" w:hAnsi="Arial"/>
        </w:rPr>
        <w:t xml:space="preserve">] </w:t>
      </w:r>
      <w:r w:rsidR="00A530CA">
        <w:rPr>
          <w:rFonts w:ascii="Arial" w:hAnsi="Arial"/>
        </w:rPr>
        <w:t xml:space="preserve"> </w:t>
      </w:r>
      <w:r w:rsidRPr="00BC0FF1">
        <w:rPr>
          <w:rFonts w:ascii="Arial" w:hAnsi="Arial"/>
        </w:rPr>
        <w:t>ZACC</w:t>
      </w:r>
      <w:proofErr w:type="gramEnd"/>
      <w:r w:rsidRPr="00BC0FF1">
        <w:rPr>
          <w:rFonts w:ascii="Arial" w:hAnsi="Arial"/>
        </w:rPr>
        <w:t xml:space="preserve"> 18:par.74.</w:t>
      </w:r>
    </w:p>
    <w:p w14:paraId="426E7B80" w14:textId="77777777" w:rsidR="00BB7375" w:rsidRPr="00BC0FF1" w:rsidRDefault="00BB7375" w:rsidP="00BB7375">
      <w:pPr>
        <w:pStyle w:val="FootnoteText"/>
        <w:rPr>
          <w:rFonts w:ascii="Arial" w:hAnsi="Arial"/>
        </w:rPr>
      </w:pPr>
    </w:p>
  </w:footnote>
  <w:footnote w:id="326">
    <w:p w14:paraId="2384C61A" w14:textId="77777777" w:rsidR="00BB7375" w:rsidRPr="00BC0FF1" w:rsidRDefault="00BB7375" w:rsidP="00A530CA">
      <w:pPr>
        <w:pStyle w:val="FootnoteText"/>
        <w:ind w:left="454" w:hanging="454"/>
        <w:rPr>
          <w:rFonts w:ascii="Arial" w:hAnsi="Arial"/>
          <w:lang w:val="en-ZA"/>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Solidarity and Others v. Department of Corrections Services and Others</w:t>
      </w:r>
      <w:r w:rsidRPr="00BC0FF1">
        <w:rPr>
          <w:rFonts w:ascii="Arial" w:hAnsi="Arial"/>
        </w:rPr>
        <w:t xml:space="preserve"> (CCT 78/15) [2016] ZACC 18.</w:t>
      </w:r>
    </w:p>
  </w:footnote>
  <w:footnote w:id="327">
    <w:p w14:paraId="37B09CCD" w14:textId="47679389"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Pretorius 2001: 411; </w:t>
      </w:r>
      <w:bookmarkStart w:id="183" w:name="_Hlk183967347"/>
      <w:r w:rsidRPr="00BC0FF1">
        <w:rPr>
          <w:rFonts w:ascii="Arial" w:hAnsi="Arial"/>
          <w:i/>
          <w:iCs/>
        </w:rPr>
        <w:t>Tomen v Ontario Teachers’ Federation</w:t>
      </w:r>
      <w:r w:rsidRPr="00BC0FF1">
        <w:rPr>
          <w:rFonts w:ascii="Arial" w:hAnsi="Arial"/>
        </w:rPr>
        <w:t xml:space="preserve"> (1995) 95 CLLC 145</w:t>
      </w:r>
      <w:bookmarkEnd w:id="183"/>
      <w:r w:rsidRPr="00BC0FF1">
        <w:rPr>
          <w:rFonts w:ascii="Arial" w:hAnsi="Arial"/>
        </w:rPr>
        <w:t>: 182.</w:t>
      </w:r>
    </w:p>
  </w:footnote>
  <w:footnote w:id="328">
    <w:p w14:paraId="0D7C37A5"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George v Liberty Life Association of Africa Ltd</w:t>
      </w:r>
      <w:r w:rsidRPr="00BC0FF1">
        <w:rPr>
          <w:rFonts w:ascii="Arial" w:hAnsi="Arial"/>
        </w:rPr>
        <w:t xml:space="preserve"> (1996)17 ILJ 871 (LC): 592-593.</w:t>
      </w:r>
    </w:p>
  </w:footnote>
  <w:footnote w:id="329">
    <w:p w14:paraId="716F803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84" w:name="_Hlk183967360"/>
      <w:r w:rsidRPr="00BC0FF1">
        <w:rPr>
          <w:rFonts w:ascii="Arial" w:hAnsi="Arial"/>
          <w:i/>
          <w:iCs/>
        </w:rPr>
        <w:t xml:space="preserve">UNISA v </w:t>
      </w:r>
      <w:proofErr w:type="spellStart"/>
      <w:r w:rsidRPr="00BC0FF1">
        <w:rPr>
          <w:rFonts w:ascii="Arial" w:hAnsi="Arial"/>
          <w:i/>
          <w:iCs/>
        </w:rPr>
        <w:t>Reynhardt</w:t>
      </w:r>
      <w:proofErr w:type="spellEnd"/>
      <w:r w:rsidRPr="00BC0FF1">
        <w:rPr>
          <w:rFonts w:ascii="Arial" w:hAnsi="Arial"/>
        </w:rPr>
        <w:t xml:space="preserve"> [2010] 12 BLLR 1272 (LAC).</w:t>
      </w:r>
      <w:bookmarkEnd w:id="184"/>
    </w:p>
  </w:footnote>
  <w:footnote w:id="330">
    <w:p w14:paraId="5D97B96A"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Mcgregor</w:t>
      </w:r>
      <w:proofErr w:type="spellEnd"/>
      <w:r w:rsidRPr="00BC0FF1">
        <w:rPr>
          <w:rFonts w:ascii="Arial" w:hAnsi="Arial"/>
        </w:rPr>
        <w:t xml:space="preserve"> 2006:</w:t>
      </w:r>
      <w:r w:rsidRPr="00BC0FF1">
        <w:rPr>
          <w:rFonts w:ascii="Arial" w:hAnsi="Arial"/>
          <w:i/>
          <w:iCs/>
        </w:rPr>
        <w:t> </w:t>
      </w:r>
      <w:r w:rsidRPr="00BC0FF1">
        <w:rPr>
          <w:rFonts w:ascii="Arial" w:hAnsi="Arial"/>
        </w:rPr>
        <w:t xml:space="preserve">19. </w:t>
      </w:r>
      <w:r w:rsidRPr="00BC0FF1">
        <w:rPr>
          <w:rFonts w:ascii="Arial" w:hAnsi="Arial"/>
          <w:i/>
          <w:iCs/>
        </w:rPr>
        <w:t xml:space="preserve">UNISA v </w:t>
      </w:r>
      <w:proofErr w:type="spellStart"/>
      <w:r w:rsidRPr="00BC0FF1">
        <w:rPr>
          <w:rFonts w:ascii="Arial" w:hAnsi="Arial"/>
          <w:i/>
          <w:iCs/>
        </w:rPr>
        <w:t>Reynhardt</w:t>
      </w:r>
      <w:proofErr w:type="spellEnd"/>
      <w:r w:rsidRPr="00BC0FF1">
        <w:rPr>
          <w:rFonts w:ascii="Arial" w:hAnsi="Arial"/>
          <w:i/>
          <w:iCs/>
        </w:rPr>
        <w:t>.</w:t>
      </w:r>
    </w:p>
  </w:footnote>
  <w:footnote w:id="331">
    <w:p w14:paraId="20B1111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Willemse v </w:t>
      </w:r>
      <w:proofErr w:type="spellStart"/>
      <w:r w:rsidRPr="00BC0FF1">
        <w:rPr>
          <w:rFonts w:ascii="Arial" w:hAnsi="Arial"/>
          <w:i/>
          <w:iCs/>
        </w:rPr>
        <w:t>Patelia</w:t>
      </w:r>
      <w:proofErr w:type="spellEnd"/>
      <w:r w:rsidRPr="00BC0FF1">
        <w:rPr>
          <w:rFonts w:ascii="Arial" w:hAnsi="Arial"/>
        </w:rPr>
        <w:t> 2007 28 ILJ 428 (LC).</w:t>
      </w:r>
    </w:p>
  </w:footnote>
  <w:footnote w:id="332">
    <w:p w14:paraId="43EA7E2B"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Willemse v </w:t>
      </w:r>
      <w:proofErr w:type="spellStart"/>
      <w:r w:rsidRPr="00BC0FF1">
        <w:rPr>
          <w:rFonts w:ascii="Arial" w:hAnsi="Arial"/>
          <w:i/>
          <w:iCs/>
        </w:rPr>
        <w:t>Patelia</w:t>
      </w:r>
      <w:proofErr w:type="spellEnd"/>
      <w:r w:rsidRPr="00BC0FF1">
        <w:rPr>
          <w:rFonts w:ascii="Arial" w:hAnsi="Arial"/>
        </w:rPr>
        <w:t>: par.50.</w:t>
      </w:r>
    </w:p>
  </w:footnote>
  <w:footnote w:id="333">
    <w:p w14:paraId="15F7226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McGregor 2003: 166.</w:t>
      </w:r>
    </w:p>
  </w:footnote>
  <w:footnote w:id="334">
    <w:p w14:paraId="44EF505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Dupper 2004:262.</w:t>
      </w:r>
    </w:p>
  </w:footnote>
  <w:footnote w:id="335">
    <w:p w14:paraId="2BE8DBD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Employment Equity </w:t>
      </w:r>
      <w:proofErr w:type="gramStart"/>
      <w:r w:rsidRPr="00BC0FF1">
        <w:rPr>
          <w:rFonts w:ascii="Arial" w:hAnsi="Arial"/>
          <w:i/>
          <w:iCs/>
        </w:rPr>
        <w:t>Act</w:t>
      </w:r>
      <w:r w:rsidRPr="00BC0FF1">
        <w:rPr>
          <w:rFonts w:ascii="Arial" w:hAnsi="Arial"/>
        </w:rPr>
        <w:t>:sec.</w:t>
      </w:r>
      <w:proofErr w:type="gramEnd"/>
      <w:r w:rsidRPr="00BC0FF1">
        <w:rPr>
          <w:rFonts w:ascii="Arial" w:hAnsi="Arial"/>
        </w:rPr>
        <w:t>15(1)(a).</w:t>
      </w:r>
    </w:p>
  </w:footnote>
  <w:footnote w:id="336">
    <w:p w14:paraId="4ACE2B6D" w14:textId="6B93D5A5" w:rsidR="00BB7375" w:rsidRPr="00BC0FF1" w:rsidRDefault="00BB7375" w:rsidP="00BC0FF1">
      <w:pPr>
        <w:pStyle w:val="FootnoteText"/>
        <w:ind w:left="397" w:hanging="397"/>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Solidarity obo Pretorius v City of Tshwane Metropolitan Municipality and Another</w:t>
      </w:r>
      <w:r w:rsidRPr="00BC0FF1">
        <w:rPr>
          <w:rFonts w:ascii="Arial" w:hAnsi="Arial"/>
        </w:rPr>
        <w:t xml:space="preserve"> (JS523/2014) [2016] ZALCJHB 155.</w:t>
      </w:r>
    </w:p>
  </w:footnote>
  <w:footnote w:id="337">
    <w:p w14:paraId="6264D81A"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86" w:name="_Hlk183967397"/>
      <w:r w:rsidRPr="00BC0FF1">
        <w:rPr>
          <w:rFonts w:ascii="Arial" w:hAnsi="Arial"/>
          <w:i/>
          <w:iCs/>
        </w:rPr>
        <w:t>MWU obo van Coller v Eskom</w:t>
      </w:r>
      <w:r w:rsidRPr="00BC0FF1">
        <w:rPr>
          <w:rFonts w:ascii="Arial" w:hAnsi="Arial"/>
        </w:rPr>
        <w:t xml:space="preserve"> [1998] 9 BALR 1089 (IMSSA</w:t>
      </w:r>
      <w:bookmarkEnd w:id="186"/>
      <w:r w:rsidRPr="00BC0FF1">
        <w:rPr>
          <w:rFonts w:ascii="Arial" w:hAnsi="Arial"/>
        </w:rPr>
        <w:t>): 1093E-F.</w:t>
      </w:r>
    </w:p>
  </w:footnote>
  <w:footnote w:id="338">
    <w:p w14:paraId="51C33FAD" w14:textId="5CD8CDC3"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87" w:name="_Hlk183967384"/>
      <w:r w:rsidRPr="00BC0FF1">
        <w:rPr>
          <w:rFonts w:ascii="Arial" w:hAnsi="Arial"/>
          <w:i/>
          <w:iCs/>
        </w:rPr>
        <w:t xml:space="preserve">NEHAWU obo </w:t>
      </w:r>
      <w:proofErr w:type="spellStart"/>
      <w:r w:rsidRPr="00BC0FF1">
        <w:rPr>
          <w:rFonts w:ascii="Arial" w:hAnsi="Arial"/>
          <w:i/>
          <w:iCs/>
        </w:rPr>
        <w:t>Manyana</w:t>
      </w:r>
      <w:proofErr w:type="spellEnd"/>
      <w:r w:rsidRPr="00BC0FF1">
        <w:rPr>
          <w:rFonts w:ascii="Arial" w:hAnsi="Arial"/>
          <w:i/>
          <w:iCs/>
        </w:rPr>
        <w:t xml:space="preserve"> and Another v </w:t>
      </w:r>
      <w:proofErr w:type="spellStart"/>
      <w:r w:rsidRPr="00BC0FF1">
        <w:rPr>
          <w:rFonts w:ascii="Arial" w:hAnsi="Arial"/>
          <w:i/>
          <w:iCs/>
        </w:rPr>
        <w:t>Masege</w:t>
      </w:r>
      <w:proofErr w:type="spellEnd"/>
      <w:r w:rsidRPr="00BC0FF1">
        <w:rPr>
          <w:rFonts w:ascii="Arial" w:hAnsi="Arial"/>
          <w:i/>
          <w:iCs/>
        </w:rPr>
        <w:t xml:space="preserve"> NO and Others</w:t>
      </w:r>
      <w:r w:rsidRPr="00BC0FF1">
        <w:rPr>
          <w:rFonts w:ascii="Arial" w:hAnsi="Arial"/>
        </w:rPr>
        <w:t xml:space="preserve"> (JR363/2012) [2014] ZALCJHB </w:t>
      </w:r>
      <w:r w:rsidR="00A530CA">
        <w:rPr>
          <w:rFonts w:ascii="Arial" w:hAnsi="Arial"/>
        </w:rPr>
        <w:t xml:space="preserve"> </w:t>
      </w:r>
      <w:r w:rsidRPr="00BC0FF1">
        <w:rPr>
          <w:rFonts w:ascii="Arial" w:hAnsi="Arial"/>
        </w:rPr>
        <w:t>124 (8 April 2014).</w:t>
      </w:r>
    </w:p>
    <w:p w14:paraId="4A6EAEB5" w14:textId="77777777" w:rsidR="00BB7375" w:rsidRPr="00BC0FF1" w:rsidRDefault="00BB7375" w:rsidP="00BB7375">
      <w:pPr>
        <w:pStyle w:val="FootnoteText"/>
        <w:rPr>
          <w:rFonts w:ascii="Arial" w:hAnsi="Arial"/>
        </w:rPr>
      </w:pPr>
    </w:p>
    <w:bookmarkEnd w:id="187"/>
  </w:footnote>
  <w:footnote w:id="339">
    <w:p w14:paraId="13312DF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lang w:val="en-ZA"/>
        </w:rPr>
        <w:t xml:space="preserve">South African Police Service v Solidarity obo </w:t>
      </w:r>
      <w:proofErr w:type="gramStart"/>
      <w:r w:rsidRPr="00BC0FF1">
        <w:rPr>
          <w:rFonts w:ascii="Arial" w:hAnsi="Arial"/>
          <w:i/>
          <w:iCs/>
          <w:lang w:val="en-ZA"/>
        </w:rPr>
        <w:t>Barnard</w:t>
      </w:r>
      <w:r w:rsidRPr="00BC0FF1">
        <w:rPr>
          <w:rFonts w:ascii="Arial" w:hAnsi="Arial"/>
        </w:rPr>
        <w:t>:par.</w:t>
      </w:r>
      <w:proofErr w:type="gramEnd"/>
      <w:r w:rsidRPr="00BC0FF1">
        <w:rPr>
          <w:rFonts w:ascii="Arial" w:hAnsi="Arial"/>
        </w:rPr>
        <w:t>37.</w:t>
      </w:r>
    </w:p>
  </w:footnote>
  <w:footnote w:id="340">
    <w:p w14:paraId="60BC6EB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91" w:name="_Hlk183527707"/>
      <w:r w:rsidRPr="00BC0FF1">
        <w:rPr>
          <w:rFonts w:ascii="Arial" w:hAnsi="Arial"/>
          <w:i/>
          <w:iCs/>
        </w:rPr>
        <w:t>Minister of Finance and Other v Van Heerden</w:t>
      </w:r>
      <w:bookmarkEnd w:id="191"/>
      <w:r w:rsidRPr="00BC0FF1">
        <w:rPr>
          <w:rFonts w:ascii="Arial" w:hAnsi="Arial"/>
        </w:rPr>
        <w:t>: par.37.</w:t>
      </w:r>
    </w:p>
  </w:footnote>
  <w:footnote w:id="341">
    <w:p w14:paraId="37F109A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Finance and Other v Van Heerden</w:t>
      </w:r>
      <w:r w:rsidRPr="00BC0FF1">
        <w:rPr>
          <w:rFonts w:ascii="Arial" w:hAnsi="Arial"/>
        </w:rPr>
        <w:t>: par.73.</w:t>
      </w:r>
    </w:p>
  </w:footnote>
  <w:footnote w:id="342">
    <w:p w14:paraId="350B051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Minister of Finance and Other v Van Heerden</w:t>
      </w:r>
      <w:r w:rsidRPr="00BC0FF1">
        <w:rPr>
          <w:rFonts w:ascii="Arial" w:hAnsi="Arial"/>
        </w:rPr>
        <w:t>: par.33.</w:t>
      </w:r>
    </w:p>
  </w:footnote>
  <w:footnote w:id="343">
    <w:p w14:paraId="02CFCFA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Vos 2000:438.</w:t>
      </w:r>
    </w:p>
  </w:footnote>
  <w:footnote w:id="344">
    <w:p w14:paraId="795EE4C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38.</w:t>
      </w:r>
    </w:p>
  </w:footnote>
  <w:footnote w:id="345">
    <w:p w14:paraId="487BAAB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39.</w:t>
      </w:r>
    </w:p>
  </w:footnote>
  <w:footnote w:id="346">
    <w:p w14:paraId="4B50379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Dupper 2008:425-444.</w:t>
      </w:r>
    </w:p>
  </w:footnote>
  <w:footnote w:id="347">
    <w:p w14:paraId="5F70ABC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39.</w:t>
      </w:r>
    </w:p>
  </w:footnote>
  <w:footnote w:id="348">
    <w:p w14:paraId="007A3BE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93" w:name="_Hlk183967437"/>
      <w:r w:rsidRPr="00BC0FF1">
        <w:rPr>
          <w:rFonts w:ascii="Arial" w:hAnsi="Arial"/>
          <w:i/>
          <w:iCs/>
        </w:rPr>
        <w:t>Thibaudeau v Canada</w:t>
      </w:r>
      <w:r w:rsidRPr="00BC0FF1">
        <w:rPr>
          <w:rFonts w:ascii="Arial" w:hAnsi="Arial"/>
        </w:rPr>
        <w:t xml:space="preserve"> [1995] 2 SCR 627.</w:t>
      </w:r>
      <w:bookmarkEnd w:id="193"/>
    </w:p>
  </w:footnote>
  <w:footnote w:id="349">
    <w:p w14:paraId="6C57A04B"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39.</w:t>
      </w:r>
    </w:p>
  </w:footnote>
  <w:footnote w:id="350">
    <w:p w14:paraId="78AD459F"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41.</w:t>
      </w:r>
    </w:p>
  </w:footnote>
  <w:footnote w:id="351">
    <w:p w14:paraId="2A54CB3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41.</w:t>
      </w:r>
    </w:p>
  </w:footnote>
  <w:footnote w:id="352">
    <w:p w14:paraId="1203D5F8" w14:textId="0DA2A32B"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195" w:name="_Hlk183967426"/>
      <w:r w:rsidRPr="00BC0FF1">
        <w:rPr>
          <w:rFonts w:ascii="Arial" w:hAnsi="Arial"/>
          <w:i/>
          <w:iCs/>
        </w:rPr>
        <w:t>Jooste v Score Supermarket Trading (Pty) Ltd</w:t>
      </w:r>
      <w:r w:rsidRPr="00BC0FF1">
        <w:rPr>
          <w:rFonts w:ascii="Arial" w:hAnsi="Arial"/>
        </w:rPr>
        <w:t> </w:t>
      </w:r>
      <w:hyperlink r:id="rId2" w:tooltip="View Case" w:history="1">
        <w:r w:rsidRPr="00BC0FF1">
          <w:rPr>
            <w:rStyle w:val="Hyperlink"/>
            <w:rFonts w:ascii="Arial" w:hAnsi="Arial"/>
          </w:rPr>
          <w:t>[</w:t>
        </w:r>
        <w:r w:rsidRPr="00BC0FF1">
          <w:rPr>
            <w:rStyle w:val="Hyperlink"/>
            <w:rFonts w:ascii="Arial" w:hAnsi="Arial"/>
            <w:color w:val="auto"/>
            <w:u w:val="none"/>
          </w:rPr>
          <w:t>1998] ZACC 18</w:t>
        </w:r>
      </w:hyperlink>
      <w:bookmarkEnd w:id="195"/>
      <w:r w:rsidRPr="00BC0FF1">
        <w:rPr>
          <w:rFonts w:ascii="Arial" w:hAnsi="Arial"/>
        </w:rPr>
        <w:t>; par.16;</w:t>
      </w:r>
      <w:r w:rsidRPr="00BC0FF1">
        <w:rPr>
          <w:rFonts w:ascii="Arial" w:hAnsi="Arial"/>
          <w:i/>
          <w:iCs/>
        </w:rPr>
        <w:t xml:space="preserve"> Minister of Finance and </w:t>
      </w:r>
      <w:r w:rsidR="00A530CA">
        <w:rPr>
          <w:rFonts w:ascii="Arial" w:hAnsi="Arial"/>
          <w:i/>
          <w:iCs/>
        </w:rPr>
        <w:t xml:space="preserve"> </w:t>
      </w:r>
      <w:r w:rsidRPr="00BC0FF1">
        <w:rPr>
          <w:rFonts w:ascii="Arial" w:hAnsi="Arial"/>
          <w:i/>
          <w:iCs/>
        </w:rPr>
        <w:t>Other v Van Heerden</w:t>
      </w:r>
      <w:r w:rsidRPr="00BC0FF1">
        <w:rPr>
          <w:rFonts w:ascii="Arial" w:hAnsi="Arial"/>
        </w:rPr>
        <w:t>:par.41.</w:t>
      </w:r>
    </w:p>
  </w:footnote>
  <w:footnote w:id="353">
    <w:p w14:paraId="3834434A" w14:textId="474F6957"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Public Servants Association of South Africa and Others v Minister of Justice and Others </w:t>
      </w:r>
      <w:hyperlink r:id="rId3" w:tooltip="View LawCiteRecord" w:history="1">
        <w:r w:rsidRPr="00BC0FF1">
          <w:rPr>
            <w:rStyle w:val="Hyperlink"/>
            <w:rFonts w:ascii="Arial" w:hAnsi="Arial"/>
            <w:color w:val="auto"/>
            <w:u w:val="none"/>
          </w:rPr>
          <w:t>1997 (3) SA 925</w:t>
        </w:r>
      </w:hyperlink>
      <w:r w:rsidRPr="00BC0FF1">
        <w:rPr>
          <w:rFonts w:ascii="Arial" w:hAnsi="Arial"/>
        </w:rPr>
        <w:t>:989A-B.</w:t>
      </w:r>
    </w:p>
  </w:footnote>
  <w:footnote w:id="354">
    <w:p w14:paraId="48065090" w14:textId="423516A5"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00A530CA">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42.</w:t>
      </w:r>
    </w:p>
  </w:footnote>
  <w:footnote w:id="355">
    <w:p w14:paraId="354D869F" w14:textId="77777777" w:rsidR="00BB7375" w:rsidRPr="00BC0FF1" w:rsidRDefault="00BB7375" w:rsidP="00BB7375">
      <w:pPr>
        <w:pStyle w:val="FootnoteText"/>
        <w:rPr>
          <w:rFonts w:ascii="Arial" w:hAnsi="Arial"/>
          <w:lang w:val="en-ZA"/>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South African Police Service v Solidarity obo Barnard</w:t>
      </w:r>
      <w:r w:rsidRPr="00BC0FF1">
        <w:rPr>
          <w:rFonts w:ascii="Arial" w:hAnsi="Arial"/>
        </w:rPr>
        <w:t xml:space="preserve"> (CCT 01/14) [2014] ZACC </w:t>
      </w:r>
      <w:proofErr w:type="gramStart"/>
      <w:r w:rsidRPr="00BC0FF1">
        <w:rPr>
          <w:rFonts w:ascii="Arial" w:hAnsi="Arial"/>
        </w:rPr>
        <w:t>23:par.</w:t>
      </w:r>
      <w:proofErr w:type="gramEnd"/>
      <w:r w:rsidRPr="00BC0FF1">
        <w:rPr>
          <w:rFonts w:ascii="Arial" w:hAnsi="Arial"/>
        </w:rPr>
        <w:t>186.</w:t>
      </w:r>
    </w:p>
  </w:footnote>
  <w:footnote w:id="356">
    <w:p w14:paraId="7A324139" w14:textId="127C5988"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Solidarity and Others v Department of Correctional Services and Others</w:t>
      </w:r>
      <w:r w:rsidRPr="00BC0FF1">
        <w:rPr>
          <w:rFonts w:ascii="Arial" w:hAnsi="Arial"/>
        </w:rPr>
        <w:t xml:space="preserve"> (CCT 78/15) [2016] ZACC </w:t>
      </w:r>
      <w:proofErr w:type="gramStart"/>
      <w:r w:rsidRPr="00BC0FF1">
        <w:rPr>
          <w:rFonts w:ascii="Arial" w:hAnsi="Arial"/>
        </w:rPr>
        <w:t>18:par.</w:t>
      </w:r>
      <w:proofErr w:type="gramEnd"/>
      <w:r w:rsidRPr="00BC0FF1">
        <w:rPr>
          <w:rFonts w:ascii="Arial" w:hAnsi="Arial"/>
        </w:rPr>
        <w:t>116.</w:t>
      </w:r>
    </w:p>
  </w:footnote>
  <w:footnote w:id="357">
    <w:p w14:paraId="74FD222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44.</w:t>
      </w:r>
    </w:p>
  </w:footnote>
  <w:footnote w:id="358">
    <w:p w14:paraId="2E13916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i/>
          <w:iCs/>
        </w:rPr>
        <w:t>Constitution</w:t>
      </w:r>
      <w:r w:rsidRPr="00BC0FF1">
        <w:rPr>
          <w:rFonts w:ascii="Arial" w:hAnsi="Arial"/>
        </w:rPr>
        <w:t>:sec.</w:t>
      </w:r>
      <w:proofErr w:type="gramEnd"/>
      <w:r w:rsidRPr="00BC0FF1">
        <w:rPr>
          <w:rFonts w:ascii="Arial" w:hAnsi="Arial"/>
        </w:rPr>
        <w:t>1.</w:t>
      </w:r>
    </w:p>
  </w:footnote>
  <w:footnote w:id="359">
    <w:p w14:paraId="3FBECE0D" w14:textId="478379B1" w:rsidR="00BB7375" w:rsidRPr="00BC0FF1" w:rsidRDefault="00BB7375" w:rsidP="00BB7375">
      <w:pPr>
        <w:pStyle w:val="FootnoteText"/>
        <w:ind w:left="397" w:hanging="397"/>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00A530CA">
        <w:rPr>
          <w:rFonts w:ascii="Arial" w:hAnsi="Arial"/>
        </w:rPr>
        <w:t xml:space="preserve"> </w:t>
      </w:r>
      <w:r w:rsidRPr="00BC0FF1">
        <w:rPr>
          <w:rFonts w:ascii="Arial" w:hAnsi="Arial"/>
          <w:i/>
          <w:iCs/>
        </w:rPr>
        <w:t>Bato Star Fishing (Pty) Ltd v Minister of Environmental Affairs and Tourism and Others</w:t>
      </w:r>
      <w:r w:rsidRPr="00BC0FF1">
        <w:rPr>
          <w:rFonts w:ascii="Arial" w:hAnsi="Arial"/>
        </w:rPr>
        <w:t xml:space="preserve"> (CCT 27/03) [2004] ZACC </w:t>
      </w:r>
      <w:proofErr w:type="gramStart"/>
      <w:r w:rsidRPr="00BC0FF1">
        <w:rPr>
          <w:rFonts w:ascii="Arial" w:hAnsi="Arial"/>
        </w:rPr>
        <w:t>15:par.</w:t>
      </w:r>
      <w:proofErr w:type="gramEnd"/>
      <w:r w:rsidRPr="00BC0FF1">
        <w:rPr>
          <w:rFonts w:ascii="Arial" w:hAnsi="Arial"/>
        </w:rPr>
        <w:t>76.</w:t>
      </w:r>
    </w:p>
    <w:p w14:paraId="15F39F31" w14:textId="77777777" w:rsidR="00BB7375" w:rsidRPr="00BC0FF1" w:rsidRDefault="00BB7375" w:rsidP="00BB7375">
      <w:pPr>
        <w:pStyle w:val="FootnoteText"/>
        <w:rPr>
          <w:rFonts w:ascii="Arial" w:hAnsi="Arial"/>
        </w:rPr>
      </w:pPr>
    </w:p>
  </w:footnote>
  <w:footnote w:id="360">
    <w:p w14:paraId="3E2EE5C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152.</w:t>
      </w:r>
    </w:p>
  </w:footnote>
  <w:footnote w:id="361">
    <w:p w14:paraId="2832E2D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De Vos 2000:441.</w:t>
      </w:r>
    </w:p>
  </w:footnote>
  <w:footnote w:id="362">
    <w:p w14:paraId="025E1AA9" w14:textId="1310807E"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South African Police Service v Solidarity obo </w:t>
      </w:r>
      <w:proofErr w:type="gramStart"/>
      <w:r w:rsidRPr="00BC0FF1">
        <w:rPr>
          <w:rFonts w:ascii="Arial" w:hAnsi="Arial"/>
          <w:i/>
          <w:iCs/>
        </w:rPr>
        <w:t>Barnard</w:t>
      </w:r>
      <w:r w:rsidRPr="00BC0FF1">
        <w:rPr>
          <w:rFonts w:ascii="Arial" w:hAnsi="Arial"/>
        </w:rPr>
        <w:t>:par.</w:t>
      </w:r>
      <w:proofErr w:type="gramEnd"/>
      <w:r w:rsidRPr="00BC0FF1">
        <w:rPr>
          <w:rFonts w:ascii="Arial" w:hAnsi="Arial"/>
        </w:rPr>
        <w:t>30.</w:t>
      </w:r>
    </w:p>
  </w:footnote>
  <w:footnote w:id="363">
    <w:p w14:paraId="6F31718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South African Police Service v Solidarity obo </w:t>
      </w:r>
      <w:proofErr w:type="gramStart"/>
      <w:r w:rsidRPr="00BC0FF1">
        <w:rPr>
          <w:rFonts w:ascii="Arial" w:hAnsi="Arial"/>
          <w:i/>
          <w:iCs/>
        </w:rPr>
        <w:t>Barnard</w:t>
      </w:r>
      <w:r w:rsidRPr="00BC0FF1">
        <w:rPr>
          <w:rFonts w:ascii="Arial" w:hAnsi="Arial"/>
        </w:rPr>
        <w:t>:par.</w:t>
      </w:r>
      <w:proofErr w:type="gramEnd"/>
      <w:r w:rsidRPr="00BC0FF1">
        <w:rPr>
          <w:rFonts w:ascii="Arial" w:hAnsi="Arial"/>
        </w:rPr>
        <w:t>30.</w:t>
      </w:r>
    </w:p>
  </w:footnote>
  <w:footnote w:id="364">
    <w:p w14:paraId="56DD215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City Council of Pretoria v. Walker 1997 (6) BCLR 708 (CC): par.123.</w:t>
      </w:r>
    </w:p>
  </w:footnote>
  <w:footnote w:id="365">
    <w:p w14:paraId="7C55A4C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2001: 18.</w:t>
      </w:r>
    </w:p>
  </w:footnote>
  <w:footnote w:id="366">
    <w:p w14:paraId="7C9E744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2001:411.</w:t>
      </w:r>
    </w:p>
  </w:footnote>
  <w:footnote w:id="367">
    <w:p w14:paraId="65DEAA1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Chaskalson, Kentridge, </w:t>
      </w:r>
      <w:proofErr w:type="spellStart"/>
      <w:r w:rsidRPr="00BC0FF1">
        <w:rPr>
          <w:rFonts w:ascii="Arial" w:hAnsi="Arial"/>
        </w:rPr>
        <w:t>Klaaren</w:t>
      </w:r>
      <w:proofErr w:type="spellEnd"/>
      <w:r w:rsidRPr="00BC0FF1">
        <w:rPr>
          <w:rFonts w:ascii="Arial" w:hAnsi="Arial"/>
        </w:rPr>
        <w:t>, Marcus, Spitz &amp; Woolman 1997:14-59.</w:t>
      </w:r>
    </w:p>
  </w:footnote>
  <w:footnote w:id="368">
    <w:p w14:paraId="2A2F40E5"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149.</w:t>
      </w:r>
    </w:p>
  </w:footnote>
  <w:footnote w:id="369">
    <w:p w14:paraId="71D9483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and Other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149.</w:t>
      </w:r>
    </w:p>
  </w:footnote>
  <w:footnote w:id="370">
    <w:p w14:paraId="37B33FB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201" w:name="_Hlk183967476"/>
      <w:r w:rsidRPr="00BC0FF1">
        <w:rPr>
          <w:rFonts w:ascii="Arial" w:hAnsi="Arial"/>
          <w:i/>
          <w:iCs/>
        </w:rPr>
        <w:t>McInnes v Technikon Natal</w:t>
      </w:r>
      <w:r w:rsidRPr="00BC0FF1">
        <w:rPr>
          <w:rFonts w:ascii="Arial" w:hAnsi="Arial"/>
        </w:rPr>
        <w:t xml:space="preserve"> (D322/98) [2000] ZALC 152 (1 March 2000</w:t>
      </w:r>
      <w:proofErr w:type="gramStart"/>
      <w:r w:rsidRPr="00BC0FF1">
        <w:rPr>
          <w:rFonts w:ascii="Arial" w:hAnsi="Arial"/>
        </w:rPr>
        <w:t>):</w:t>
      </w:r>
      <w:bookmarkEnd w:id="201"/>
      <w:r w:rsidRPr="00BC0FF1">
        <w:rPr>
          <w:rFonts w:ascii="Arial" w:hAnsi="Arial"/>
        </w:rPr>
        <w:t>par.</w:t>
      </w:r>
      <w:proofErr w:type="gramEnd"/>
      <w:r w:rsidRPr="00BC0FF1">
        <w:rPr>
          <w:rFonts w:ascii="Arial" w:hAnsi="Arial"/>
        </w:rPr>
        <w:t>33.</w:t>
      </w:r>
    </w:p>
  </w:footnote>
  <w:footnote w:id="371">
    <w:p w14:paraId="72A0271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Selig 1990:9.</w:t>
      </w:r>
    </w:p>
  </w:footnote>
  <w:footnote w:id="372">
    <w:p w14:paraId="16041F8A" w14:textId="6B7E9D5C" w:rsidR="00BB7375" w:rsidRPr="00BC0FF1" w:rsidRDefault="00BB7375" w:rsidP="00BC0FF1">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Public Servants Association of South Africa v Minister of Justice and Constitutional Development and </w:t>
      </w:r>
      <w:r w:rsidR="00BC0FF1" w:rsidRPr="00BC0FF1">
        <w:rPr>
          <w:rFonts w:ascii="Arial" w:hAnsi="Arial"/>
          <w:i/>
          <w:iCs/>
        </w:rPr>
        <w:t xml:space="preserve">  </w:t>
      </w:r>
      <w:r w:rsidRPr="00BC0FF1">
        <w:rPr>
          <w:rFonts w:ascii="Arial" w:hAnsi="Arial"/>
          <w:i/>
          <w:iCs/>
        </w:rPr>
        <w:t>Others</w:t>
      </w:r>
      <w:r w:rsidRPr="00BC0FF1">
        <w:rPr>
          <w:rFonts w:ascii="Arial" w:hAnsi="Arial"/>
        </w:rPr>
        <w:t xml:space="preserve"> (J3895/01) [2001] ZALC 148 (25 September 2001).</w:t>
      </w:r>
    </w:p>
  </w:footnote>
  <w:footnote w:id="373">
    <w:p w14:paraId="373AB41F" w14:textId="518A9EE6"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00BC0FF1" w:rsidRPr="00BC0FF1">
        <w:rPr>
          <w:rFonts w:ascii="Arial" w:hAnsi="Arial"/>
        </w:rPr>
        <w:tab/>
      </w:r>
      <w:r w:rsidRPr="00BC0FF1">
        <w:rPr>
          <w:rFonts w:ascii="Arial" w:hAnsi="Arial"/>
          <w:i/>
          <w:iCs/>
        </w:rPr>
        <w:t>Public Servants Association of South Africa and Others v Minister of Justice</w:t>
      </w:r>
      <w:r w:rsidRPr="00BC0FF1">
        <w:rPr>
          <w:rFonts w:ascii="Arial" w:hAnsi="Arial"/>
        </w:rPr>
        <w:t>:640H.</w:t>
      </w:r>
    </w:p>
  </w:footnote>
  <w:footnote w:id="374">
    <w:p w14:paraId="621CCB9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Public Servants Association of South Africa and Others v Minister of Justice</w:t>
      </w:r>
      <w:r w:rsidRPr="00BC0FF1">
        <w:rPr>
          <w:rFonts w:ascii="Arial" w:hAnsi="Arial"/>
        </w:rPr>
        <w:t>:643B-C.</w:t>
      </w:r>
    </w:p>
  </w:footnote>
  <w:footnote w:id="375">
    <w:p w14:paraId="05BA96BB"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MWU obo van Coller v Eskom</w:t>
      </w:r>
      <w:r w:rsidRPr="00BC0FF1">
        <w:rPr>
          <w:rFonts w:ascii="Arial" w:hAnsi="Arial"/>
        </w:rPr>
        <w:t xml:space="preserve"> [1998] 9 BALR 1089 (IMSSA):1093E-F.</w:t>
      </w:r>
    </w:p>
  </w:footnote>
  <w:footnote w:id="376">
    <w:p w14:paraId="62352C9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2010:537.</w:t>
      </w:r>
    </w:p>
  </w:footnote>
  <w:footnote w:id="377">
    <w:p w14:paraId="2CFD9B7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2010:537.</w:t>
      </w:r>
    </w:p>
  </w:footnote>
  <w:footnote w:id="378">
    <w:p w14:paraId="1841031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spellStart"/>
      <w:r w:rsidRPr="00BC0FF1">
        <w:rPr>
          <w:rFonts w:ascii="Arial" w:hAnsi="Arial"/>
        </w:rPr>
        <w:t>Mcgregor</w:t>
      </w:r>
      <w:proofErr w:type="spellEnd"/>
      <w:r w:rsidRPr="00BC0FF1">
        <w:rPr>
          <w:rFonts w:ascii="Arial" w:hAnsi="Arial"/>
        </w:rPr>
        <w:t xml:space="preserve"> 2013:655.</w:t>
      </w:r>
    </w:p>
  </w:footnote>
  <w:footnote w:id="379">
    <w:p w14:paraId="111F3B75"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2010: 537.</w:t>
      </w:r>
    </w:p>
  </w:footnote>
  <w:footnote w:id="380">
    <w:p w14:paraId="7638A54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203" w:name="_Hlk183560119"/>
      <w:r w:rsidRPr="00BC0FF1">
        <w:rPr>
          <w:rFonts w:ascii="Arial" w:hAnsi="Arial"/>
        </w:rPr>
        <w:t>Pretorius 2010:564.</w:t>
      </w:r>
    </w:p>
    <w:bookmarkEnd w:id="203"/>
  </w:footnote>
  <w:footnote w:id="381">
    <w:p w14:paraId="7629BAA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2010:564.</w:t>
      </w:r>
    </w:p>
  </w:footnote>
  <w:footnote w:id="382">
    <w:p w14:paraId="39EBAB6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2010:564.</w:t>
      </w:r>
    </w:p>
  </w:footnote>
  <w:footnote w:id="383">
    <w:p w14:paraId="211B9AE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McGregor 2013:656</w:t>
      </w:r>
    </w:p>
  </w:footnote>
  <w:footnote w:id="384">
    <w:p w14:paraId="3B12A63A"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McGregor 2013:656.</w:t>
      </w:r>
    </w:p>
  </w:footnote>
  <w:footnote w:id="385">
    <w:p w14:paraId="557FC0C8"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Pretorius:2013 40.</w:t>
      </w:r>
    </w:p>
  </w:footnote>
  <w:footnote w:id="386">
    <w:p w14:paraId="21139DF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2013:39-40.</w:t>
      </w:r>
    </w:p>
  </w:footnote>
  <w:footnote w:id="387">
    <w:p w14:paraId="089FB007" w14:textId="6EAF50F9"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r w:rsidR="00BC0FF1" w:rsidRPr="00BC0FF1">
        <w:rPr>
          <w:rFonts w:ascii="Arial" w:hAnsi="Arial"/>
        </w:rPr>
        <w:t>as</w:t>
      </w:r>
      <w:proofErr w:type="gramEnd"/>
      <w:r w:rsidRPr="00BC0FF1">
        <w:rPr>
          <w:rFonts w:ascii="Arial" w:hAnsi="Arial"/>
        </w:rPr>
        <w:t>.95-98</w:t>
      </w:r>
    </w:p>
  </w:footnote>
  <w:footnote w:id="388">
    <w:p w14:paraId="71309ED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204" w:name="_Hlk183561519"/>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94.</w:t>
      </w:r>
      <w:bookmarkEnd w:id="204"/>
    </w:p>
  </w:footnote>
  <w:footnote w:id="389">
    <w:p w14:paraId="714B3F1A" w14:textId="78E39212"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r w:rsidR="00BC0FF1" w:rsidRPr="00BC0FF1">
        <w:rPr>
          <w:rFonts w:ascii="Arial" w:hAnsi="Arial"/>
        </w:rPr>
        <w:t>as</w:t>
      </w:r>
      <w:proofErr w:type="gramEnd"/>
      <w:r w:rsidRPr="00BC0FF1">
        <w:rPr>
          <w:rFonts w:ascii="Arial" w:hAnsi="Arial"/>
        </w:rPr>
        <w:t>.94,141.</w:t>
      </w:r>
    </w:p>
  </w:footnote>
  <w:footnote w:id="390">
    <w:p w14:paraId="6EC0B8E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96.</w:t>
      </w:r>
    </w:p>
  </w:footnote>
  <w:footnote w:id="391">
    <w:p w14:paraId="7282B535"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141.</w:t>
      </w:r>
    </w:p>
  </w:footnote>
  <w:footnote w:id="392">
    <w:p w14:paraId="1B6EA81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98.</w:t>
      </w:r>
    </w:p>
  </w:footnote>
  <w:footnote w:id="393">
    <w:p w14:paraId="7F345618" w14:textId="284E2CEF" w:rsidR="00BB7375" w:rsidRPr="00BC0FF1" w:rsidRDefault="00BB7375" w:rsidP="00BB7375">
      <w:pPr>
        <w:pStyle w:val="FootnoteText"/>
        <w:rPr>
          <w:rFonts w:ascii="Arial" w:hAnsi="Arial"/>
        </w:rPr>
      </w:pPr>
      <w:r w:rsidRPr="00BC0FF1">
        <w:rPr>
          <w:rStyle w:val="FootnoteReference"/>
          <w:rFonts w:ascii="Arial" w:hAnsi="Arial"/>
        </w:rPr>
        <w:footnoteRef/>
      </w:r>
      <w:r w:rsidR="00A530CA">
        <w:rPr>
          <w:rFonts w:ascii="Arial" w:hAnsi="Arial"/>
        </w:rPr>
        <w:t xml:space="preserve"> </w:t>
      </w:r>
      <w:r w:rsidR="00A530CA">
        <w:rPr>
          <w:rFonts w:ascii="Arial" w:hAnsi="Arial"/>
        </w:rPr>
        <w:tab/>
      </w:r>
      <w:r w:rsidRPr="00BC0FF1">
        <w:rPr>
          <w:rFonts w:ascii="Arial" w:hAnsi="Arial"/>
        </w:rPr>
        <w:t>Pretorius 2001:415.</w:t>
      </w:r>
    </w:p>
  </w:footnote>
  <w:footnote w:id="394">
    <w:p w14:paraId="15D7D6B3" w14:textId="3277EAD7"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00A530CA">
        <w:rPr>
          <w:rFonts w:ascii="Arial" w:hAnsi="Arial"/>
        </w:rPr>
        <w:t xml:space="preserve">   </w:t>
      </w:r>
      <w:r w:rsidRPr="00BC0FF1">
        <w:rPr>
          <w:rFonts w:ascii="Arial" w:hAnsi="Arial"/>
          <w:i/>
          <w:iCs/>
        </w:rPr>
        <w:t>Bato Star</w:t>
      </w:r>
      <w:r w:rsidRPr="00BC0FF1">
        <w:rPr>
          <w:rFonts w:ascii="Arial" w:hAnsi="Arial"/>
        </w:rPr>
        <w:t> </w:t>
      </w:r>
      <w:r w:rsidRPr="00BC0FF1">
        <w:rPr>
          <w:rFonts w:ascii="Arial" w:hAnsi="Arial"/>
          <w:i/>
          <w:iCs/>
        </w:rPr>
        <w:t xml:space="preserve">Fishing (Pty) Ltd v The Minister of Environmental Affairs and Tourism and </w:t>
      </w:r>
      <w:proofErr w:type="gramStart"/>
      <w:r w:rsidRPr="00BC0FF1">
        <w:rPr>
          <w:rFonts w:ascii="Arial" w:hAnsi="Arial"/>
          <w:i/>
          <w:iCs/>
        </w:rPr>
        <w:t>Others:par.</w:t>
      </w:r>
      <w:proofErr w:type="gramEnd"/>
      <w:r w:rsidRPr="00BC0FF1">
        <w:rPr>
          <w:rFonts w:ascii="Arial" w:hAnsi="Arial"/>
          <w:i/>
          <w:iCs/>
        </w:rPr>
        <w:t>74.</w:t>
      </w:r>
    </w:p>
  </w:footnote>
  <w:footnote w:id="395">
    <w:p w14:paraId="14544DCC" w14:textId="31896452" w:rsidR="00BB7375" w:rsidRPr="00BC0FF1" w:rsidRDefault="00BB7375" w:rsidP="00A530CA">
      <w:pPr>
        <w:pStyle w:val="FootnoteText"/>
        <w:ind w:left="510" w:hanging="510"/>
        <w:rPr>
          <w:rFonts w:ascii="Arial" w:hAnsi="Arial"/>
        </w:rPr>
      </w:pPr>
      <w:r w:rsidRPr="00BC0FF1">
        <w:rPr>
          <w:rStyle w:val="FootnoteReference"/>
          <w:rFonts w:ascii="Arial" w:hAnsi="Arial"/>
        </w:rPr>
        <w:footnoteRef/>
      </w:r>
      <w:r w:rsidRPr="00BC0FF1">
        <w:rPr>
          <w:rFonts w:ascii="Arial" w:hAnsi="Arial"/>
        </w:rPr>
        <w:t xml:space="preserve"> </w:t>
      </w:r>
      <w:r w:rsidR="00A530CA">
        <w:rPr>
          <w:rFonts w:ascii="Arial" w:hAnsi="Arial"/>
        </w:rPr>
        <w:tab/>
      </w:r>
      <w:r w:rsidRPr="00BC0FF1">
        <w:rPr>
          <w:rFonts w:ascii="Arial" w:hAnsi="Arial"/>
          <w:i/>
          <w:iCs/>
        </w:rPr>
        <w:t>Bato Star</w:t>
      </w:r>
      <w:r w:rsidRPr="00BC0FF1">
        <w:rPr>
          <w:rFonts w:ascii="Arial" w:hAnsi="Arial"/>
        </w:rPr>
        <w:t> </w:t>
      </w:r>
      <w:r w:rsidRPr="00BC0FF1">
        <w:rPr>
          <w:rFonts w:ascii="Arial" w:hAnsi="Arial"/>
          <w:i/>
          <w:iCs/>
        </w:rPr>
        <w:t xml:space="preserve">Fishing (Pty) Ltd v The Minister of Environmental Affairs and Tourism and </w:t>
      </w:r>
      <w:proofErr w:type="gramStart"/>
      <w:r w:rsidRPr="00BC0FF1">
        <w:rPr>
          <w:rFonts w:ascii="Arial" w:hAnsi="Arial"/>
          <w:i/>
          <w:iCs/>
        </w:rPr>
        <w:t>Others:par.</w:t>
      </w:r>
      <w:proofErr w:type="gramEnd"/>
      <w:r w:rsidRPr="00BC0FF1">
        <w:rPr>
          <w:rFonts w:ascii="Arial" w:hAnsi="Arial"/>
          <w:i/>
          <w:iCs/>
        </w:rPr>
        <w:t>74.</w:t>
      </w:r>
    </w:p>
  </w:footnote>
  <w:footnote w:id="396">
    <w:p w14:paraId="01394A81" w14:textId="7EDA5E60"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00A530CA">
        <w:rPr>
          <w:rFonts w:ascii="Arial" w:hAnsi="Arial"/>
        </w:rPr>
        <w:t xml:space="preserve"> </w:t>
      </w:r>
      <w:r w:rsidRPr="00BC0FF1">
        <w:rPr>
          <w:rFonts w:ascii="Arial" w:hAnsi="Arial"/>
        </w:rPr>
        <w:t xml:space="preserve">Solidarity obo Barnard v SA Police </w:t>
      </w:r>
      <w:proofErr w:type="gramStart"/>
      <w:r w:rsidRPr="00BC0FF1">
        <w:rPr>
          <w:rFonts w:ascii="Arial" w:hAnsi="Arial"/>
        </w:rPr>
        <w:t>Service:par.</w:t>
      </w:r>
      <w:proofErr w:type="gramEnd"/>
      <w:r w:rsidRPr="00BC0FF1">
        <w:rPr>
          <w:rFonts w:ascii="Arial" w:hAnsi="Arial"/>
        </w:rPr>
        <w:t>93.</w:t>
      </w:r>
    </w:p>
  </w:footnote>
  <w:footnote w:id="397">
    <w:p w14:paraId="0DEBDD9B"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Solidarity obo Barnard v SA Police </w:t>
      </w:r>
      <w:proofErr w:type="gramStart"/>
      <w:r w:rsidRPr="00BC0FF1">
        <w:rPr>
          <w:rFonts w:ascii="Arial" w:hAnsi="Arial"/>
        </w:rPr>
        <w:t>Service:par.</w:t>
      </w:r>
      <w:proofErr w:type="gramEnd"/>
      <w:r w:rsidRPr="00BC0FF1">
        <w:rPr>
          <w:rFonts w:ascii="Arial" w:hAnsi="Arial"/>
        </w:rPr>
        <w:t>94.</w:t>
      </w:r>
    </w:p>
  </w:footnote>
  <w:footnote w:id="398">
    <w:p w14:paraId="2CA1334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Solidarity obo Barnard v SA Police </w:t>
      </w:r>
      <w:proofErr w:type="gramStart"/>
      <w:r w:rsidRPr="00BC0FF1">
        <w:rPr>
          <w:rFonts w:ascii="Arial" w:hAnsi="Arial"/>
        </w:rPr>
        <w:t>Service:par.</w:t>
      </w:r>
      <w:proofErr w:type="gramEnd"/>
      <w:r w:rsidRPr="00BC0FF1">
        <w:rPr>
          <w:rFonts w:ascii="Arial" w:hAnsi="Arial"/>
        </w:rPr>
        <w:t>94</w:t>
      </w:r>
    </w:p>
  </w:footnote>
  <w:footnote w:id="399">
    <w:p w14:paraId="3F388046"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Harksen v Lane NO and Others</w:t>
      </w:r>
      <w:r w:rsidRPr="00BC0FF1">
        <w:rPr>
          <w:rFonts w:ascii="Arial" w:hAnsi="Arial"/>
        </w:rPr>
        <w:t> </w:t>
      </w:r>
      <w:hyperlink r:id="rId4" w:tooltip="View Case" w:history="1">
        <w:r w:rsidRPr="00BC0FF1">
          <w:rPr>
            <w:rStyle w:val="Hyperlink"/>
            <w:rFonts w:ascii="Arial" w:hAnsi="Arial"/>
            <w:color w:val="auto"/>
            <w:u w:val="none"/>
          </w:rPr>
          <w:t>[1997] ZACC 12</w:t>
        </w:r>
      </w:hyperlink>
      <w:r w:rsidRPr="00BC0FF1">
        <w:rPr>
          <w:rFonts w:ascii="Arial" w:hAnsi="Arial"/>
        </w:rPr>
        <w:t>:par.55.</w:t>
      </w:r>
    </w:p>
  </w:footnote>
  <w:footnote w:id="400">
    <w:p w14:paraId="759DC0F9"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98.</w:t>
      </w:r>
    </w:p>
  </w:footnote>
  <w:footnote w:id="401">
    <w:p w14:paraId="40011A2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209" w:name="_Hlk183967515"/>
      <w:r w:rsidRPr="00BC0FF1">
        <w:rPr>
          <w:rFonts w:ascii="Arial" w:hAnsi="Arial"/>
          <w:i/>
          <w:iCs/>
        </w:rPr>
        <w:t xml:space="preserve">Lufuno </w:t>
      </w:r>
      <w:proofErr w:type="spellStart"/>
      <w:r w:rsidRPr="00BC0FF1">
        <w:rPr>
          <w:rFonts w:ascii="Arial" w:hAnsi="Arial"/>
          <w:i/>
          <w:iCs/>
        </w:rPr>
        <w:t>Mphaphuli</w:t>
      </w:r>
      <w:proofErr w:type="spellEnd"/>
      <w:r w:rsidRPr="00BC0FF1">
        <w:rPr>
          <w:rFonts w:ascii="Arial" w:hAnsi="Arial"/>
          <w:i/>
          <w:iCs/>
        </w:rPr>
        <w:t xml:space="preserve"> &amp; Associates (Pty) Ltd v Andrews and Another </w:t>
      </w:r>
      <w:hyperlink r:id="rId5" w:tooltip="View Case" w:history="1">
        <w:r w:rsidRPr="00BC0FF1">
          <w:rPr>
            <w:rStyle w:val="Hyperlink"/>
            <w:rFonts w:ascii="Arial" w:hAnsi="Arial"/>
            <w:color w:val="auto"/>
            <w:u w:val="none"/>
          </w:rPr>
          <w:t>[2009] ZACC 6</w:t>
        </w:r>
      </w:hyperlink>
      <w:bookmarkEnd w:id="209"/>
      <w:r w:rsidRPr="00BC0FF1">
        <w:rPr>
          <w:rFonts w:ascii="Arial" w:hAnsi="Arial"/>
        </w:rPr>
        <w:t>:par.221.</w:t>
      </w:r>
    </w:p>
  </w:footnote>
  <w:footnote w:id="402">
    <w:p w14:paraId="055604CC" w14:textId="1B95C540"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00A530CA">
        <w:rPr>
          <w:rFonts w:ascii="Arial" w:hAnsi="Arial"/>
        </w:rPr>
        <w:t xml:space="preserve">   </w:t>
      </w:r>
      <w:bookmarkStart w:id="210" w:name="_Hlk183967532"/>
      <w:r w:rsidRPr="00BC0FF1">
        <w:rPr>
          <w:rFonts w:ascii="Arial" w:hAnsi="Arial"/>
          <w:i/>
          <w:iCs/>
        </w:rPr>
        <w:t xml:space="preserve">National Union of Metalworkers of SA v </w:t>
      </w:r>
      <w:proofErr w:type="spellStart"/>
      <w:r w:rsidRPr="00BC0FF1">
        <w:rPr>
          <w:rFonts w:ascii="Arial" w:hAnsi="Arial"/>
          <w:i/>
          <w:iCs/>
        </w:rPr>
        <w:t>Vetsak</w:t>
      </w:r>
      <w:proofErr w:type="spellEnd"/>
      <w:r w:rsidRPr="00BC0FF1">
        <w:rPr>
          <w:rFonts w:ascii="Arial" w:hAnsi="Arial"/>
          <w:i/>
          <w:iCs/>
        </w:rPr>
        <w:t xml:space="preserve"> Co-operative Ltd and Others</w:t>
      </w:r>
      <w:r w:rsidRPr="00BC0FF1">
        <w:rPr>
          <w:rFonts w:ascii="Arial" w:hAnsi="Arial"/>
        </w:rPr>
        <w:t> </w:t>
      </w:r>
      <w:hyperlink r:id="rId6" w:tooltip="View Case" w:history="1">
        <w:r w:rsidRPr="00BC0FF1">
          <w:rPr>
            <w:rStyle w:val="Hyperlink"/>
            <w:rFonts w:ascii="Arial" w:hAnsi="Arial"/>
            <w:color w:val="auto"/>
            <w:u w:val="none"/>
          </w:rPr>
          <w:t>[1996] ZASCA 69</w:t>
        </w:r>
      </w:hyperlink>
      <w:bookmarkEnd w:id="210"/>
      <w:r w:rsidRPr="00BC0FF1">
        <w:rPr>
          <w:rFonts w:ascii="Arial" w:hAnsi="Arial"/>
        </w:rPr>
        <w:t>:589B-C.</w:t>
      </w:r>
    </w:p>
  </w:footnote>
  <w:footnote w:id="403">
    <w:p w14:paraId="5002AE6C" w14:textId="0BF2F6BB" w:rsidR="00BB7375" w:rsidRPr="00BC0FF1" w:rsidRDefault="00BB7375" w:rsidP="00A530CA">
      <w:pPr>
        <w:pStyle w:val="FootnoteText"/>
        <w:ind w:left="454" w:hanging="454"/>
        <w:rPr>
          <w:rFonts w:ascii="Arial" w:hAnsi="Arial"/>
        </w:rPr>
      </w:pPr>
      <w:r w:rsidRPr="00BC0FF1">
        <w:rPr>
          <w:rStyle w:val="FootnoteReference"/>
          <w:rFonts w:ascii="Arial" w:hAnsi="Arial"/>
        </w:rPr>
        <w:footnoteRef/>
      </w:r>
      <w:r w:rsidRPr="00BC0FF1">
        <w:rPr>
          <w:rFonts w:ascii="Arial" w:hAnsi="Arial"/>
        </w:rPr>
        <w:t xml:space="preserve"> </w:t>
      </w:r>
      <w:r w:rsidR="00A530CA">
        <w:rPr>
          <w:rFonts w:ascii="Arial" w:hAnsi="Arial"/>
        </w:rPr>
        <w:t xml:space="preserve">   </w:t>
      </w:r>
      <w:bookmarkStart w:id="211" w:name="_Hlk183967551"/>
      <w:r w:rsidRPr="00BC0FF1">
        <w:rPr>
          <w:rFonts w:ascii="Arial" w:hAnsi="Arial"/>
          <w:i/>
          <w:iCs/>
        </w:rPr>
        <w:t>Manitoba Rice Farmers Association v Human Rights Commission</w:t>
      </w:r>
      <w:r w:rsidRPr="00BC0FF1">
        <w:rPr>
          <w:rFonts w:ascii="Arial" w:hAnsi="Arial"/>
        </w:rPr>
        <w:t xml:space="preserve"> (1987), 50 </w:t>
      </w:r>
      <w:proofErr w:type="spellStart"/>
      <w:r w:rsidRPr="00BC0FF1">
        <w:rPr>
          <w:rFonts w:ascii="Arial" w:hAnsi="Arial"/>
        </w:rPr>
        <w:t>Man.R</w:t>
      </w:r>
      <w:proofErr w:type="spellEnd"/>
      <w:r w:rsidRPr="00BC0FF1">
        <w:rPr>
          <w:rFonts w:ascii="Arial" w:hAnsi="Arial"/>
        </w:rPr>
        <w:t>.(2d) 92(QB</w:t>
      </w:r>
      <w:proofErr w:type="gramStart"/>
      <w:r w:rsidRPr="00BC0FF1">
        <w:rPr>
          <w:rFonts w:ascii="Arial" w:hAnsi="Arial"/>
        </w:rPr>
        <w:t>):</w:t>
      </w:r>
      <w:bookmarkEnd w:id="211"/>
      <w:r w:rsidRPr="00BC0FF1">
        <w:rPr>
          <w:rFonts w:ascii="Arial" w:hAnsi="Arial"/>
        </w:rPr>
        <w:t>par.</w:t>
      </w:r>
      <w:proofErr w:type="gramEnd"/>
      <w:r w:rsidRPr="00BC0FF1">
        <w:rPr>
          <w:rFonts w:ascii="Arial" w:hAnsi="Arial"/>
        </w:rPr>
        <w:t>2.</w:t>
      </w:r>
    </w:p>
  </w:footnote>
  <w:footnote w:id="404">
    <w:p w14:paraId="11EA347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157.</w:t>
      </w:r>
    </w:p>
  </w:footnote>
  <w:footnote w:id="405">
    <w:p w14:paraId="60EA5FF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158.</w:t>
      </w:r>
    </w:p>
  </w:footnote>
  <w:footnote w:id="406">
    <w:p w14:paraId="1A6F5D5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158.</w:t>
      </w:r>
    </w:p>
  </w:footnote>
  <w:footnote w:id="407">
    <w:p w14:paraId="3D5BD22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159.</w:t>
      </w:r>
    </w:p>
  </w:footnote>
  <w:footnote w:id="408">
    <w:p w14:paraId="069AFBD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159.</w:t>
      </w:r>
    </w:p>
  </w:footnote>
  <w:footnote w:id="409">
    <w:p w14:paraId="02BB30E2" w14:textId="580726B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r w:rsidR="00BC0FF1" w:rsidRPr="00BC0FF1">
        <w:rPr>
          <w:rFonts w:ascii="Arial" w:hAnsi="Arial"/>
        </w:rPr>
        <w:t>as</w:t>
      </w:r>
      <w:proofErr w:type="gramEnd"/>
      <w:r w:rsidRPr="00BC0FF1">
        <w:rPr>
          <w:rFonts w:ascii="Arial" w:hAnsi="Arial"/>
        </w:rPr>
        <w:t>.79-80.</w:t>
      </w:r>
    </w:p>
  </w:footnote>
  <w:footnote w:id="410">
    <w:p w14:paraId="624F0B2B" w14:textId="32089C9E"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r w:rsidR="00BC0FF1" w:rsidRPr="00BC0FF1">
        <w:rPr>
          <w:rFonts w:ascii="Arial" w:hAnsi="Arial"/>
        </w:rPr>
        <w:t>as</w:t>
      </w:r>
      <w:proofErr w:type="gramEnd"/>
      <w:r w:rsidRPr="00BC0FF1">
        <w:rPr>
          <w:rFonts w:ascii="Arial" w:hAnsi="Arial"/>
        </w:rPr>
        <w:t>.79-80.</w:t>
      </w:r>
    </w:p>
  </w:footnote>
  <w:footnote w:id="411">
    <w:p w14:paraId="0D6C4BE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Pretorius 2010:553.</w:t>
      </w:r>
    </w:p>
  </w:footnote>
  <w:footnote w:id="412">
    <w:p w14:paraId="0EA81717"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Fergus 2015:58.</w:t>
      </w:r>
    </w:p>
  </w:footnote>
  <w:footnote w:id="413">
    <w:p w14:paraId="618A75B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Fergus 2015:56.</w:t>
      </w:r>
    </w:p>
  </w:footnote>
  <w:footnote w:id="414">
    <w:p w14:paraId="17D3D032"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Fergus 2015:59.</w:t>
      </w:r>
    </w:p>
  </w:footnote>
  <w:footnote w:id="415">
    <w:p w14:paraId="33E6BD4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bookmarkStart w:id="216" w:name="_Hlk183967576"/>
      <w:r w:rsidRPr="00BC0FF1">
        <w:rPr>
          <w:rFonts w:ascii="Arial" w:hAnsi="Arial"/>
          <w:i/>
          <w:iCs/>
        </w:rPr>
        <w:t xml:space="preserve">S v </w:t>
      </w:r>
      <w:proofErr w:type="spellStart"/>
      <w:r w:rsidRPr="00BC0FF1">
        <w:rPr>
          <w:rFonts w:ascii="Arial" w:hAnsi="Arial"/>
          <w:i/>
          <w:iCs/>
        </w:rPr>
        <w:t>Makwanyane</w:t>
      </w:r>
      <w:proofErr w:type="spellEnd"/>
      <w:r w:rsidRPr="00BC0FF1">
        <w:rPr>
          <w:rFonts w:ascii="Arial" w:hAnsi="Arial"/>
          <w:i/>
          <w:iCs/>
        </w:rPr>
        <w:t xml:space="preserve"> </w:t>
      </w:r>
      <w:r w:rsidRPr="00BC0FF1">
        <w:rPr>
          <w:rFonts w:ascii="Arial" w:hAnsi="Arial"/>
        </w:rPr>
        <w:t>1995 3 SA 391 (CC</w:t>
      </w:r>
      <w:proofErr w:type="gramStart"/>
      <w:r w:rsidRPr="00BC0FF1">
        <w:rPr>
          <w:rFonts w:ascii="Arial" w:hAnsi="Arial"/>
        </w:rPr>
        <w:t>)</w:t>
      </w:r>
      <w:bookmarkEnd w:id="216"/>
      <w:r w:rsidRPr="00BC0FF1">
        <w:rPr>
          <w:rFonts w:ascii="Arial" w:hAnsi="Arial"/>
        </w:rPr>
        <w:t>:par.</w:t>
      </w:r>
      <w:proofErr w:type="gramEnd"/>
      <w:r w:rsidRPr="00BC0FF1">
        <w:rPr>
          <w:rFonts w:ascii="Arial" w:hAnsi="Arial"/>
        </w:rPr>
        <w:t>104.</w:t>
      </w:r>
    </w:p>
  </w:footnote>
  <w:footnote w:id="416">
    <w:p w14:paraId="35F8C9C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proofErr w:type="gramStart"/>
      <w:r w:rsidRPr="00BC0FF1">
        <w:rPr>
          <w:rFonts w:ascii="Arial" w:hAnsi="Arial"/>
        </w:rPr>
        <w:t>Constitution:sec.</w:t>
      </w:r>
      <w:proofErr w:type="gramEnd"/>
      <w:r w:rsidRPr="00BC0FF1">
        <w:rPr>
          <w:rFonts w:ascii="Arial" w:hAnsi="Arial"/>
        </w:rPr>
        <w:t>36(l)(a)-(e).</w:t>
      </w:r>
    </w:p>
  </w:footnote>
  <w:footnote w:id="417">
    <w:p w14:paraId="2460ACFC"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 v </w:t>
      </w:r>
      <w:proofErr w:type="spellStart"/>
      <w:r w:rsidRPr="00BC0FF1">
        <w:rPr>
          <w:rFonts w:ascii="Arial" w:hAnsi="Arial"/>
          <w:i/>
          <w:iCs/>
        </w:rPr>
        <w:t>Makwanyane</w:t>
      </w:r>
      <w:proofErr w:type="spellEnd"/>
      <w:r w:rsidRPr="00BC0FF1">
        <w:rPr>
          <w:rFonts w:ascii="Arial" w:hAnsi="Arial"/>
        </w:rPr>
        <w:t xml:space="preserve"> 1995 3 SA 391 (CC).</w:t>
      </w:r>
    </w:p>
  </w:footnote>
  <w:footnote w:id="418">
    <w:p w14:paraId="2BD8F80B"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 v </w:t>
      </w:r>
      <w:proofErr w:type="gramStart"/>
      <w:r w:rsidRPr="00BC0FF1">
        <w:rPr>
          <w:rFonts w:ascii="Arial" w:hAnsi="Arial"/>
          <w:i/>
          <w:iCs/>
        </w:rPr>
        <w:t>Makwanyane</w:t>
      </w:r>
      <w:r w:rsidRPr="00BC0FF1">
        <w:rPr>
          <w:rFonts w:ascii="Arial" w:hAnsi="Arial"/>
        </w:rPr>
        <w:t>:par.</w:t>
      </w:r>
      <w:proofErr w:type="gramEnd"/>
      <w:r w:rsidRPr="00BC0FF1">
        <w:rPr>
          <w:rFonts w:ascii="Arial" w:hAnsi="Arial"/>
        </w:rPr>
        <w:t>104</w:t>
      </w:r>
    </w:p>
  </w:footnote>
  <w:footnote w:id="419">
    <w:p w14:paraId="3DB0963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140.</w:t>
      </w:r>
    </w:p>
  </w:footnote>
  <w:footnote w:id="420">
    <w:p w14:paraId="3A7E814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143.</w:t>
      </w:r>
    </w:p>
  </w:footnote>
  <w:footnote w:id="421">
    <w:p w14:paraId="2231A84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143.</w:t>
      </w:r>
    </w:p>
  </w:footnote>
  <w:footnote w:id="422">
    <w:p w14:paraId="66127E51"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146.</w:t>
      </w:r>
    </w:p>
  </w:footnote>
  <w:footnote w:id="423">
    <w:p w14:paraId="6E84DC4A"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146.</w:t>
      </w:r>
    </w:p>
  </w:footnote>
  <w:footnote w:id="424">
    <w:p w14:paraId="7A03EE2D"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Solidarity obo Barnard v SA Police </w:t>
      </w:r>
      <w:proofErr w:type="gramStart"/>
      <w:r w:rsidRPr="00BC0FF1">
        <w:rPr>
          <w:rFonts w:ascii="Arial" w:hAnsi="Arial"/>
        </w:rPr>
        <w:t>Service:par.</w:t>
      </w:r>
      <w:proofErr w:type="gramEnd"/>
      <w:r w:rsidRPr="00BC0FF1">
        <w:rPr>
          <w:rFonts w:ascii="Arial" w:hAnsi="Arial"/>
        </w:rPr>
        <w:t>161.</w:t>
      </w:r>
    </w:p>
  </w:footnote>
  <w:footnote w:id="425">
    <w:p w14:paraId="03D538C0"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Solidarity obo Barnard v SA Police </w:t>
      </w:r>
      <w:proofErr w:type="gramStart"/>
      <w:r w:rsidRPr="00BC0FF1">
        <w:rPr>
          <w:rFonts w:ascii="Arial" w:hAnsi="Arial"/>
        </w:rPr>
        <w:t>Service:par.</w:t>
      </w:r>
      <w:proofErr w:type="gramEnd"/>
      <w:r w:rsidRPr="00BC0FF1">
        <w:rPr>
          <w:rFonts w:ascii="Arial" w:hAnsi="Arial"/>
        </w:rPr>
        <w:t>161.</w:t>
      </w:r>
    </w:p>
  </w:footnote>
  <w:footnote w:id="426">
    <w:p w14:paraId="25EECFBB" w14:textId="692B95A9"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 xml:space="preserve">Solidarity obo Barnard v SA Police </w:t>
      </w:r>
      <w:proofErr w:type="gramStart"/>
      <w:r w:rsidRPr="00BC0FF1">
        <w:rPr>
          <w:rFonts w:ascii="Arial" w:hAnsi="Arial"/>
        </w:rPr>
        <w:t>Service:par</w:t>
      </w:r>
      <w:r w:rsidR="00BC0FF1" w:rsidRPr="00BC0FF1">
        <w:rPr>
          <w:rFonts w:ascii="Arial" w:hAnsi="Arial"/>
        </w:rPr>
        <w:t>as</w:t>
      </w:r>
      <w:proofErr w:type="gramEnd"/>
      <w:r w:rsidRPr="00BC0FF1">
        <w:rPr>
          <w:rFonts w:ascii="Arial" w:hAnsi="Arial"/>
        </w:rPr>
        <w:t>.162-164</w:t>
      </w:r>
    </w:p>
  </w:footnote>
  <w:footnote w:id="427">
    <w:p w14:paraId="55A3F254"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Minister of Finance v Van </w:t>
      </w:r>
      <w:proofErr w:type="gramStart"/>
      <w:r w:rsidRPr="00BC0FF1">
        <w:rPr>
          <w:rFonts w:ascii="Arial" w:hAnsi="Arial"/>
          <w:i/>
          <w:iCs/>
        </w:rPr>
        <w:t>Heerden</w:t>
      </w:r>
      <w:r w:rsidRPr="00BC0FF1">
        <w:rPr>
          <w:rFonts w:ascii="Arial" w:hAnsi="Arial"/>
        </w:rPr>
        <w:t>:par.</w:t>
      </w:r>
      <w:proofErr w:type="gramEnd"/>
      <w:r w:rsidRPr="00BC0FF1">
        <w:rPr>
          <w:rFonts w:ascii="Arial" w:hAnsi="Arial"/>
        </w:rPr>
        <w:t>152</w:t>
      </w:r>
    </w:p>
  </w:footnote>
  <w:footnote w:id="428">
    <w:p w14:paraId="0D945F9A"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98.</w:t>
      </w:r>
    </w:p>
  </w:footnote>
  <w:footnote w:id="429">
    <w:p w14:paraId="10245DAE"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98.</w:t>
      </w:r>
    </w:p>
  </w:footnote>
  <w:footnote w:id="430">
    <w:p w14:paraId="5E2AA1AB"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r>
      <w:r w:rsidRPr="00BC0FF1">
        <w:rPr>
          <w:rFonts w:ascii="Arial" w:hAnsi="Arial"/>
          <w:i/>
          <w:iCs/>
        </w:rPr>
        <w:t xml:space="preserve">Solidarity obo Barnard v SA Police </w:t>
      </w:r>
      <w:proofErr w:type="gramStart"/>
      <w:r w:rsidRPr="00BC0FF1">
        <w:rPr>
          <w:rFonts w:ascii="Arial" w:hAnsi="Arial"/>
          <w:i/>
          <w:iCs/>
        </w:rPr>
        <w:t>Service</w:t>
      </w:r>
      <w:r w:rsidRPr="00BC0FF1">
        <w:rPr>
          <w:rFonts w:ascii="Arial" w:hAnsi="Arial"/>
        </w:rPr>
        <w:t>:par.</w:t>
      </w:r>
      <w:proofErr w:type="gramEnd"/>
      <w:r w:rsidRPr="00BC0FF1">
        <w:rPr>
          <w:rFonts w:ascii="Arial" w:hAnsi="Arial"/>
        </w:rPr>
        <w:t>98.</w:t>
      </w:r>
    </w:p>
  </w:footnote>
  <w:footnote w:id="431">
    <w:p w14:paraId="24890593" w14:textId="77777777" w:rsidR="00BB7375" w:rsidRPr="00BC0FF1" w:rsidRDefault="00BB7375" w:rsidP="00BB7375">
      <w:pPr>
        <w:pStyle w:val="FootnoteText"/>
        <w:rPr>
          <w:rFonts w:ascii="Arial" w:hAnsi="Arial"/>
        </w:rPr>
      </w:pPr>
      <w:r w:rsidRPr="00BC0FF1">
        <w:rPr>
          <w:rStyle w:val="FootnoteReference"/>
          <w:rFonts w:ascii="Arial" w:hAnsi="Arial"/>
        </w:rPr>
        <w:footnoteRef/>
      </w:r>
      <w:r w:rsidRPr="00BC0FF1">
        <w:rPr>
          <w:rFonts w:ascii="Arial" w:hAnsi="Arial"/>
        </w:rPr>
        <w:t xml:space="preserve"> </w:t>
      </w:r>
      <w:r w:rsidRPr="00BC0FF1">
        <w:rPr>
          <w:rFonts w:ascii="Arial" w:hAnsi="Arial"/>
        </w:rPr>
        <w:tab/>
        <w:t>Fergus 2015:52.</w:t>
      </w:r>
    </w:p>
  </w:footnote>
  <w:footnote w:id="432">
    <w:p w14:paraId="0A38E439"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Employment Equity </w:t>
      </w:r>
      <w:proofErr w:type="gramStart"/>
      <w:r w:rsidRPr="00A95392">
        <w:rPr>
          <w:rFonts w:ascii="Arial" w:hAnsi="Arial"/>
          <w:i/>
          <w:iCs/>
        </w:rPr>
        <w:t>Act</w:t>
      </w:r>
      <w:r w:rsidRPr="00A95392">
        <w:rPr>
          <w:rFonts w:ascii="Arial" w:hAnsi="Arial"/>
        </w:rPr>
        <w:t>:sec.</w:t>
      </w:r>
      <w:proofErr w:type="gramEnd"/>
      <w:r w:rsidRPr="00A95392">
        <w:rPr>
          <w:rFonts w:ascii="Arial" w:hAnsi="Arial"/>
        </w:rPr>
        <w:t>13.</w:t>
      </w:r>
    </w:p>
  </w:footnote>
  <w:footnote w:id="433">
    <w:p w14:paraId="439825F7"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Employment Equity </w:t>
      </w:r>
      <w:proofErr w:type="gramStart"/>
      <w:r w:rsidRPr="00A95392">
        <w:rPr>
          <w:rFonts w:ascii="Arial" w:hAnsi="Arial"/>
          <w:i/>
          <w:iCs/>
        </w:rPr>
        <w:t>Act</w:t>
      </w:r>
      <w:r w:rsidRPr="00A95392">
        <w:rPr>
          <w:rFonts w:ascii="Arial" w:hAnsi="Arial"/>
        </w:rPr>
        <w:t>:sec.</w:t>
      </w:r>
      <w:proofErr w:type="gramEnd"/>
      <w:r w:rsidRPr="00A95392">
        <w:rPr>
          <w:rFonts w:ascii="Arial" w:hAnsi="Arial"/>
        </w:rPr>
        <w:t>15(2)(d)(</w:t>
      </w:r>
      <w:proofErr w:type="spellStart"/>
      <w:r w:rsidRPr="00A95392">
        <w:rPr>
          <w:rFonts w:ascii="Arial" w:hAnsi="Arial"/>
        </w:rPr>
        <w:t>i</w:t>
      </w:r>
      <w:proofErr w:type="spellEnd"/>
      <w:r w:rsidRPr="00A95392">
        <w:rPr>
          <w:rFonts w:ascii="Arial" w:hAnsi="Arial"/>
        </w:rPr>
        <w:t>).</w:t>
      </w:r>
    </w:p>
  </w:footnote>
  <w:footnote w:id="434">
    <w:p w14:paraId="3EF5449B"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t>Employment Equity Act:sec15(2)(d)(ii).</w:t>
      </w:r>
    </w:p>
  </w:footnote>
  <w:footnote w:id="435">
    <w:p w14:paraId="6255B9E9"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t>Du Toit 2006:59.</w:t>
      </w:r>
    </w:p>
  </w:footnote>
  <w:footnote w:id="436">
    <w:p w14:paraId="0DCA040D"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Solidarity v Department of Correctional </w:t>
      </w:r>
      <w:proofErr w:type="gramStart"/>
      <w:r w:rsidRPr="00A95392">
        <w:rPr>
          <w:rFonts w:ascii="Arial" w:hAnsi="Arial"/>
          <w:i/>
          <w:iCs/>
        </w:rPr>
        <w:t>Services</w:t>
      </w:r>
      <w:r w:rsidRPr="00A95392">
        <w:rPr>
          <w:rFonts w:ascii="Arial" w:hAnsi="Arial"/>
        </w:rPr>
        <w:t>:par.</w:t>
      </w:r>
      <w:proofErr w:type="gramEnd"/>
      <w:r w:rsidRPr="00A95392">
        <w:rPr>
          <w:rFonts w:ascii="Arial" w:hAnsi="Arial"/>
        </w:rPr>
        <w:t>74.</w:t>
      </w:r>
    </w:p>
  </w:footnote>
  <w:footnote w:id="437">
    <w:p w14:paraId="1A0A297D"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Solidarity v Department of Correctional </w:t>
      </w:r>
      <w:proofErr w:type="gramStart"/>
      <w:r w:rsidRPr="00A95392">
        <w:rPr>
          <w:rFonts w:ascii="Arial" w:hAnsi="Arial"/>
          <w:i/>
          <w:iCs/>
        </w:rPr>
        <w:t>Services</w:t>
      </w:r>
      <w:r w:rsidRPr="00A95392">
        <w:rPr>
          <w:rFonts w:ascii="Arial" w:hAnsi="Arial"/>
        </w:rPr>
        <w:t>:par.</w:t>
      </w:r>
      <w:proofErr w:type="gramEnd"/>
      <w:r w:rsidRPr="00A95392">
        <w:rPr>
          <w:rFonts w:ascii="Arial" w:hAnsi="Arial"/>
        </w:rPr>
        <w:t>69.</w:t>
      </w:r>
    </w:p>
  </w:footnote>
  <w:footnote w:id="438">
    <w:p w14:paraId="12E64DD2"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Solidarity v Department of Correctional </w:t>
      </w:r>
      <w:proofErr w:type="gramStart"/>
      <w:r w:rsidRPr="00A95392">
        <w:rPr>
          <w:rFonts w:ascii="Arial" w:hAnsi="Arial"/>
          <w:i/>
          <w:iCs/>
        </w:rPr>
        <w:t>Services</w:t>
      </w:r>
      <w:r w:rsidRPr="00A95392">
        <w:rPr>
          <w:rFonts w:ascii="Arial" w:hAnsi="Arial"/>
        </w:rPr>
        <w:t>:par.</w:t>
      </w:r>
      <w:proofErr w:type="gramEnd"/>
      <w:r w:rsidRPr="00A95392">
        <w:rPr>
          <w:rFonts w:ascii="Arial" w:hAnsi="Arial"/>
        </w:rPr>
        <w:t>32.</w:t>
      </w:r>
    </w:p>
  </w:footnote>
  <w:footnote w:id="439">
    <w:p w14:paraId="2844279D"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Minister of Finance v Van </w:t>
      </w:r>
      <w:proofErr w:type="gramStart"/>
      <w:r w:rsidRPr="00A95392">
        <w:rPr>
          <w:rFonts w:ascii="Arial" w:hAnsi="Arial"/>
          <w:i/>
          <w:iCs/>
        </w:rPr>
        <w:t>Heerden</w:t>
      </w:r>
      <w:r w:rsidRPr="00A95392">
        <w:rPr>
          <w:rFonts w:ascii="Arial" w:hAnsi="Arial"/>
        </w:rPr>
        <w:t>:par.</w:t>
      </w:r>
      <w:proofErr w:type="gramEnd"/>
      <w:r w:rsidRPr="00A95392">
        <w:rPr>
          <w:rFonts w:ascii="Arial" w:hAnsi="Arial"/>
        </w:rPr>
        <w:t>37.</w:t>
      </w:r>
    </w:p>
  </w:footnote>
  <w:footnote w:id="440">
    <w:p w14:paraId="59B07FF6"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Minister of Finance v Van </w:t>
      </w:r>
      <w:proofErr w:type="gramStart"/>
      <w:r w:rsidRPr="00A95392">
        <w:rPr>
          <w:rFonts w:ascii="Arial" w:hAnsi="Arial"/>
          <w:i/>
          <w:iCs/>
          <w:lang w:val="en-ZA"/>
        </w:rPr>
        <w:t>Heerden</w:t>
      </w:r>
      <w:r w:rsidRPr="00A95392">
        <w:rPr>
          <w:rFonts w:ascii="Arial" w:hAnsi="Arial"/>
        </w:rPr>
        <w:t>:par.</w:t>
      </w:r>
      <w:proofErr w:type="gramEnd"/>
      <w:r w:rsidRPr="00A95392">
        <w:rPr>
          <w:rFonts w:ascii="Arial" w:hAnsi="Arial"/>
        </w:rPr>
        <w:t>108.</w:t>
      </w:r>
    </w:p>
  </w:footnote>
  <w:footnote w:id="441">
    <w:p w14:paraId="6329D69C"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:paras</w:t>
      </w:r>
      <w:proofErr w:type="gramEnd"/>
      <w:r w:rsidRPr="00A95392">
        <w:rPr>
          <w:rFonts w:ascii="Arial" w:hAnsi="Arial"/>
        </w:rPr>
        <w:t>.1-3.</w:t>
      </w:r>
    </w:p>
  </w:footnote>
  <w:footnote w:id="442">
    <w:p w14:paraId="571AFB22"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:paras</w:t>
      </w:r>
      <w:proofErr w:type="gramEnd"/>
      <w:r w:rsidRPr="00A95392">
        <w:rPr>
          <w:rFonts w:ascii="Arial" w:hAnsi="Arial"/>
        </w:rPr>
        <w:t>.34-35.</w:t>
      </w:r>
    </w:p>
  </w:footnote>
  <w:footnote w:id="443">
    <w:p w14:paraId="412126BC"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:paras</w:t>
      </w:r>
      <w:proofErr w:type="gramEnd"/>
      <w:r w:rsidRPr="00A95392">
        <w:rPr>
          <w:rFonts w:ascii="Arial" w:hAnsi="Arial"/>
        </w:rPr>
        <w:t>.34-35.</w:t>
      </w:r>
    </w:p>
  </w:footnote>
  <w:footnote w:id="444">
    <w:p w14:paraId="2FD7DCE7"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:paras</w:t>
      </w:r>
      <w:proofErr w:type="gramEnd"/>
      <w:r w:rsidRPr="00A95392">
        <w:rPr>
          <w:rFonts w:ascii="Arial" w:hAnsi="Arial"/>
        </w:rPr>
        <w:t>.34-35.</w:t>
      </w:r>
    </w:p>
  </w:footnote>
  <w:footnote w:id="445">
    <w:p w14:paraId="07426542"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:paras</w:t>
      </w:r>
      <w:proofErr w:type="gramEnd"/>
      <w:r w:rsidRPr="00A95392">
        <w:rPr>
          <w:rFonts w:ascii="Arial" w:hAnsi="Arial"/>
        </w:rPr>
        <w:t>.34-35.</w:t>
      </w:r>
    </w:p>
  </w:footnote>
  <w:footnote w:id="446">
    <w:p w14:paraId="19335891"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w:t>
      </w:r>
      <w:proofErr w:type="gramEnd"/>
      <w:r w:rsidRPr="00A95392">
        <w:rPr>
          <w:rFonts w:ascii="Arial" w:hAnsi="Arial"/>
        </w:rPr>
        <w:t>37.</w:t>
      </w:r>
    </w:p>
  </w:footnote>
  <w:footnote w:id="447">
    <w:p w14:paraId="61D96001"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Harmse v City of Cape </w:t>
      </w:r>
      <w:proofErr w:type="gramStart"/>
      <w:r w:rsidRPr="00A95392">
        <w:rPr>
          <w:rFonts w:ascii="Arial" w:hAnsi="Arial"/>
          <w:i/>
          <w:iCs/>
        </w:rPr>
        <w:t>Town</w:t>
      </w:r>
      <w:r w:rsidRPr="00A95392">
        <w:rPr>
          <w:rFonts w:ascii="Arial" w:hAnsi="Arial"/>
        </w:rPr>
        <w:t>:paras</w:t>
      </w:r>
      <w:proofErr w:type="gramEnd"/>
      <w:r w:rsidRPr="00A95392">
        <w:rPr>
          <w:rFonts w:ascii="Arial" w:hAnsi="Arial"/>
        </w:rPr>
        <w:t>.31,35.</w:t>
      </w:r>
    </w:p>
  </w:footnote>
  <w:footnote w:id="448">
    <w:p w14:paraId="6B450271"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proofErr w:type="gramStart"/>
      <w:r w:rsidRPr="00A95392">
        <w:rPr>
          <w:rFonts w:ascii="Arial" w:hAnsi="Arial"/>
          <w:i/>
          <w:iCs/>
        </w:rPr>
        <w:t>Constitution</w:t>
      </w:r>
      <w:r w:rsidRPr="00A95392">
        <w:rPr>
          <w:rFonts w:ascii="Arial" w:hAnsi="Arial"/>
        </w:rPr>
        <w:t>:sec.</w:t>
      </w:r>
      <w:proofErr w:type="gramEnd"/>
      <w:r w:rsidRPr="00A95392">
        <w:rPr>
          <w:rFonts w:ascii="Arial" w:hAnsi="Arial"/>
        </w:rPr>
        <w:t xml:space="preserve">9(2); </w:t>
      </w:r>
      <w:r w:rsidRPr="00A95392">
        <w:rPr>
          <w:rFonts w:ascii="Arial" w:hAnsi="Arial"/>
          <w:i/>
          <w:iCs/>
        </w:rPr>
        <w:t>EEA</w:t>
      </w:r>
      <w:r w:rsidRPr="00A95392">
        <w:rPr>
          <w:rFonts w:ascii="Arial" w:hAnsi="Arial"/>
        </w:rPr>
        <w:t>:sec.20(2).</w:t>
      </w:r>
    </w:p>
  </w:footnote>
  <w:footnote w:id="449">
    <w:p w14:paraId="517BA176"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:paras</w:t>
      </w:r>
      <w:proofErr w:type="gramEnd"/>
      <w:r w:rsidRPr="00A95392">
        <w:rPr>
          <w:rFonts w:ascii="Arial" w:hAnsi="Arial"/>
        </w:rPr>
        <w:t>.48-49.</w:t>
      </w:r>
    </w:p>
  </w:footnote>
  <w:footnote w:id="450">
    <w:p w14:paraId="5BC84926" w14:textId="238789FE"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Harmse v City of Cape </w:t>
      </w:r>
      <w:proofErr w:type="gramStart"/>
      <w:r w:rsidRPr="00A95392">
        <w:rPr>
          <w:rFonts w:ascii="Arial" w:hAnsi="Arial"/>
          <w:i/>
          <w:iCs/>
          <w:lang w:val="en-ZA"/>
        </w:rPr>
        <w:t>Town</w:t>
      </w:r>
      <w:r w:rsidRPr="00A95392">
        <w:rPr>
          <w:rFonts w:ascii="Arial" w:hAnsi="Arial"/>
        </w:rPr>
        <w:t>:paras</w:t>
      </w:r>
      <w:proofErr w:type="gramEnd"/>
      <w:r w:rsidRPr="00A95392">
        <w:rPr>
          <w:rFonts w:ascii="Arial" w:hAnsi="Arial"/>
        </w:rPr>
        <w:t>.48-49.</w:t>
      </w:r>
    </w:p>
  </w:footnote>
  <w:footnote w:id="451">
    <w:p w14:paraId="2DAB26AD"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Minister of Finance v Van </w:t>
      </w:r>
      <w:proofErr w:type="gramStart"/>
      <w:r w:rsidRPr="00A95392">
        <w:rPr>
          <w:rFonts w:ascii="Arial" w:hAnsi="Arial"/>
          <w:i/>
          <w:iCs/>
          <w:lang w:val="en-ZA"/>
        </w:rPr>
        <w:t>Heerden</w:t>
      </w:r>
      <w:r w:rsidRPr="00A95392">
        <w:rPr>
          <w:rFonts w:ascii="Arial" w:hAnsi="Arial"/>
        </w:rPr>
        <w:t>:par.</w:t>
      </w:r>
      <w:proofErr w:type="gramEnd"/>
      <w:r w:rsidRPr="00A95392">
        <w:rPr>
          <w:rFonts w:ascii="Arial" w:hAnsi="Arial"/>
        </w:rPr>
        <w:t>39.</w:t>
      </w:r>
    </w:p>
  </w:footnote>
  <w:footnote w:id="452">
    <w:p w14:paraId="19F77598"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Minister of Finance v Van </w:t>
      </w:r>
      <w:proofErr w:type="spellStart"/>
      <w:proofErr w:type="gramStart"/>
      <w:r w:rsidRPr="00A95392">
        <w:rPr>
          <w:rFonts w:ascii="Arial" w:hAnsi="Arial"/>
          <w:i/>
          <w:iCs/>
          <w:lang w:val="en-ZA"/>
        </w:rPr>
        <w:t>Heerden</w:t>
      </w:r>
      <w:r w:rsidRPr="00A95392">
        <w:rPr>
          <w:rFonts w:ascii="Arial" w:hAnsi="Arial"/>
          <w:lang w:val="en-ZA"/>
        </w:rPr>
        <w:t>:par</w:t>
      </w:r>
      <w:proofErr w:type="spellEnd"/>
      <w:r w:rsidRPr="00A95392">
        <w:rPr>
          <w:rFonts w:ascii="Arial" w:hAnsi="Arial"/>
          <w:lang w:val="en-ZA"/>
        </w:rPr>
        <w:t>.</w:t>
      </w:r>
      <w:proofErr w:type="gramEnd"/>
      <w:r w:rsidRPr="00A95392">
        <w:rPr>
          <w:rFonts w:ascii="Arial" w:hAnsi="Arial"/>
        </w:rPr>
        <w:t>42</w:t>
      </w:r>
      <w:r w:rsidRPr="00A95392">
        <w:rPr>
          <w:rFonts w:ascii="Arial" w:hAnsi="Arial"/>
          <w:lang w:val="en-ZA"/>
        </w:rPr>
        <w:t>.</w:t>
      </w:r>
    </w:p>
  </w:footnote>
  <w:footnote w:id="453">
    <w:p w14:paraId="45670B48"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Minister of Finance v Van </w:t>
      </w:r>
      <w:proofErr w:type="gramStart"/>
      <w:r w:rsidRPr="00A95392">
        <w:rPr>
          <w:rFonts w:ascii="Arial" w:hAnsi="Arial"/>
          <w:i/>
          <w:iCs/>
        </w:rPr>
        <w:t>Heerden</w:t>
      </w:r>
      <w:r w:rsidRPr="00A95392">
        <w:rPr>
          <w:rFonts w:ascii="Arial" w:hAnsi="Arial"/>
        </w:rPr>
        <w:t>:par.</w:t>
      </w:r>
      <w:proofErr w:type="gramEnd"/>
      <w:r w:rsidRPr="00A95392">
        <w:rPr>
          <w:rFonts w:ascii="Arial" w:hAnsi="Arial"/>
        </w:rPr>
        <w:t>44.</w:t>
      </w:r>
    </w:p>
  </w:footnote>
  <w:footnote w:id="454">
    <w:p w14:paraId="1D289270"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Minister of Finance v Van </w:t>
      </w:r>
      <w:proofErr w:type="gramStart"/>
      <w:r w:rsidRPr="00A95392">
        <w:rPr>
          <w:rFonts w:ascii="Arial" w:hAnsi="Arial"/>
          <w:i/>
          <w:iCs/>
        </w:rPr>
        <w:t>Heerden</w:t>
      </w:r>
      <w:r w:rsidRPr="00A95392">
        <w:rPr>
          <w:rFonts w:ascii="Arial" w:hAnsi="Arial"/>
        </w:rPr>
        <w:t>:par.</w:t>
      </w:r>
      <w:proofErr w:type="gramEnd"/>
      <w:r w:rsidRPr="00A95392">
        <w:rPr>
          <w:rFonts w:ascii="Arial" w:hAnsi="Arial"/>
        </w:rPr>
        <w:t>44.</w:t>
      </w:r>
    </w:p>
  </w:footnote>
  <w:footnote w:id="455">
    <w:p w14:paraId="38869EE4"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Minister of Finance v Van </w:t>
      </w:r>
      <w:proofErr w:type="gramStart"/>
      <w:r w:rsidRPr="00A95392">
        <w:rPr>
          <w:rFonts w:ascii="Arial" w:hAnsi="Arial"/>
          <w:i/>
          <w:iCs/>
        </w:rPr>
        <w:t>Heerden</w:t>
      </w:r>
      <w:r w:rsidRPr="00A95392">
        <w:rPr>
          <w:rFonts w:ascii="Arial" w:hAnsi="Arial"/>
        </w:rPr>
        <w:t>:par.</w:t>
      </w:r>
      <w:proofErr w:type="gramEnd"/>
      <w:r w:rsidRPr="00A95392">
        <w:rPr>
          <w:rFonts w:ascii="Arial" w:hAnsi="Arial"/>
        </w:rPr>
        <w:t>85.</w:t>
      </w:r>
    </w:p>
  </w:footnote>
  <w:footnote w:id="456">
    <w:p w14:paraId="1F8A6041"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Minister of Finance v Van </w:t>
      </w:r>
      <w:proofErr w:type="spellStart"/>
      <w:proofErr w:type="gramStart"/>
      <w:r w:rsidRPr="00A95392">
        <w:rPr>
          <w:rFonts w:ascii="Arial" w:hAnsi="Arial"/>
          <w:i/>
          <w:iCs/>
          <w:lang w:val="en-ZA"/>
        </w:rPr>
        <w:t>Heerden</w:t>
      </w:r>
      <w:r w:rsidRPr="00A95392">
        <w:rPr>
          <w:rFonts w:ascii="Arial" w:hAnsi="Arial"/>
          <w:lang w:val="en-ZA"/>
        </w:rPr>
        <w:t>:par</w:t>
      </w:r>
      <w:proofErr w:type="spellEnd"/>
      <w:r w:rsidRPr="00A95392">
        <w:rPr>
          <w:rFonts w:ascii="Arial" w:hAnsi="Arial"/>
          <w:lang w:val="en-ZA"/>
        </w:rPr>
        <w:t>.</w:t>
      </w:r>
      <w:proofErr w:type="gramEnd"/>
      <w:r w:rsidRPr="00A95392">
        <w:rPr>
          <w:rFonts w:ascii="Arial" w:hAnsi="Arial"/>
        </w:rPr>
        <w:t>85</w:t>
      </w:r>
      <w:r w:rsidRPr="00A95392">
        <w:rPr>
          <w:rFonts w:ascii="Arial" w:hAnsi="Arial"/>
          <w:lang w:val="en-ZA"/>
        </w:rPr>
        <w:t>.</w:t>
      </w:r>
    </w:p>
  </w:footnote>
  <w:footnote w:id="457">
    <w:p w14:paraId="1A9B65C6"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Dudley v City of Cape </w:t>
      </w:r>
      <w:proofErr w:type="gramStart"/>
      <w:r w:rsidRPr="00A95392">
        <w:rPr>
          <w:rFonts w:ascii="Arial" w:hAnsi="Arial"/>
          <w:i/>
          <w:iCs/>
        </w:rPr>
        <w:t>Town</w:t>
      </w:r>
      <w:r w:rsidRPr="00A95392">
        <w:rPr>
          <w:rFonts w:ascii="Arial" w:hAnsi="Arial"/>
        </w:rPr>
        <w:t>:paras</w:t>
      </w:r>
      <w:proofErr w:type="gramEnd"/>
      <w:r w:rsidRPr="00A95392">
        <w:rPr>
          <w:rFonts w:ascii="Arial" w:hAnsi="Arial"/>
        </w:rPr>
        <w:t>.42-44.</w:t>
      </w:r>
    </w:p>
  </w:footnote>
  <w:footnote w:id="458">
    <w:p w14:paraId="569C0D55"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Dudley v City of Cape </w:t>
      </w:r>
      <w:proofErr w:type="spellStart"/>
      <w:proofErr w:type="gramStart"/>
      <w:r w:rsidRPr="00A95392">
        <w:rPr>
          <w:rFonts w:ascii="Arial" w:hAnsi="Arial"/>
          <w:i/>
          <w:iCs/>
          <w:lang w:val="en-ZA"/>
        </w:rPr>
        <w:t>Town</w:t>
      </w:r>
      <w:r w:rsidRPr="00A95392">
        <w:rPr>
          <w:rFonts w:ascii="Arial" w:hAnsi="Arial"/>
          <w:lang w:val="en-ZA"/>
        </w:rPr>
        <w:t>:par</w:t>
      </w:r>
      <w:proofErr w:type="spellEnd"/>
      <w:r w:rsidRPr="00A95392">
        <w:rPr>
          <w:rFonts w:ascii="Arial" w:hAnsi="Arial"/>
          <w:lang w:val="en-ZA"/>
        </w:rPr>
        <w:t>.</w:t>
      </w:r>
      <w:proofErr w:type="gramEnd"/>
      <w:r w:rsidRPr="00A95392">
        <w:rPr>
          <w:rFonts w:ascii="Arial" w:hAnsi="Arial"/>
        </w:rPr>
        <w:t>55.</w:t>
      </w:r>
    </w:p>
  </w:footnote>
  <w:footnote w:id="459">
    <w:p w14:paraId="3BB85CC2"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Dudley v City of Cape </w:t>
      </w:r>
      <w:proofErr w:type="gramStart"/>
      <w:r w:rsidRPr="00A95392">
        <w:rPr>
          <w:rFonts w:ascii="Arial" w:hAnsi="Arial"/>
          <w:i/>
          <w:iCs/>
          <w:lang w:val="en-ZA"/>
        </w:rPr>
        <w:t>Town</w:t>
      </w:r>
      <w:r w:rsidRPr="00A95392">
        <w:rPr>
          <w:rFonts w:ascii="Arial" w:hAnsi="Arial"/>
          <w:lang w:val="en-ZA"/>
        </w:rPr>
        <w:t>:par.</w:t>
      </w:r>
      <w:proofErr w:type="gramEnd"/>
      <w:r w:rsidRPr="00A95392">
        <w:rPr>
          <w:rFonts w:ascii="Arial" w:hAnsi="Arial"/>
          <w:lang w:val="en-ZA"/>
        </w:rPr>
        <w:t>44.</w:t>
      </w:r>
    </w:p>
  </w:footnote>
  <w:footnote w:id="460">
    <w:p w14:paraId="2ACB4104"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Dudley v City of Cape </w:t>
      </w:r>
      <w:proofErr w:type="gramStart"/>
      <w:r w:rsidRPr="00A95392">
        <w:rPr>
          <w:rFonts w:ascii="Arial" w:hAnsi="Arial"/>
          <w:i/>
          <w:iCs/>
        </w:rPr>
        <w:t>Town</w:t>
      </w:r>
      <w:r w:rsidRPr="00A95392">
        <w:rPr>
          <w:rFonts w:ascii="Arial" w:hAnsi="Arial"/>
        </w:rPr>
        <w:t>:paras</w:t>
      </w:r>
      <w:proofErr w:type="gramEnd"/>
      <w:r w:rsidRPr="00A95392">
        <w:rPr>
          <w:rFonts w:ascii="Arial" w:hAnsi="Arial"/>
        </w:rPr>
        <w:t>.43-44,46.</w:t>
      </w:r>
    </w:p>
  </w:footnote>
  <w:footnote w:id="461">
    <w:p w14:paraId="5289F551"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Dudley v City of Cape </w:t>
      </w:r>
      <w:proofErr w:type="spellStart"/>
      <w:proofErr w:type="gramStart"/>
      <w:r w:rsidRPr="00A95392">
        <w:rPr>
          <w:rFonts w:ascii="Arial" w:hAnsi="Arial"/>
          <w:i/>
          <w:iCs/>
          <w:lang w:val="en-ZA"/>
        </w:rPr>
        <w:t>Town</w:t>
      </w:r>
      <w:r w:rsidRPr="00A95392">
        <w:rPr>
          <w:rFonts w:ascii="Arial" w:hAnsi="Arial"/>
          <w:lang w:val="en-ZA"/>
        </w:rPr>
        <w:t>:par</w:t>
      </w:r>
      <w:proofErr w:type="spellEnd"/>
      <w:r w:rsidRPr="00A95392">
        <w:rPr>
          <w:rFonts w:ascii="Arial" w:hAnsi="Arial"/>
        </w:rPr>
        <w:t>as</w:t>
      </w:r>
      <w:proofErr w:type="gramEnd"/>
      <w:r w:rsidRPr="00A95392">
        <w:rPr>
          <w:rFonts w:ascii="Arial" w:hAnsi="Arial"/>
          <w:lang w:val="en-ZA"/>
        </w:rPr>
        <w:t>.43-</w:t>
      </w:r>
      <w:r w:rsidRPr="00A95392">
        <w:rPr>
          <w:rFonts w:ascii="Arial" w:hAnsi="Arial"/>
        </w:rPr>
        <w:t>44.</w:t>
      </w:r>
    </w:p>
  </w:footnote>
  <w:footnote w:id="462">
    <w:p w14:paraId="11950D7A" w14:textId="2B02C922"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004655C8">
        <w:rPr>
          <w:rFonts w:ascii="Arial" w:hAnsi="Arial"/>
        </w:rPr>
        <w:t xml:space="preserve"> </w:t>
      </w:r>
      <w:r w:rsidRPr="00A95392">
        <w:rPr>
          <w:rFonts w:ascii="Arial" w:hAnsi="Arial"/>
          <w:i/>
          <w:iCs/>
          <w:lang w:val="en-ZA"/>
        </w:rPr>
        <w:t xml:space="preserve">Dudley v City of Cape </w:t>
      </w:r>
      <w:proofErr w:type="spellStart"/>
      <w:proofErr w:type="gramStart"/>
      <w:r w:rsidRPr="00A95392">
        <w:rPr>
          <w:rFonts w:ascii="Arial" w:hAnsi="Arial"/>
          <w:i/>
          <w:iCs/>
          <w:lang w:val="en-ZA"/>
        </w:rPr>
        <w:t>Town</w:t>
      </w:r>
      <w:r w:rsidRPr="00A95392">
        <w:rPr>
          <w:rFonts w:ascii="Arial" w:hAnsi="Arial"/>
          <w:lang w:val="en-ZA"/>
        </w:rPr>
        <w:t>:par</w:t>
      </w:r>
      <w:proofErr w:type="spellEnd"/>
      <w:r w:rsidRPr="00A95392">
        <w:rPr>
          <w:rFonts w:ascii="Arial" w:hAnsi="Arial"/>
        </w:rPr>
        <w:t>as</w:t>
      </w:r>
      <w:proofErr w:type="gramEnd"/>
      <w:r w:rsidRPr="00A95392">
        <w:rPr>
          <w:rFonts w:ascii="Arial" w:hAnsi="Arial"/>
          <w:lang w:val="en-ZA"/>
        </w:rPr>
        <w:t>.4</w:t>
      </w:r>
      <w:r w:rsidRPr="00A95392">
        <w:rPr>
          <w:rFonts w:ascii="Arial" w:hAnsi="Arial"/>
        </w:rPr>
        <w:t>2</w:t>
      </w:r>
      <w:r w:rsidRPr="00A95392">
        <w:rPr>
          <w:rFonts w:ascii="Arial" w:hAnsi="Arial"/>
          <w:lang w:val="en-ZA"/>
        </w:rPr>
        <w:t>-4</w:t>
      </w:r>
      <w:r w:rsidRPr="00A95392">
        <w:rPr>
          <w:rFonts w:ascii="Arial" w:hAnsi="Arial"/>
        </w:rPr>
        <w:t>8</w:t>
      </w:r>
      <w:r w:rsidRPr="00A95392">
        <w:rPr>
          <w:rFonts w:ascii="Arial" w:hAnsi="Arial"/>
          <w:lang w:val="en-ZA"/>
        </w:rPr>
        <w:t>.</w:t>
      </w:r>
    </w:p>
  </w:footnote>
  <w:footnote w:id="463">
    <w:p w14:paraId="1E32CE20"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Thekiso v IBM South </w:t>
      </w:r>
      <w:proofErr w:type="gramStart"/>
      <w:r w:rsidRPr="00A95392">
        <w:rPr>
          <w:rFonts w:ascii="Arial" w:hAnsi="Arial"/>
          <w:i/>
          <w:iCs/>
        </w:rPr>
        <w:t>Africa</w:t>
      </w:r>
      <w:r w:rsidRPr="00A95392">
        <w:rPr>
          <w:rFonts w:ascii="Arial" w:hAnsi="Arial"/>
        </w:rPr>
        <w:t>:par.</w:t>
      </w:r>
      <w:proofErr w:type="gramEnd"/>
      <w:r w:rsidRPr="00A95392">
        <w:rPr>
          <w:rFonts w:ascii="Arial" w:hAnsi="Arial"/>
        </w:rPr>
        <w:t>1.</w:t>
      </w:r>
    </w:p>
  </w:footnote>
  <w:footnote w:id="464">
    <w:p w14:paraId="1E1A5C12"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Thekiso v IBM South </w:t>
      </w:r>
      <w:proofErr w:type="gramStart"/>
      <w:r w:rsidRPr="00A95392">
        <w:rPr>
          <w:rFonts w:ascii="Arial" w:hAnsi="Arial"/>
          <w:i/>
          <w:iCs/>
          <w:lang w:val="en-ZA"/>
        </w:rPr>
        <w:t>Africa</w:t>
      </w:r>
      <w:r w:rsidRPr="00A95392">
        <w:rPr>
          <w:rFonts w:ascii="Arial" w:hAnsi="Arial"/>
          <w:lang w:val="en-ZA"/>
        </w:rPr>
        <w:t>:par.</w:t>
      </w:r>
      <w:proofErr w:type="gramEnd"/>
      <w:r w:rsidRPr="00A95392">
        <w:rPr>
          <w:rFonts w:ascii="Arial" w:hAnsi="Arial"/>
          <w:lang w:val="en-ZA"/>
        </w:rPr>
        <w:t>1</w:t>
      </w:r>
      <w:r w:rsidRPr="00A95392">
        <w:rPr>
          <w:rFonts w:ascii="Arial" w:hAnsi="Arial"/>
        </w:rPr>
        <w:t>.</w:t>
      </w:r>
    </w:p>
  </w:footnote>
  <w:footnote w:id="465">
    <w:p w14:paraId="744AEC16"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Thekiso v IBM South </w:t>
      </w:r>
      <w:proofErr w:type="spellStart"/>
      <w:proofErr w:type="gramStart"/>
      <w:r w:rsidRPr="00A95392">
        <w:rPr>
          <w:rFonts w:ascii="Arial" w:hAnsi="Arial"/>
          <w:i/>
          <w:iCs/>
          <w:lang w:val="en-ZA"/>
        </w:rPr>
        <w:t>Africa</w:t>
      </w:r>
      <w:r w:rsidRPr="00A95392">
        <w:rPr>
          <w:rFonts w:ascii="Arial" w:hAnsi="Arial"/>
          <w:lang w:val="en-ZA"/>
        </w:rPr>
        <w:t>:par</w:t>
      </w:r>
      <w:proofErr w:type="spellEnd"/>
      <w:r w:rsidRPr="00A95392">
        <w:rPr>
          <w:rFonts w:ascii="Arial" w:hAnsi="Arial"/>
        </w:rPr>
        <w:t>as</w:t>
      </w:r>
      <w:proofErr w:type="gramEnd"/>
      <w:r w:rsidRPr="00A95392">
        <w:rPr>
          <w:rFonts w:ascii="Arial" w:hAnsi="Arial"/>
          <w:lang w:val="en-ZA"/>
        </w:rPr>
        <w:t>.</w:t>
      </w:r>
      <w:r w:rsidRPr="00A95392">
        <w:rPr>
          <w:rFonts w:ascii="Arial" w:hAnsi="Arial"/>
        </w:rPr>
        <w:t>41,43.</w:t>
      </w:r>
    </w:p>
  </w:footnote>
  <w:footnote w:id="466">
    <w:p w14:paraId="0E54581E" w14:textId="498FEB0A"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Thekiso v IBM South </w:t>
      </w:r>
      <w:proofErr w:type="gramStart"/>
      <w:r w:rsidRPr="00A95392">
        <w:rPr>
          <w:rFonts w:ascii="Arial" w:hAnsi="Arial"/>
          <w:i/>
          <w:iCs/>
        </w:rPr>
        <w:t>Africa</w:t>
      </w:r>
      <w:r w:rsidRPr="00A95392">
        <w:rPr>
          <w:rFonts w:ascii="Arial" w:hAnsi="Arial"/>
        </w:rPr>
        <w:t>:paras</w:t>
      </w:r>
      <w:proofErr w:type="gramEnd"/>
      <w:r w:rsidRPr="00A95392">
        <w:rPr>
          <w:rFonts w:ascii="Arial" w:hAnsi="Arial"/>
        </w:rPr>
        <w:t>.43,47.</w:t>
      </w:r>
    </w:p>
  </w:footnote>
  <w:footnote w:id="467">
    <w:p w14:paraId="54C53C0E"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Thekiso v IBM South </w:t>
      </w:r>
      <w:proofErr w:type="gramStart"/>
      <w:r w:rsidRPr="00A95392">
        <w:rPr>
          <w:rFonts w:ascii="Arial" w:hAnsi="Arial"/>
          <w:i/>
          <w:iCs/>
        </w:rPr>
        <w:t>Africa</w:t>
      </w:r>
      <w:r w:rsidRPr="00A95392">
        <w:rPr>
          <w:rFonts w:ascii="Arial" w:hAnsi="Arial"/>
        </w:rPr>
        <w:t>:par.</w:t>
      </w:r>
      <w:proofErr w:type="gramEnd"/>
      <w:r w:rsidRPr="00A95392">
        <w:rPr>
          <w:rFonts w:ascii="Arial" w:hAnsi="Arial"/>
        </w:rPr>
        <w:t>44.</w:t>
      </w:r>
      <w:r w:rsidRPr="00A95392">
        <w:rPr>
          <w:rFonts w:ascii="Arial" w:hAnsi="Arial"/>
        </w:rPr>
        <w:tab/>
      </w:r>
    </w:p>
  </w:footnote>
  <w:footnote w:id="468">
    <w:p w14:paraId="2D9DD807"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 xml:space="preserve">Thekiso v IBM South </w:t>
      </w:r>
      <w:proofErr w:type="gramStart"/>
      <w:r w:rsidRPr="00A95392">
        <w:rPr>
          <w:rFonts w:ascii="Arial" w:hAnsi="Arial"/>
          <w:i/>
          <w:iCs/>
        </w:rPr>
        <w:t>Africa</w:t>
      </w:r>
      <w:r w:rsidRPr="00A95392">
        <w:rPr>
          <w:rFonts w:ascii="Arial" w:hAnsi="Arial"/>
        </w:rPr>
        <w:t>:par.</w:t>
      </w:r>
      <w:proofErr w:type="gramEnd"/>
      <w:r w:rsidRPr="00A95392">
        <w:rPr>
          <w:rFonts w:ascii="Arial" w:hAnsi="Arial"/>
        </w:rPr>
        <w:t>44.</w:t>
      </w:r>
    </w:p>
  </w:footnote>
  <w:footnote w:id="469">
    <w:p w14:paraId="1B755073"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Thekiso v IBM South </w:t>
      </w:r>
      <w:proofErr w:type="gramStart"/>
      <w:r w:rsidRPr="00A95392">
        <w:rPr>
          <w:rFonts w:ascii="Arial" w:hAnsi="Arial"/>
          <w:i/>
          <w:iCs/>
          <w:lang w:val="en-ZA"/>
        </w:rPr>
        <w:t>Africa</w:t>
      </w:r>
      <w:r w:rsidRPr="00A95392">
        <w:rPr>
          <w:rFonts w:ascii="Arial" w:hAnsi="Arial"/>
          <w:lang w:val="en-ZA"/>
        </w:rPr>
        <w:t>:par.</w:t>
      </w:r>
      <w:proofErr w:type="gramEnd"/>
      <w:r w:rsidRPr="00A95392">
        <w:rPr>
          <w:rFonts w:ascii="Arial" w:hAnsi="Arial"/>
          <w:lang w:val="en-ZA"/>
        </w:rPr>
        <w:t>44.</w:t>
      </w:r>
    </w:p>
  </w:footnote>
  <w:footnote w:id="470">
    <w:p w14:paraId="7E9BFF53"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Thekiso v IBM South </w:t>
      </w:r>
      <w:proofErr w:type="gramStart"/>
      <w:r w:rsidRPr="00A95392">
        <w:rPr>
          <w:rFonts w:ascii="Arial" w:hAnsi="Arial"/>
          <w:i/>
          <w:iCs/>
          <w:lang w:val="en-ZA"/>
        </w:rPr>
        <w:t>Africa</w:t>
      </w:r>
      <w:r w:rsidRPr="00A95392">
        <w:rPr>
          <w:rFonts w:ascii="Arial" w:hAnsi="Arial"/>
          <w:lang w:val="en-ZA"/>
        </w:rPr>
        <w:t>:par.</w:t>
      </w:r>
      <w:proofErr w:type="gramEnd"/>
      <w:r w:rsidRPr="00A95392">
        <w:rPr>
          <w:rFonts w:ascii="Arial" w:hAnsi="Arial"/>
          <w:lang w:val="en-ZA"/>
        </w:rPr>
        <w:t>4</w:t>
      </w:r>
      <w:r w:rsidRPr="00A95392">
        <w:rPr>
          <w:rFonts w:ascii="Arial" w:hAnsi="Arial"/>
        </w:rPr>
        <w:t>6.</w:t>
      </w:r>
    </w:p>
  </w:footnote>
  <w:footnote w:id="471">
    <w:p w14:paraId="419F1228"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Thekiso v IBM South </w:t>
      </w:r>
      <w:proofErr w:type="gramStart"/>
      <w:r w:rsidRPr="00A95392">
        <w:rPr>
          <w:rFonts w:ascii="Arial" w:hAnsi="Arial"/>
          <w:i/>
          <w:iCs/>
          <w:lang w:val="en-ZA"/>
        </w:rPr>
        <w:t>Africa</w:t>
      </w:r>
      <w:r w:rsidRPr="00A95392">
        <w:rPr>
          <w:rFonts w:ascii="Arial" w:hAnsi="Arial"/>
          <w:lang w:val="en-ZA"/>
        </w:rPr>
        <w:t>:par.</w:t>
      </w:r>
      <w:proofErr w:type="gramEnd"/>
      <w:r w:rsidRPr="00A95392">
        <w:rPr>
          <w:rFonts w:ascii="Arial" w:hAnsi="Arial"/>
          <w:lang w:val="en-ZA"/>
        </w:rPr>
        <w:t>4</w:t>
      </w:r>
      <w:r w:rsidRPr="00A95392">
        <w:rPr>
          <w:rFonts w:ascii="Arial" w:hAnsi="Arial"/>
        </w:rPr>
        <w:t>6.</w:t>
      </w:r>
    </w:p>
  </w:footnote>
  <w:footnote w:id="472">
    <w:p w14:paraId="0E885DE1"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 xml:space="preserve">Thekiso v IBM South </w:t>
      </w:r>
      <w:proofErr w:type="gramStart"/>
      <w:r w:rsidRPr="00A95392">
        <w:rPr>
          <w:rFonts w:ascii="Arial" w:hAnsi="Arial"/>
          <w:i/>
          <w:iCs/>
          <w:lang w:val="en-ZA"/>
        </w:rPr>
        <w:t>Africa</w:t>
      </w:r>
      <w:r w:rsidRPr="00A95392">
        <w:rPr>
          <w:rFonts w:ascii="Arial" w:hAnsi="Arial"/>
          <w:lang w:val="en-ZA"/>
        </w:rPr>
        <w:t>:par.</w:t>
      </w:r>
      <w:proofErr w:type="gramEnd"/>
      <w:r w:rsidRPr="00A95392">
        <w:rPr>
          <w:rFonts w:ascii="Arial" w:hAnsi="Arial"/>
          <w:lang w:val="en-ZA"/>
        </w:rPr>
        <w:t>4</w:t>
      </w:r>
      <w:r w:rsidRPr="00A95392">
        <w:rPr>
          <w:rFonts w:ascii="Arial" w:hAnsi="Arial"/>
        </w:rPr>
        <w:t>6</w:t>
      </w:r>
      <w:r w:rsidRPr="00A95392">
        <w:rPr>
          <w:rFonts w:ascii="Arial" w:hAnsi="Arial"/>
          <w:lang w:val="en-ZA"/>
        </w:rPr>
        <w:t>.</w:t>
      </w:r>
    </w:p>
    <w:p w14:paraId="20862FF2" w14:textId="77777777" w:rsidR="00DF6BC2" w:rsidRPr="00A95392" w:rsidRDefault="00DF6BC2" w:rsidP="00DF6BC2">
      <w:pPr>
        <w:pStyle w:val="FootnoteText"/>
        <w:rPr>
          <w:rFonts w:ascii="Arial" w:hAnsi="Arial"/>
        </w:rPr>
      </w:pPr>
    </w:p>
  </w:footnote>
  <w:footnote w:id="473">
    <w:p w14:paraId="56EA1B06"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bookmarkStart w:id="234" w:name="_Hlk183967658"/>
      <w:r w:rsidRPr="00A95392">
        <w:rPr>
          <w:rFonts w:ascii="Arial" w:hAnsi="Arial"/>
          <w:i/>
          <w:iCs/>
          <w:lang w:val="en-ZA"/>
        </w:rPr>
        <w:t>Karriem v </w:t>
      </w:r>
      <w:proofErr w:type="gramStart"/>
      <w:r w:rsidRPr="00A95392">
        <w:rPr>
          <w:rFonts w:ascii="Arial" w:hAnsi="Arial"/>
          <w:i/>
          <w:iCs/>
          <w:lang w:val="en-ZA"/>
        </w:rPr>
        <w:t>SAPS</w:t>
      </w:r>
      <w:bookmarkEnd w:id="234"/>
      <w:r w:rsidRPr="00A95392">
        <w:rPr>
          <w:rFonts w:ascii="Arial" w:hAnsi="Arial"/>
        </w:rPr>
        <w:t>:paras</w:t>
      </w:r>
      <w:proofErr w:type="gramEnd"/>
      <w:r w:rsidRPr="00A95392">
        <w:rPr>
          <w:rFonts w:ascii="Arial" w:hAnsi="Arial"/>
        </w:rPr>
        <w:t>.48-49.</w:t>
      </w:r>
    </w:p>
  </w:footnote>
  <w:footnote w:id="474">
    <w:p w14:paraId="6E1B934A"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Karriem v </w:t>
      </w:r>
      <w:proofErr w:type="spellStart"/>
      <w:proofErr w:type="gramStart"/>
      <w:r w:rsidRPr="00A95392">
        <w:rPr>
          <w:rFonts w:ascii="Arial" w:hAnsi="Arial"/>
          <w:i/>
          <w:iCs/>
          <w:lang w:val="en-ZA"/>
        </w:rPr>
        <w:t>SAPS</w:t>
      </w:r>
      <w:r w:rsidRPr="00A95392">
        <w:rPr>
          <w:rFonts w:ascii="Arial" w:hAnsi="Arial"/>
          <w:lang w:val="en-ZA"/>
        </w:rPr>
        <w:t>:par</w:t>
      </w:r>
      <w:proofErr w:type="spellEnd"/>
      <w:r w:rsidRPr="00A95392">
        <w:rPr>
          <w:rFonts w:ascii="Arial" w:hAnsi="Arial"/>
        </w:rPr>
        <w:t>.</w:t>
      </w:r>
      <w:proofErr w:type="gramEnd"/>
      <w:r w:rsidRPr="00A95392">
        <w:rPr>
          <w:rFonts w:ascii="Arial" w:hAnsi="Arial"/>
        </w:rPr>
        <w:t>52.</w:t>
      </w:r>
    </w:p>
  </w:footnote>
  <w:footnote w:id="475">
    <w:p w14:paraId="32EE5D1E"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Karriem v </w:t>
      </w:r>
      <w:proofErr w:type="gramStart"/>
      <w:r w:rsidRPr="00A95392">
        <w:rPr>
          <w:rFonts w:ascii="Arial" w:hAnsi="Arial"/>
          <w:i/>
          <w:iCs/>
        </w:rPr>
        <w:t>SAPS</w:t>
      </w:r>
      <w:r w:rsidRPr="00A95392">
        <w:rPr>
          <w:rFonts w:ascii="Arial" w:hAnsi="Arial"/>
        </w:rPr>
        <w:t>:par.</w:t>
      </w:r>
      <w:proofErr w:type="gramEnd"/>
      <w:r w:rsidRPr="00A95392">
        <w:rPr>
          <w:rFonts w:ascii="Arial" w:hAnsi="Arial"/>
        </w:rPr>
        <w:t>52.</w:t>
      </w:r>
    </w:p>
  </w:footnote>
  <w:footnote w:id="476">
    <w:p w14:paraId="7D771CA4"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rPr>
        <w:t>Karriem v </w:t>
      </w:r>
      <w:proofErr w:type="gramStart"/>
      <w:r w:rsidRPr="00A95392">
        <w:rPr>
          <w:rFonts w:ascii="Arial" w:hAnsi="Arial"/>
          <w:i/>
          <w:iCs/>
        </w:rPr>
        <w:t>SAPS</w:t>
      </w:r>
      <w:r w:rsidRPr="00A95392">
        <w:rPr>
          <w:rFonts w:ascii="Arial" w:hAnsi="Arial"/>
        </w:rPr>
        <w:t>:paras</w:t>
      </w:r>
      <w:proofErr w:type="gramEnd"/>
      <w:r w:rsidRPr="00A95392">
        <w:rPr>
          <w:rFonts w:ascii="Arial" w:hAnsi="Arial"/>
        </w:rPr>
        <w:t>.77-79.</w:t>
      </w:r>
    </w:p>
  </w:footnote>
  <w:footnote w:id="477">
    <w:p w14:paraId="5D92AA20" w14:textId="77777777" w:rsidR="00DF6BC2" w:rsidRPr="00A95392" w:rsidRDefault="00DF6BC2" w:rsidP="00DF6BC2">
      <w:pPr>
        <w:pStyle w:val="FootnoteText"/>
        <w:rPr>
          <w:rFonts w:ascii="Arial" w:hAnsi="Arial"/>
        </w:rPr>
      </w:pPr>
      <w:r w:rsidRPr="00A95392">
        <w:rPr>
          <w:rStyle w:val="FootnoteReference"/>
          <w:rFonts w:ascii="Arial" w:hAnsi="Arial"/>
        </w:rPr>
        <w:footnoteRef/>
      </w:r>
      <w:r w:rsidRPr="00A95392">
        <w:rPr>
          <w:rFonts w:ascii="Arial" w:hAnsi="Arial"/>
        </w:rPr>
        <w:t xml:space="preserve"> </w:t>
      </w:r>
      <w:r w:rsidRPr="00A95392">
        <w:rPr>
          <w:rFonts w:ascii="Arial" w:hAnsi="Arial"/>
        </w:rPr>
        <w:tab/>
      </w:r>
      <w:r w:rsidRPr="00A95392">
        <w:rPr>
          <w:rFonts w:ascii="Arial" w:hAnsi="Arial"/>
          <w:i/>
          <w:iCs/>
          <w:lang w:val="en-ZA"/>
        </w:rPr>
        <w:t>Karriem v </w:t>
      </w:r>
      <w:proofErr w:type="spellStart"/>
      <w:proofErr w:type="gramStart"/>
      <w:r w:rsidRPr="00A95392">
        <w:rPr>
          <w:rFonts w:ascii="Arial" w:hAnsi="Arial"/>
          <w:i/>
          <w:iCs/>
          <w:lang w:val="en-ZA"/>
        </w:rPr>
        <w:t>SAPS</w:t>
      </w:r>
      <w:r w:rsidRPr="00A95392">
        <w:rPr>
          <w:rFonts w:ascii="Arial" w:hAnsi="Arial"/>
          <w:lang w:val="en-ZA"/>
        </w:rPr>
        <w:t>:par</w:t>
      </w:r>
      <w:proofErr w:type="spellEnd"/>
      <w:r w:rsidRPr="00A95392">
        <w:rPr>
          <w:rFonts w:ascii="Arial" w:hAnsi="Arial"/>
        </w:rPr>
        <w:t>as</w:t>
      </w:r>
      <w:proofErr w:type="gramEnd"/>
      <w:r w:rsidRPr="00A95392">
        <w:rPr>
          <w:rFonts w:ascii="Arial" w:hAnsi="Arial"/>
          <w:lang w:val="en-ZA"/>
        </w:rPr>
        <w:t>.77-79.</w:t>
      </w:r>
    </w:p>
    <w:p w14:paraId="5E9572DA" w14:textId="77777777" w:rsidR="00DF6BC2" w:rsidRPr="00A95392" w:rsidRDefault="00DF6BC2" w:rsidP="00DF6BC2">
      <w:pPr>
        <w:pStyle w:val="FootnoteText"/>
        <w:rPr>
          <w:rFonts w:ascii="Arial" w:hAnsi="Aria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B18C0"/>
    <w:multiLevelType w:val="multilevel"/>
    <w:tmpl w:val="74901FE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4864324"/>
    <w:multiLevelType w:val="multilevel"/>
    <w:tmpl w:val="F6EC6A82"/>
    <w:lvl w:ilvl="0">
      <w:start w:val="4"/>
      <w:numFmt w:val="decimal"/>
      <w:lvlText w:val="%1"/>
      <w:lvlJc w:val="left"/>
      <w:pPr>
        <w:ind w:left="525" w:hanging="525"/>
      </w:pPr>
      <w:rPr>
        <w:rFonts w:hint="default"/>
      </w:rPr>
    </w:lvl>
    <w:lvl w:ilvl="1">
      <w:start w:val="5"/>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 w15:restartNumberingAfterBreak="0">
    <w:nsid w:val="5A8A1BEE"/>
    <w:multiLevelType w:val="multilevel"/>
    <w:tmpl w:val="74901FE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F73155B"/>
    <w:multiLevelType w:val="multilevel"/>
    <w:tmpl w:val="E132DB62"/>
    <w:lvl w:ilvl="0">
      <w:start w:val="3"/>
      <w:numFmt w:val="decimal"/>
      <w:lvlText w:val="%1"/>
      <w:lvlJc w:val="left"/>
      <w:pPr>
        <w:ind w:left="525" w:hanging="525"/>
      </w:pPr>
      <w:rPr>
        <w:rFonts w:hint="default"/>
      </w:rPr>
    </w:lvl>
    <w:lvl w:ilvl="1">
      <w:start w:val="6"/>
      <w:numFmt w:val="decimal"/>
      <w:lvlText w:val="%1.%2"/>
      <w:lvlJc w:val="left"/>
      <w:pPr>
        <w:ind w:left="705" w:hanging="52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4" w15:restartNumberingAfterBreak="0">
    <w:nsid w:val="78CE4544"/>
    <w:multiLevelType w:val="hybridMultilevel"/>
    <w:tmpl w:val="61B4C986"/>
    <w:lvl w:ilvl="0" w:tplc="6D46B49C">
      <w:start w:val="1"/>
      <w:numFmt w:val="decimal"/>
      <w:lvlText w:val="%1."/>
      <w:lvlJc w:val="left"/>
      <w:pPr>
        <w:ind w:left="1152" w:hanging="360"/>
      </w:pPr>
      <w:rPr>
        <w:rFonts w:hint="default"/>
      </w:rPr>
    </w:lvl>
    <w:lvl w:ilvl="1" w:tplc="1C090019" w:tentative="1">
      <w:start w:val="1"/>
      <w:numFmt w:val="lowerLetter"/>
      <w:lvlText w:val="%2."/>
      <w:lvlJc w:val="left"/>
      <w:pPr>
        <w:ind w:left="1872" w:hanging="360"/>
      </w:pPr>
    </w:lvl>
    <w:lvl w:ilvl="2" w:tplc="1C09001B" w:tentative="1">
      <w:start w:val="1"/>
      <w:numFmt w:val="lowerRoman"/>
      <w:lvlText w:val="%3."/>
      <w:lvlJc w:val="right"/>
      <w:pPr>
        <w:ind w:left="2592" w:hanging="180"/>
      </w:pPr>
    </w:lvl>
    <w:lvl w:ilvl="3" w:tplc="1C09000F" w:tentative="1">
      <w:start w:val="1"/>
      <w:numFmt w:val="decimal"/>
      <w:lvlText w:val="%4."/>
      <w:lvlJc w:val="left"/>
      <w:pPr>
        <w:ind w:left="3312" w:hanging="360"/>
      </w:pPr>
    </w:lvl>
    <w:lvl w:ilvl="4" w:tplc="1C090019" w:tentative="1">
      <w:start w:val="1"/>
      <w:numFmt w:val="lowerLetter"/>
      <w:lvlText w:val="%5."/>
      <w:lvlJc w:val="left"/>
      <w:pPr>
        <w:ind w:left="4032" w:hanging="360"/>
      </w:pPr>
    </w:lvl>
    <w:lvl w:ilvl="5" w:tplc="1C09001B" w:tentative="1">
      <w:start w:val="1"/>
      <w:numFmt w:val="lowerRoman"/>
      <w:lvlText w:val="%6."/>
      <w:lvlJc w:val="right"/>
      <w:pPr>
        <w:ind w:left="4752" w:hanging="180"/>
      </w:pPr>
    </w:lvl>
    <w:lvl w:ilvl="6" w:tplc="1C09000F" w:tentative="1">
      <w:start w:val="1"/>
      <w:numFmt w:val="decimal"/>
      <w:lvlText w:val="%7."/>
      <w:lvlJc w:val="left"/>
      <w:pPr>
        <w:ind w:left="5472" w:hanging="360"/>
      </w:pPr>
    </w:lvl>
    <w:lvl w:ilvl="7" w:tplc="1C090019" w:tentative="1">
      <w:start w:val="1"/>
      <w:numFmt w:val="lowerLetter"/>
      <w:lvlText w:val="%8."/>
      <w:lvlJc w:val="left"/>
      <w:pPr>
        <w:ind w:left="6192" w:hanging="360"/>
      </w:pPr>
    </w:lvl>
    <w:lvl w:ilvl="8" w:tplc="1C09001B" w:tentative="1">
      <w:start w:val="1"/>
      <w:numFmt w:val="lowerRoman"/>
      <w:lvlText w:val="%9."/>
      <w:lvlJc w:val="right"/>
      <w:pPr>
        <w:ind w:left="6912" w:hanging="180"/>
      </w:pPr>
    </w:lvl>
  </w:abstractNum>
  <w:num w:numId="1" w16cid:durableId="1100370660">
    <w:abstractNumId w:val="1"/>
  </w:num>
  <w:num w:numId="2" w16cid:durableId="82580358">
    <w:abstractNumId w:val="4"/>
  </w:num>
  <w:num w:numId="3" w16cid:durableId="877159634">
    <w:abstractNumId w:val="2"/>
  </w:num>
  <w:num w:numId="4" w16cid:durableId="997151818">
    <w:abstractNumId w:val="0"/>
  </w:num>
  <w:num w:numId="5" w16cid:durableId="1989048484">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454"/>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0357"/>
    <w:rsid w:val="00016E59"/>
    <w:rsid w:val="00023106"/>
    <w:rsid w:val="00023FA2"/>
    <w:rsid w:val="000445FC"/>
    <w:rsid w:val="00056583"/>
    <w:rsid w:val="00070143"/>
    <w:rsid w:val="000710D1"/>
    <w:rsid w:val="0009533A"/>
    <w:rsid w:val="00097526"/>
    <w:rsid w:val="000A18C0"/>
    <w:rsid w:val="000A2D14"/>
    <w:rsid w:val="000A48D6"/>
    <w:rsid w:val="000B0760"/>
    <w:rsid w:val="000E7785"/>
    <w:rsid w:val="00100BFF"/>
    <w:rsid w:val="0012453F"/>
    <w:rsid w:val="0013095C"/>
    <w:rsid w:val="00140631"/>
    <w:rsid w:val="00143A27"/>
    <w:rsid w:val="00154A0A"/>
    <w:rsid w:val="001677CA"/>
    <w:rsid w:val="0017055A"/>
    <w:rsid w:val="00170DB7"/>
    <w:rsid w:val="00174453"/>
    <w:rsid w:val="00175A62"/>
    <w:rsid w:val="001B03CA"/>
    <w:rsid w:val="001C6FDE"/>
    <w:rsid w:val="001D48E4"/>
    <w:rsid w:val="001E3E59"/>
    <w:rsid w:val="001E4F83"/>
    <w:rsid w:val="001F057D"/>
    <w:rsid w:val="00205FBE"/>
    <w:rsid w:val="00212F6C"/>
    <w:rsid w:val="00216D0A"/>
    <w:rsid w:val="00226F8F"/>
    <w:rsid w:val="00233EA6"/>
    <w:rsid w:val="00237777"/>
    <w:rsid w:val="002500D5"/>
    <w:rsid w:val="002802F7"/>
    <w:rsid w:val="002852F5"/>
    <w:rsid w:val="00285C49"/>
    <w:rsid w:val="002B5549"/>
    <w:rsid w:val="002C13EB"/>
    <w:rsid w:val="002E6B8C"/>
    <w:rsid w:val="002F1691"/>
    <w:rsid w:val="002F6C7E"/>
    <w:rsid w:val="002F70DB"/>
    <w:rsid w:val="00307529"/>
    <w:rsid w:val="00332C80"/>
    <w:rsid w:val="00350117"/>
    <w:rsid w:val="00360E1E"/>
    <w:rsid w:val="003619F6"/>
    <w:rsid w:val="003A0828"/>
    <w:rsid w:val="003A5874"/>
    <w:rsid w:val="003B4F37"/>
    <w:rsid w:val="003C4E49"/>
    <w:rsid w:val="003D23C4"/>
    <w:rsid w:val="003D448F"/>
    <w:rsid w:val="003E0D8D"/>
    <w:rsid w:val="003F1C68"/>
    <w:rsid w:val="00432970"/>
    <w:rsid w:val="00452249"/>
    <w:rsid w:val="004566FE"/>
    <w:rsid w:val="004655C8"/>
    <w:rsid w:val="00476451"/>
    <w:rsid w:val="00480FB0"/>
    <w:rsid w:val="004850F8"/>
    <w:rsid w:val="00496AFB"/>
    <w:rsid w:val="004A165D"/>
    <w:rsid w:val="004B11DB"/>
    <w:rsid w:val="004C7E18"/>
    <w:rsid w:val="004D15A2"/>
    <w:rsid w:val="004D1E75"/>
    <w:rsid w:val="004D74E0"/>
    <w:rsid w:val="004F683E"/>
    <w:rsid w:val="0051504B"/>
    <w:rsid w:val="005173C2"/>
    <w:rsid w:val="005177F8"/>
    <w:rsid w:val="00522705"/>
    <w:rsid w:val="00525D0D"/>
    <w:rsid w:val="00535DFB"/>
    <w:rsid w:val="00570552"/>
    <w:rsid w:val="00582E50"/>
    <w:rsid w:val="005867A6"/>
    <w:rsid w:val="005B25C9"/>
    <w:rsid w:val="005C0A04"/>
    <w:rsid w:val="005D2E01"/>
    <w:rsid w:val="005D2FBC"/>
    <w:rsid w:val="006010BF"/>
    <w:rsid w:val="00605E90"/>
    <w:rsid w:val="00624E70"/>
    <w:rsid w:val="00635F48"/>
    <w:rsid w:val="00637D35"/>
    <w:rsid w:val="006550C4"/>
    <w:rsid w:val="00661243"/>
    <w:rsid w:val="00664603"/>
    <w:rsid w:val="00677E04"/>
    <w:rsid w:val="00683D77"/>
    <w:rsid w:val="00694A97"/>
    <w:rsid w:val="00697087"/>
    <w:rsid w:val="006973C5"/>
    <w:rsid w:val="0070580D"/>
    <w:rsid w:val="00714FDD"/>
    <w:rsid w:val="00717506"/>
    <w:rsid w:val="007365B2"/>
    <w:rsid w:val="007553DE"/>
    <w:rsid w:val="007708DB"/>
    <w:rsid w:val="007B1FD6"/>
    <w:rsid w:val="007D3311"/>
    <w:rsid w:val="007D77CA"/>
    <w:rsid w:val="007F1881"/>
    <w:rsid w:val="007F3FD9"/>
    <w:rsid w:val="00845994"/>
    <w:rsid w:val="00850C35"/>
    <w:rsid w:val="00872D2D"/>
    <w:rsid w:val="008A357A"/>
    <w:rsid w:val="008C3F18"/>
    <w:rsid w:val="008C745D"/>
    <w:rsid w:val="008E78D0"/>
    <w:rsid w:val="008F51BA"/>
    <w:rsid w:val="00900CFB"/>
    <w:rsid w:val="009341E8"/>
    <w:rsid w:val="00950AFD"/>
    <w:rsid w:val="00965D37"/>
    <w:rsid w:val="00967D9E"/>
    <w:rsid w:val="00972A37"/>
    <w:rsid w:val="00986219"/>
    <w:rsid w:val="009A2DC7"/>
    <w:rsid w:val="009D2A85"/>
    <w:rsid w:val="009F38E3"/>
    <w:rsid w:val="00A266E5"/>
    <w:rsid w:val="00A530CA"/>
    <w:rsid w:val="00A726E2"/>
    <w:rsid w:val="00A73350"/>
    <w:rsid w:val="00A74188"/>
    <w:rsid w:val="00A775FD"/>
    <w:rsid w:val="00A93AE7"/>
    <w:rsid w:val="00A95392"/>
    <w:rsid w:val="00A9620D"/>
    <w:rsid w:val="00AA0CCC"/>
    <w:rsid w:val="00AB13DE"/>
    <w:rsid w:val="00AB2F9F"/>
    <w:rsid w:val="00AB5551"/>
    <w:rsid w:val="00AD71CD"/>
    <w:rsid w:val="00AE33BF"/>
    <w:rsid w:val="00B052BA"/>
    <w:rsid w:val="00B5558B"/>
    <w:rsid w:val="00B90608"/>
    <w:rsid w:val="00B96449"/>
    <w:rsid w:val="00BA6AF4"/>
    <w:rsid w:val="00BA6F22"/>
    <w:rsid w:val="00BB26DB"/>
    <w:rsid w:val="00BB6D2F"/>
    <w:rsid w:val="00BB7375"/>
    <w:rsid w:val="00BC0FF1"/>
    <w:rsid w:val="00BD0538"/>
    <w:rsid w:val="00BF5716"/>
    <w:rsid w:val="00C22C18"/>
    <w:rsid w:val="00C34217"/>
    <w:rsid w:val="00C543A7"/>
    <w:rsid w:val="00C57747"/>
    <w:rsid w:val="00C64BE2"/>
    <w:rsid w:val="00C7670D"/>
    <w:rsid w:val="00C83CBD"/>
    <w:rsid w:val="00C83EAB"/>
    <w:rsid w:val="00C84F54"/>
    <w:rsid w:val="00CA7226"/>
    <w:rsid w:val="00CB0751"/>
    <w:rsid w:val="00CC3BDC"/>
    <w:rsid w:val="00CC446B"/>
    <w:rsid w:val="00CE1959"/>
    <w:rsid w:val="00D10496"/>
    <w:rsid w:val="00D166D4"/>
    <w:rsid w:val="00D33AF3"/>
    <w:rsid w:val="00D53869"/>
    <w:rsid w:val="00D84E9B"/>
    <w:rsid w:val="00DA0357"/>
    <w:rsid w:val="00DA0E1D"/>
    <w:rsid w:val="00DA70E2"/>
    <w:rsid w:val="00DC0569"/>
    <w:rsid w:val="00DC1B7F"/>
    <w:rsid w:val="00DC7DB4"/>
    <w:rsid w:val="00DD4292"/>
    <w:rsid w:val="00DD7122"/>
    <w:rsid w:val="00DD7871"/>
    <w:rsid w:val="00DF6882"/>
    <w:rsid w:val="00DF6BC2"/>
    <w:rsid w:val="00E019C3"/>
    <w:rsid w:val="00E04DB8"/>
    <w:rsid w:val="00E1203D"/>
    <w:rsid w:val="00E150F5"/>
    <w:rsid w:val="00E3073F"/>
    <w:rsid w:val="00E5261A"/>
    <w:rsid w:val="00E60CAE"/>
    <w:rsid w:val="00E9008B"/>
    <w:rsid w:val="00E953ED"/>
    <w:rsid w:val="00EA52D2"/>
    <w:rsid w:val="00EB1E5F"/>
    <w:rsid w:val="00EC10F1"/>
    <w:rsid w:val="00EC18CE"/>
    <w:rsid w:val="00EC2252"/>
    <w:rsid w:val="00EC50F4"/>
    <w:rsid w:val="00EF67B5"/>
    <w:rsid w:val="00F12AE2"/>
    <w:rsid w:val="00F13B7C"/>
    <w:rsid w:val="00F21940"/>
    <w:rsid w:val="00F31C6C"/>
    <w:rsid w:val="00F40606"/>
    <w:rsid w:val="00F61E8A"/>
    <w:rsid w:val="00F62EA9"/>
    <w:rsid w:val="00F77509"/>
    <w:rsid w:val="00F96F18"/>
    <w:rsid w:val="00FB273E"/>
    <w:rsid w:val="00FB72D3"/>
    <w:rsid w:val="00FC0917"/>
    <w:rsid w:val="00FE03A8"/>
    <w:rsid w:val="00FE1ADD"/>
    <w:rsid w:val="00FF401C"/>
    <w:rsid w:val="00FF684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685ECE"/>
  <w15:chartTrackingRefBased/>
  <w15:docId w15:val="{6C5BB690-D238-4AB2-8D3C-FD77485C4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AA0CCC"/>
    <w:pPr>
      <w:keepNext/>
      <w:keepLines/>
      <w:spacing w:before="360" w:after="80" w:line="360" w:lineRule="auto"/>
      <w:jc w:val="both"/>
      <w:outlineLvl w:val="0"/>
    </w:pPr>
    <w:rPr>
      <w:rFonts w:ascii="Arial" w:eastAsiaTheme="majorEastAsia" w:hAnsi="Arial" w:cstheme="majorBidi"/>
      <w:b/>
      <w:sz w:val="24"/>
      <w:szCs w:val="40"/>
    </w:rPr>
  </w:style>
  <w:style w:type="paragraph" w:styleId="Heading2">
    <w:name w:val="heading 2"/>
    <w:basedOn w:val="Normal"/>
    <w:next w:val="Normal"/>
    <w:link w:val="Heading2Char"/>
    <w:uiPriority w:val="9"/>
    <w:unhideWhenUsed/>
    <w:qFormat/>
    <w:rsid w:val="00AA0CCC"/>
    <w:pPr>
      <w:keepNext/>
      <w:keepLines/>
      <w:spacing w:before="160" w:after="80" w:line="360" w:lineRule="auto"/>
      <w:jc w:val="both"/>
      <w:outlineLvl w:val="1"/>
    </w:pPr>
    <w:rPr>
      <w:rFonts w:ascii="Arial" w:eastAsiaTheme="majorEastAsia" w:hAnsi="Arial" w:cstheme="majorBidi"/>
      <w:b/>
      <w:sz w:val="24"/>
      <w:szCs w:val="32"/>
    </w:rPr>
  </w:style>
  <w:style w:type="paragraph" w:styleId="Heading3">
    <w:name w:val="heading 3"/>
    <w:basedOn w:val="Normal"/>
    <w:next w:val="Normal"/>
    <w:link w:val="Heading3Char"/>
    <w:uiPriority w:val="9"/>
    <w:unhideWhenUsed/>
    <w:qFormat/>
    <w:rsid w:val="00DA03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03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03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03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03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03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03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0CCC"/>
    <w:rPr>
      <w:rFonts w:ascii="Arial" w:eastAsiaTheme="majorEastAsia" w:hAnsi="Arial" w:cstheme="majorBidi"/>
      <w:b/>
      <w:sz w:val="24"/>
      <w:szCs w:val="40"/>
      <w:lang w:val="en-GB"/>
    </w:rPr>
  </w:style>
  <w:style w:type="character" w:customStyle="1" w:styleId="Heading2Char">
    <w:name w:val="Heading 2 Char"/>
    <w:basedOn w:val="DefaultParagraphFont"/>
    <w:link w:val="Heading2"/>
    <w:uiPriority w:val="9"/>
    <w:rsid w:val="00AA0CCC"/>
    <w:rPr>
      <w:rFonts w:ascii="Arial" w:eastAsiaTheme="majorEastAsia" w:hAnsi="Arial" w:cstheme="majorBidi"/>
      <w:b/>
      <w:sz w:val="24"/>
      <w:szCs w:val="32"/>
      <w:lang w:val="en-GB"/>
    </w:rPr>
  </w:style>
  <w:style w:type="character" w:customStyle="1" w:styleId="Heading3Char">
    <w:name w:val="Heading 3 Char"/>
    <w:basedOn w:val="DefaultParagraphFont"/>
    <w:link w:val="Heading3"/>
    <w:uiPriority w:val="9"/>
    <w:rsid w:val="00DA03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03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03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03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03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03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0357"/>
    <w:rPr>
      <w:rFonts w:eastAsiaTheme="majorEastAsia" w:cstheme="majorBidi"/>
      <w:color w:val="272727" w:themeColor="text1" w:themeTint="D8"/>
    </w:rPr>
  </w:style>
  <w:style w:type="paragraph" w:styleId="Title">
    <w:name w:val="Title"/>
    <w:basedOn w:val="Normal"/>
    <w:next w:val="Normal"/>
    <w:link w:val="TitleChar"/>
    <w:uiPriority w:val="10"/>
    <w:qFormat/>
    <w:rsid w:val="00AA0CCC"/>
    <w:pPr>
      <w:spacing w:before="40" w:after="0" w:line="360" w:lineRule="auto"/>
      <w:contextualSpacing/>
      <w:outlineLvl w:val="3"/>
    </w:pPr>
    <w:rPr>
      <w:rFonts w:ascii="Arial" w:eastAsiaTheme="majorEastAsia" w:hAnsi="Arial" w:cstheme="majorBidi"/>
      <w:b/>
      <w:spacing w:val="-10"/>
      <w:kern w:val="28"/>
      <w:sz w:val="24"/>
      <w:szCs w:val="56"/>
    </w:rPr>
  </w:style>
  <w:style w:type="character" w:customStyle="1" w:styleId="TitleChar">
    <w:name w:val="Title Char"/>
    <w:basedOn w:val="DefaultParagraphFont"/>
    <w:link w:val="Title"/>
    <w:uiPriority w:val="10"/>
    <w:rsid w:val="00AA0CCC"/>
    <w:rPr>
      <w:rFonts w:ascii="Arial" w:eastAsiaTheme="majorEastAsia" w:hAnsi="Arial" w:cstheme="majorBidi"/>
      <w:b/>
      <w:spacing w:val="-10"/>
      <w:kern w:val="28"/>
      <w:sz w:val="24"/>
      <w:szCs w:val="56"/>
      <w:lang w:val="en-GB"/>
    </w:rPr>
  </w:style>
  <w:style w:type="paragraph" w:styleId="Subtitle">
    <w:name w:val="Subtitle"/>
    <w:basedOn w:val="Normal"/>
    <w:next w:val="Normal"/>
    <w:link w:val="SubtitleChar"/>
    <w:uiPriority w:val="11"/>
    <w:qFormat/>
    <w:rsid w:val="00CB0751"/>
    <w:pPr>
      <w:numPr>
        <w:ilvl w:val="1"/>
      </w:numPr>
      <w:spacing w:before="40" w:after="0" w:line="360" w:lineRule="auto"/>
      <w:outlineLvl w:val="2"/>
    </w:pPr>
    <w:rPr>
      <w:rFonts w:ascii="Arial" w:eastAsiaTheme="majorEastAsia" w:hAnsi="Arial" w:cstheme="majorBidi"/>
      <w:b/>
      <w:color w:val="000000" w:themeColor="text1"/>
      <w:spacing w:val="15"/>
      <w:sz w:val="24"/>
      <w:szCs w:val="28"/>
    </w:rPr>
  </w:style>
  <w:style w:type="character" w:customStyle="1" w:styleId="SubtitleChar">
    <w:name w:val="Subtitle Char"/>
    <w:basedOn w:val="DefaultParagraphFont"/>
    <w:link w:val="Subtitle"/>
    <w:uiPriority w:val="11"/>
    <w:rsid w:val="00CB0751"/>
    <w:rPr>
      <w:rFonts w:ascii="Arial" w:eastAsiaTheme="majorEastAsia" w:hAnsi="Arial" w:cstheme="majorBidi"/>
      <w:b/>
      <w:color w:val="000000" w:themeColor="text1"/>
      <w:spacing w:val="15"/>
      <w:sz w:val="24"/>
      <w:szCs w:val="28"/>
      <w:lang w:val="en-GB"/>
    </w:rPr>
  </w:style>
  <w:style w:type="paragraph" w:styleId="Quote">
    <w:name w:val="Quote"/>
    <w:basedOn w:val="Normal"/>
    <w:next w:val="Normal"/>
    <w:link w:val="QuoteChar"/>
    <w:uiPriority w:val="29"/>
    <w:qFormat/>
    <w:rsid w:val="00DA0357"/>
    <w:pPr>
      <w:spacing w:before="160"/>
      <w:jc w:val="center"/>
    </w:pPr>
    <w:rPr>
      <w:i/>
      <w:iCs/>
      <w:color w:val="404040" w:themeColor="text1" w:themeTint="BF"/>
    </w:rPr>
  </w:style>
  <w:style w:type="character" w:customStyle="1" w:styleId="QuoteChar">
    <w:name w:val="Quote Char"/>
    <w:basedOn w:val="DefaultParagraphFont"/>
    <w:link w:val="Quote"/>
    <w:uiPriority w:val="29"/>
    <w:rsid w:val="00DA0357"/>
    <w:rPr>
      <w:i/>
      <w:iCs/>
      <w:color w:val="404040" w:themeColor="text1" w:themeTint="BF"/>
    </w:rPr>
  </w:style>
  <w:style w:type="paragraph" w:styleId="ListParagraph">
    <w:name w:val="List Paragraph"/>
    <w:basedOn w:val="Normal"/>
    <w:uiPriority w:val="34"/>
    <w:qFormat/>
    <w:rsid w:val="00DA0357"/>
    <w:pPr>
      <w:ind w:left="720"/>
      <w:contextualSpacing/>
    </w:pPr>
  </w:style>
  <w:style w:type="character" w:styleId="IntenseEmphasis">
    <w:name w:val="Intense Emphasis"/>
    <w:basedOn w:val="DefaultParagraphFont"/>
    <w:uiPriority w:val="21"/>
    <w:qFormat/>
    <w:rsid w:val="00DA0357"/>
    <w:rPr>
      <w:i/>
      <w:iCs/>
      <w:color w:val="0F4761" w:themeColor="accent1" w:themeShade="BF"/>
    </w:rPr>
  </w:style>
  <w:style w:type="paragraph" w:styleId="IntenseQuote">
    <w:name w:val="Intense Quote"/>
    <w:basedOn w:val="Normal"/>
    <w:next w:val="Normal"/>
    <w:link w:val="IntenseQuoteChar"/>
    <w:uiPriority w:val="30"/>
    <w:qFormat/>
    <w:rsid w:val="00DA03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0357"/>
    <w:rPr>
      <w:i/>
      <w:iCs/>
      <w:color w:val="0F4761" w:themeColor="accent1" w:themeShade="BF"/>
    </w:rPr>
  </w:style>
  <w:style w:type="character" w:styleId="IntenseReference">
    <w:name w:val="Intense Reference"/>
    <w:basedOn w:val="DefaultParagraphFont"/>
    <w:uiPriority w:val="32"/>
    <w:qFormat/>
    <w:rsid w:val="00DA0357"/>
    <w:rPr>
      <w:b/>
      <w:bCs/>
      <w:smallCaps/>
      <w:color w:val="0F4761" w:themeColor="accent1" w:themeShade="BF"/>
      <w:spacing w:val="5"/>
    </w:rPr>
  </w:style>
  <w:style w:type="paragraph" w:styleId="FootnoteText">
    <w:name w:val="footnote text"/>
    <w:basedOn w:val="Normal"/>
    <w:link w:val="FootnoteTextChar"/>
    <w:uiPriority w:val="99"/>
    <w:rsid w:val="00DA0357"/>
    <w:pPr>
      <w:suppressAutoHyphens/>
      <w:autoSpaceDN w:val="0"/>
      <w:spacing w:after="0" w:line="240" w:lineRule="auto"/>
    </w:pPr>
    <w:rPr>
      <w:rFonts w:ascii="Calibri" w:eastAsia="Calibri" w:hAnsi="Calibri" w:cs="Arial"/>
      <w:kern w:val="0"/>
      <w:sz w:val="20"/>
      <w:szCs w:val="20"/>
      <w:lang w:val="en-US"/>
      <w14:ligatures w14:val="none"/>
    </w:rPr>
  </w:style>
  <w:style w:type="character" w:customStyle="1" w:styleId="FootnoteTextChar">
    <w:name w:val="Footnote Text Char"/>
    <w:basedOn w:val="DefaultParagraphFont"/>
    <w:link w:val="FootnoteText"/>
    <w:uiPriority w:val="99"/>
    <w:rsid w:val="00DA0357"/>
    <w:rPr>
      <w:rFonts w:ascii="Calibri" w:eastAsia="Calibri" w:hAnsi="Calibri" w:cs="Arial"/>
      <w:kern w:val="0"/>
      <w:sz w:val="20"/>
      <w:szCs w:val="20"/>
      <w:lang w:val="en-US"/>
      <w14:ligatures w14:val="none"/>
    </w:rPr>
  </w:style>
  <w:style w:type="character" w:styleId="FootnoteReference">
    <w:name w:val="footnote reference"/>
    <w:basedOn w:val="DefaultParagraphFont"/>
    <w:uiPriority w:val="99"/>
    <w:rsid w:val="00DA0357"/>
    <w:rPr>
      <w:position w:val="0"/>
      <w:vertAlign w:val="superscript"/>
    </w:rPr>
  </w:style>
  <w:style w:type="paragraph" w:styleId="Header">
    <w:name w:val="header"/>
    <w:basedOn w:val="Normal"/>
    <w:link w:val="HeaderChar"/>
    <w:uiPriority w:val="99"/>
    <w:unhideWhenUsed/>
    <w:rsid w:val="000445F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45FC"/>
  </w:style>
  <w:style w:type="paragraph" w:styleId="Footer">
    <w:name w:val="footer"/>
    <w:basedOn w:val="Normal"/>
    <w:link w:val="FooterChar"/>
    <w:uiPriority w:val="99"/>
    <w:unhideWhenUsed/>
    <w:rsid w:val="000445F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45FC"/>
  </w:style>
  <w:style w:type="character" w:styleId="Hyperlink">
    <w:name w:val="Hyperlink"/>
    <w:basedOn w:val="DefaultParagraphFont"/>
    <w:uiPriority w:val="99"/>
    <w:unhideWhenUsed/>
    <w:rsid w:val="002F6C7E"/>
    <w:rPr>
      <w:color w:val="467886" w:themeColor="hyperlink"/>
      <w:u w:val="single"/>
    </w:rPr>
  </w:style>
  <w:style w:type="character" w:styleId="UnresolvedMention">
    <w:name w:val="Unresolved Mention"/>
    <w:basedOn w:val="DefaultParagraphFont"/>
    <w:uiPriority w:val="99"/>
    <w:semiHidden/>
    <w:unhideWhenUsed/>
    <w:rsid w:val="002F6C7E"/>
    <w:rPr>
      <w:color w:val="605E5C"/>
      <w:shd w:val="clear" w:color="auto" w:fill="E1DFDD"/>
    </w:rPr>
  </w:style>
  <w:style w:type="paragraph" w:styleId="NoSpacing">
    <w:name w:val="No Spacing"/>
    <w:uiPriority w:val="1"/>
    <w:qFormat/>
    <w:rsid w:val="00DD7122"/>
    <w:pPr>
      <w:spacing w:after="0" w:line="240" w:lineRule="auto"/>
    </w:pPr>
  </w:style>
  <w:style w:type="character" w:styleId="CommentReference">
    <w:name w:val="annotation reference"/>
    <w:basedOn w:val="DefaultParagraphFont"/>
    <w:uiPriority w:val="99"/>
    <w:semiHidden/>
    <w:unhideWhenUsed/>
    <w:rsid w:val="00BB7375"/>
    <w:rPr>
      <w:sz w:val="16"/>
      <w:szCs w:val="16"/>
    </w:rPr>
  </w:style>
  <w:style w:type="paragraph" w:styleId="CommentText">
    <w:name w:val="annotation text"/>
    <w:basedOn w:val="Normal"/>
    <w:link w:val="CommentTextChar"/>
    <w:uiPriority w:val="99"/>
    <w:unhideWhenUsed/>
    <w:rsid w:val="00BB7375"/>
    <w:pPr>
      <w:spacing w:line="240" w:lineRule="auto"/>
    </w:pPr>
    <w:rPr>
      <w:sz w:val="20"/>
      <w:szCs w:val="20"/>
    </w:rPr>
  </w:style>
  <w:style w:type="character" w:customStyle="1" w:styleId="CommentTextChar">
    <w:name w:val="Comment Text Char"/>
    <w:basedOn w:val="DefaultParagraphFont"/>
    <w:link w:val="CommentText"/>
    <w:uiPriority w:val="99"/>
    <w:rsid w:val="00BB7375"/>
    <w:rPr>
      <w:sz w:val="20"/>
      <w:szCs w:val="20"/>
    </w:rPr>
  </w:style>
  <w:style w:type="paragraph" w:styleId="CommentSubject">
    <w:name w:val="annotation subject"/>
    <w:basedOn w:val="CommentText"/>
    <w:next w:val="CommentText"/>
    <w:link w:val="CommentSubjectChar"/>
    <w:uiPriority w:val="99"/>
    <w:semiHidden/>
    <w:unhideWhenUsed/>
    <w:rsid w:val="00BB7375"/>
    <w:rPr>
      <w:b/>
      <w:bCs/>
    </w:rPr>
  </w:style>
  <w:style w:type="character" w:customStyle="1" w:styleId="CommentSubjectChar">
    <w:name w:val="Comment Subject Char"/>
    <w:basedOn w:val="CommentTextChar"/>
    <w:link w:val="CommentSubject"/>
    <w:uiPriority w:val="99"/>
    <w:semiHidden/>
    <w:rsid w:val="00BB7375"/>
    <w:rPr>
      <w:b/>
      <w:bCs/>
      <w:sz w:val="20"/>
      <w:szCs w:val="20"/>
    </w:rPr>
  </w:style>
  <w:style w:type="paragraph" w:styleId="Revision">
    <w:name w:val="Revision"/>
    <w:hidden/>
    <w:uiPriority w:val="99"/>
    <w:semiHidden/>
    <w:rsid w:val="00BB7375"/>
    <w:pPr>
      <w:spacing w:after="0" w:line="240" w:lineRule="auto"/>
    </w:pPr>
  </w:style>
  <w:style w:type="paragraph" w:styleId="TOCHeading">
    <w:name w:val="TOC Heading"/>
    <w:basedOn w:val="Heading1"/>
    <w:next w:val="Normal"/>
    <w:uiPriority w:val="39"/>
    <w:unhideWhenUsed/>
    <w:qFormat/>
    <w:rsid w:val="00605E90"/>
    <w:pPr>
      <w:spacing w:before="240" w:after="0"/>
      <w:outlineLvl w:val="9"/>
    </w:pPr>
    <w:rPr>
      <w:kern w:val="0"/>
      <w:sz w:val="32"/>
      <w:szCs w:val="32"/>
      <w:lang w:val="en-US"/>
      <w14:ligatures w14:val="none"/>
    </w:rPr>
  </w:style>
  <w:style w:type="paragraph" w:styleId="TOC2">
    <w:name w:val="toc 2"/>
    <w:basedOn w:val="Normal"/>
    <w:next w:val="Normal"/>
    <w:autoRedefine/>
    <w:uiPriority w:val="39"/>
    <w:unhideWhenUsed/>
    <w:rsid w:val="00605E90"/>
    <w:pPr>
      <w:spacing w:after="100"/>
      <w:ind w:left="220"/>
    </w:pPr>
    <w:rPr>
      <w:rFonts w:eastAsiaTheme="minorEastAsia" w:cs="Times New Roman"/>
      <w:kern w:val="0"/>
      <w:lang w:val="en-US"/>
      <w14:ligatures w14:val="none"/>
    </w:rPr>
  </w:style>
  <w:style w:type="paragraph" w:styleId="TOC1">
    <w:name w:val="toc 1"/>
    <w:basedOn w:val="Normal"/>
    <w:next w:val="Normal"/>
    <w:autoRedefine/>
    <w:uiPriority w:val="39"/>
    <w:unhideWhenUsed/>
    <w:rsid w:val="00605E90"/>
    <w:pPr>
      <w:spacing w:after="100"/>
    </w:pPr>
    <w:rPr>
      <w:rFonts w:eastAsiaTheme="minorEastAsia" w:cs="Times New Roman"/>
      <w:kern w:val="0"/>
      <w:lang w:val="en-US"/>
      <w14:ligatures w14:val="none"/>
    </w:rPr>
  </w:style>
  <w:style w:type="paragraph" w:styleId="TOC3">
    <w:name w:val="toc 3"/>
    <w:basedOn w:val="Normal"/>
    <w:next w:val="Normal"/>
    <w:autoRedefine/>
    <w:uiPriority w:val="39"/>
    <w:unhideWhenUsed/>
    <w:rsid w:val="00605E90"/>
    <w:pPr>
      <w:spacing w:after="100"/>
      <w:ind w:left="440"/>
    </w:pPr>
    <w:rPr>
      <w:rFonts w:eastAsiaTheme="minorEastAsia" w:cs="Times New Roman"/>
      <w:kern w:val="0"/>
      <w:lang w:val="en-US"/>
      <w14:ligatures w14:val="none"/>
    </w:rPr>
  </w:style>
  <w:style w:type="character" w:styleId="SubtleEmphasis">
    <w:name w:val="Subtle Emphasis"/>
    <w:basedOn w:val="DefaultParagraphFont"/>
    <w:uiPriority w:val="19"/>
    <w:qFormat/>
    <w:rsid w:val="00AA0CCC"/>
    <w:rPr>
      <w:i/>
      <w:iCs/>
      <w:color w:val="404040" w:themeColor="text1" w:themeTint="BF"/>
    </w:rPr>
  </w:style>
  <w:style w:type="paragraph" w:styleId="TOC4">
    <w:name w:val="toc 4"/>
    <w:basedOn w:val="Normal"/>
    <w:next w:val="Normal"/>
    <w:autoRedefine/>
    <w:uiPriority w:val="39"/>
    <w:unhideWhenUsed/>
    <w:rsid w:val="00965D37"/>
    <w:pPr>
      <w:spacing w:after="100" w:line="278" w:lineRule="auto"/>
      <w:ind w:left="720"/>
    </w:pPr>
    <w:rPr>
      <w:rFonts w:eastAsiaTheme="minorEastAsia"/>
      <w:sz w:val="24"/>
      <w:szCs w:val="24"/>
      <w:lang w:val="en-ZA" w:eastAsia="en-ZA"/>
    </w:rPr>
  </w:style>
  <w:style w:type="paragraph" w:styleId="TOC5">
    <w:name w:val="toc 5"/>
    <w:basedOn w:val="Normal"/>
    <w:next w:val="Normal"/>
    <w:autoRedefine/>
    <w:uiPriority w:val="39"/>
    <w:unhideWhenUsed/>
    <w:rsid w:val="00965D37"/>
    <w:pPr>
      <w:spacing w:after="100" w:line="278" w:lineRule="auto"/>
      <w:ind w:left="960"/>
    </w:pPr>
    <w:rPr>
      <w:rFonts w:eastAsiaTheme="minorEastAsia"/>
      <w:sz w:val="24"/>
      <w:szCs w:val="24"/>
      <w:lang w:val="en-ZA" w:eastAsia="en-ZA"/>
    </w:rPr>
  </w:style>
  <w:style w:type="paragraph" w:styleId="TOC6">
    <w:name w:val="toc 6"/>
    <w:basedOn w:val="Normal"/>
    <w:next w:val="Normal"/>
    <w:autoRedefine/>
    <w:uiPriority w:val="39"/>
    <w:unhideWhenUsed/>
    <w:rsid w:val="00965D37"/>
    <w:pPr>
      <w:spacing w:after="100" w:line="278" w:lineRule="auto"/>
      <w:ind w:left="1200"/>
    </w:pPr>
    <w:rPr>
      <w:rFonts w:eastAsiaTheme="minorEastAsia"/>
      <w:sz w:val="24"/>
      <w:szCs w:val="24"/>
      <w:lang w:val="en-ZA" w:eastAsia="en-ZA"/>
    </w:rPr>
  </w:style>
  <w:style w:type="paragraph" w:styleId="TOC7">
    <w:name w:val="toc 7"/>
    <w:basedOn w:val="Normal"/>
    <w:next w:val="Normal"/>
    <w:autoRedefine/>
    <w:uiPriority w:val="39"/>
    <w:unhideWhenUsed/>
    <w:rsid w:val="00965D37"/>
    <w:pPr>
      <w:spacing w:after="100" w:line="278" w:lineRule="auto"/>
      <w:ind w:left="1440"/>
    </w:pPr>
    <w:rPr>
      <w:rFonts w:eastAsiaTheme="minorEastAsia"/>
      <w:sz w:val="24"/>
      <w:szCs w:val="24"/>
      <w:lang w:val="en-ZA" w:eastAsia="en-ZA"/>
    </w:rPr>
  </w:style>
  <w:style w:type="paragraph" w:styleId="TOC8">
    <w:name w:val="toc 8"/>
    <w:basedOn w:val="Normal"/>
    <w:next w:val="Normal"/>
    <w:autoRedefine/>
    <w:uiPriority w:val="39"/>
    <w:unhideWhenUsed/>
    <w:rsid w:val="00965D37"/>
    <w:pPr>
      <w:spacing w:after="100" w:line="278" w:lineRule="auto"/>
      <w:ind w:left="1680"/>
    </w:pPr>
    <w:rPr>
      <w:rFonts w:eastAsiaTheme="minorEastAsia"/>
      <w:sz w:val="24"/>
      <w:szCs w:val="24"/>
      <w:lang w:val="en-ZA" w:eastAsia="en-ZA"/>
    </w:rPr>
  </w:style>
  <w:style w:type="paragraph" w:styleId="TOC9">
    <w:name w:val="toc 9"/>
    <w:basedOn w:val="Normal"/>
    <w:next w:val="Normal"/>
    <w:autoRedefine/>
    <w:uiPriority w:val="39"/>
    <w:unhideWhenUsed/>
    <w:rsid w:val="00965D37"/>
    <w:pPr>
      <w:spacing w:after="100" w:line="278" w:lineRule="auto"/>
      <w:ind w:left="1920"/>
    </w:pPr>
    <w:rPr>
      <w:rFonts w:eastAsiaTheme="minorEastAsia"/>
      <w:sz w:val="24"/>
      <w:szCs w:val="24"/>
      <w:lang w:val="en-ZA" w:eastAsia="en-ZA"/>
    </w:rPr>
  </w:style>
  <w:style w:type="paragraph" w:styleId="EndnoteText">
    <w:name w:val="endnote text"/>
    <w:basedOn w:val="Normal"/>
    <w:link w:val="EndnoteTextChar"/>
    <w:uiPriority w:val="99"/>
    <w:semiHidden/>
    <w:unhideWhenUsed/>
    <w:rsid w:val="00AD71CD"/>
    <w:pPr>
      <w:spacing w:after="0" w:line="240" w:lineRule="auto"/>
    </w:pPr>
    <w:rPr>
      <w:sz w:val="20"/>
      <w:szCs w:val="20"/>
      <w:lang w:val="en-ZA"/>
    </w:rPr>
  </w:style>
  <w:style w:type="character" w:customStyle="1" w:styleId="EndnoteTextChar">
    <w:name w:val="Endnote Text Char"/>
    <w:basedOn w:val="DefaultParagraphFont"/>
    <w:link w:val="EndnoteText"/>
    <w:uiPriority w:val="99"/>
    <w:semiHidden/>
    <w:rsid w:val="00AD71CD"/>
    <w:rPr>
      <w:sz w:val="20"/>
      <w:szCs w:val="20"/>
    </w:rPr>
  </w:style>
  <w:style w:type="character" w:styleId="EndnoteReference">
    <w:name w:val="endnote reference"/>
    <w:basedOn w:val="DefaultParagraphFont"/>
    <w:uiPriority w:val="99"/>
    <w:semiHidden/>
    <w:unhideWhenUsed/>
    <w:rsid w:val="00AD71CD"/>
    <w:rPr>
      <w:vertAlign w:val="superscript"/>
    </w:rPr>
  </w:style>
  <w:style w:type="paragraph" w:styleId="NormalWeb">
    <w:name w:val="Normal (Web)"/>
    <w:basedOn w:val="Normal"/>
    <w:uiPriority w:val="99"/>
    <w:semiHidden/>
    <w:unhideWhenUsed/>
    <w:rsid w:val="00AD71C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99594">
      <w:bodyDiv w:val="1"/>
      <w:marLeft w:val="0"/>
      <w:marRight w:val="0"/>
      <w:marTop w:val="0"/>
      <w:marBottom w:val="0"/>
      <w:divBdr>
        <w:top w:val="none" w:sz="0" w:space="0" w:color="auto"/>
        <w:left w:val="none" w:sz="0" w:space="0" w:color="auto"/>
        <w:bottom w:val="none" w:sz="0" w:space="0" w:color="auto"/>
        <w:right w:val="none" w:sz="0" w:space="0" w:color="auto"/>
      </w:divBdr>
    </w:div>
    <w:div w:id="34699002">
      <w:bodyDiv w:val="1"/>
      <w:marLeft w:val="0"/>
      <w:marRight w:val="0"/>
      <w:marTop w:val="0"/>
      <w:marBottom w:val="0"/>
      <w:divBdr>
        <w:top w:val="none" w:sz="0" w:space="0" w:color="auto"/>
        <w:left w:val="none" w:sz="0" w:space="0" w:color="auto"/>
        <w:bottom w:val="none" w:sz="0" w:space="0" w:color="auto"/>
        <w:right w:val="none" w:sz="0" w:space="0" w:color="auto"/>
      </w:divBdr>
    </w:div>
    <w:div w:id="35743200">
      <w:bodyDiv w:val="1"/>
      <w:marLeft w:val="0"/>
      <w:marRight w:val="0"/>
      <w:marTop w:val="0"/>
      <w:marBottom w:val="0"/>
      <w:divBdr>
        <w:top w:val="none" w:sz="0" w:space="0" w:color="auto"/>
        <w:left w:val="none" w:sz="0" w:space="0" w:color="auto"/>
        <w:bottom w:val="none" w:sz="0" w:space="0" w:color="auto"/>
        <w:right w:val="none" w:sz="0" w:space="0" w:color="auto"/>
      </w:divBdr>
    </w:div>
    <w:div w:id="61291548">
      <w:bodyDiv w:val="1"/>
      <w:marLeft w:val="0"/>
      <w:marRight w:val="0"/>
      <w:marTop w:val="0"/>
      <w:marBottom w:val="0"/>
      <w:divBdr>
        <w:top w:val="none" w:sz="0" w:space="0" w:color="auto"/>
        <w:left w:val="none" w:sz="0" w:space="0" w:color="auto"/>
        <w:bottom w:val="none" w:sz="0" w:space="0" w:color="auto"/>
        <w:right w:val="none" w:sz="0" w:space="0" w:color="auto"/>
      </w:divBdr>
    </w:div>
    <w:div w:id="67074933">
      <w:bodyDiv w:val="1"/>
      <w:marLeft w:val="0"/>
      <w:marRight w:val="0"/>
      <w:marTop w:val="0"/>
      <w:marBottom w:val="0"/>
      <w:divBdr>
        <w:top w:val="none" w:sz="0" w:space="0" w:color="auto"/>
        <w:left w:val="none" w:sz="0" w:space="0" w:color="auto"/>
        <w:bottom w:val="none" w:sz="0" w:space="0" w:color="auto"/>
        <w:right w:val="none" w:sz="0" w:space="0" w:color="auto"/>
      </w:divBdr>
    </w:div>
    <w:div w:id="93862108">
      <w:bodyDiv w:val="1"/>
      <w:marLeft w:val="0"/>
      <w:marRight w:val="0"/>
      <w:marTop w:val="0"/>
      <w:marBottom w:val="0"/>
      <w:divBdr>
        <w:top w:val="none" w:sz="0" w:space="0" w:color="auto"/>
        <w:left w:val="none" w:sz="0" w:space="0" w:color="auto"/>
        <w:bottom w:val="none" w:sz="0" w:space="0" w:color="auto"/>
        <w:right w:val="none" w:sz="0" w:space="0" w:color="auto"/>
      </w:divBdr>
    </w:div>
    <w:div w:id="124006230">
      <w:bodyDiv w:val="1"/>
      <w:marLeft w:val="0"/>
      <w:marRight w:val="0"/>
      <w:marTop w:val="0"/>
      <w:marBottom w:val="0"/>
      <w:divBdr>
        <w:top w:val="none" w:sz="0" w:space="0" w:color="auto"/>
        <w:left w:val="none" w:sz="0" w:space="0" w:color="auto"/>
        <w:bottom w:val="none" w:sz="0" w:space="0" w:color="auto"/>
        <w:right w:val="none" w:sz="0" w:space="0" w:color="auto"/>
      </w:divBdr>
    </w:div>
    <w:div w:id="125246643">
      <w:bodyDiv w:val="1"/>
      <w:marLeft w:val="0"/>
      <w:marRight w:val="0"/>
      <w:marTop w:val="0"/>
      <w:marBottom w:val="0"/>
      <w:divBdr>
        <w:top w:val="none" w:sz="0" w:space="0" w:color="auto"/>
        <w:left w:val="none" w:sz="0" w:space="0" w:color="auto"/>
        <w:bottom w:val="none" w:sz="0" w:space="0" w:color="auto"/>
        <w:right w:val="none" w:sz="0" w:space="0" w:color="auto"/>
      </w:divBdr>
    </w:div>
    <w:div w:id="128787176">
      <w:bodyDiv w:val="1"/>
      <w:marLeft w:val="0"/>
      <w:marRight w:val="0"/>
      <w:marTop w:val="0"/>
      <w:marBottom w:val="0"/>
      <w:divBdr>
        <w:top w:val="none" w:sz="0" w:space="0" w:color="auto"/>
        <w:left w:val="none" w:sz="0" w:space="0" w:color="auto"/>
        <w:bottom w:val="none" w:sz="0" w:space="0" w:color="auto"/>
        <w:right w:val="none" w:sz="0" w:space="0" w:color="auto"/>
      </w:divBdr>
    </w:div>
    <w:div w:id="147402312">
      <w:bodyDiv w:val="1"/>
      <w:marLeft w:val="0"/>
      <w:marRight w:val="0"/>
      <w:marTop w:val="0"/>
      <w:marBottom w:val="0"/>
      <w:divBdr>
        <w:top w:val="none" w:sz="0" w:space="0" w:color="auto"/>
        <w:left w:val="none" w:sz="0" w:space="0" w:color="auto"/>
        <w:bottom w:val="none" w:sz="0" w:space="0" w:color="auto"/>
        <w:right w:val="none" w:sz="0" w:space="0" w:color="auto"/>
      </w:divBdr>
    </w:div>
    <w:div w:id="216597150">
      <w:bodyDiv w:val="1"/>
      <w:marLeft w:val="0"/>
      <w:marRight w:val="0"/>
      <w:marTop w:val="0"/>
      <w:marBottom w:val="0"/>
      <w:divBdr>
        <w:top w:val="none" w:sz="0" w:space="0" w:color="auto"/>
        <w:left w:val="none" w:sz="0" w:space="0" w:color="auto"/>
        <w:bottom w:val="none" w:sz="0" w:space="0" w:color="auto"/>
        <w:right w:val="none" w:sz="0" w:space="0" w:color="auto"/>
      </w:divBdr>
    </w:div>
    <w:div w:id="224411860">
      <w:bodyDiv w:val="1"/>
      <w:marLeft w:val="0"/>
      <w:marRight w:val="0"/>
      <w:marTop w:val="0"/>
      <w:marBottom w:val="0"/>
      <w:divBdr>
        <w:top w:val="none" w:sz="0" w:space="0" w:color="auto"/>
        <w:left w:val="none" w:sz="0" w:space="0" w:color="auto"/>
        <w:bottom w:val="none" w:sz="0" w:space="0" w:color="auto"/>
        <w:right w:val="none" w:sz="0" w:space="0" w:color="auto"/>
      </w:divBdr>
    </w:div>
    <w:div w:id="225916216">
      <w:bodyDiv w:val="1"/>
      <w:marLeft w:val="0"/>
      <w:marRight w:val="0"/>
      <w:marTop w:val="0"/>
      <w:marBottom w:val="0"/>
      <w:divBdr>
        <w:top w:val="none" w:sz="0" w:space="0" w:color="auto"/>
        <w:left w:val="none" w:sz="0" w:space="0" w:color="auto"/>
        <w:bottom w:val="none" w:sz="0" w:space="0" w:color="auto"/>
        <w:right w:val="none" w:sz="0" w:space="0" w:color="auto"/>
      </w:divBdr>
    </w:div>
    <w:div w:id="231433280">
      <w:bodyDiv w:val="1"/>
      <w:marLeft w:val="0"/>
      <w:marRight w:val="0"/>
      <w:marTop w:val="0"/>
      <w:marBottom w:val="0"/>
      <w:divBdr>
        <w:top w:val="none" w:sz="0" w:space="0" w:color="auto"/>
        <w:left w:val="none" w:sz="0" w:space="0" w:color="auto"/>
        <w:bottom w:val="none" w:sz="0" w:space="0" w:color="auto"/>
        <w:right w:val="none" w:sz="0" w:space="0" w:color="auto"/>
      </w:divBdr>
    </w:div>
    <w:div w:id="243881087">
      <w:bodyDiv w:val="1"/>
      <w:marLeft w:val="0"/>
      <w:marRight w:val="0"/>
      <w:marTop w:val="0"/>
      <w:marBottom w:val="0"/>
      <w:divBdr>
        <w:top w:val="none" w:sz="0" w:space="0" w:color="auto"/>
        <w:left w:val="none" w:sz="0" w:space="0" w:color="auto"/>
        <w:bottom w:val="none" w:sz="0" w:space="0" w:color="auto"/>
        <w:right w:val="none" w:sz="0" w:space="0" w:color="auto"/>
      </w:divBdr>
    </w:div>
    <w:div w:id="247275774">
      <w:bodyDiv w:val="1"/>
      <w:marLeft w:val="0"/>
      <w:marRight w:val="0"/>
      <w:marTop w:val="0"/>
      <w:marBottom w:val="0"/>
      <w:divBdr>
        <w:top w:val="none" w:sz="0" w:space="0" w:color="auto"/>
        <w:left w:val="none" w:sz="0" w:space="0" w:color="auto"/>
        <w:bottom w:val="none" w:sz="0" w:space="0" w:color="auto"/>
        <w:right w:val="none" w:sz="0" w:space="0" w:color="auto"/>
      </w:divBdr>
    </w:div>
    <w:div w:id="252515931">
      <w:bodyDiv w:val="1"/>
      <w:marLeft w:val="0"/>
      <w:marRight w:val="0"/>
      <w:marTop w:val="0"/>
      <w:marBottom w:val="0"/>
      <w:divBdr>
        <w:top w:val="none" w:sz="0" w:space="0" w:color="auto"/>
        <w:left w:val="none" w:sz="0" w:space="0" w:color="auto"/>
        <w:bottom w:val="none" w:sz="0" w:space="0" w:color="auto"/>
        <w:right w:val="none" w:sz="0" w:space="0" w:color="auto"/>
      </w:divBdr>
    </w:div>
    <w:div w:id="262802975">
      <w:bodyDiv w:val="1"/>
      <w:marLeft w:val="0"/>
      <w:marRight w:val="0"/>
      <w:marTop w:val="0"/>
      <w:marBottom w:val="0"/>
      <w:divBdr>
        <w:top w:val="none" w:sz="0" w:space="0" w:color="auto"/>
        <w:left w:val="none" w:sz="0" w:space="0" w:color="auto"/>
        <w:bottom w:val="none" w:sz="0" w:space="0" w:color="auto"/>
        <w:right w:val="none" w:sz="0" w:space="0" w:color="auto"/>
      </w:divBdr>
    </w:div>
    <w:div w:id="338001584">
      <w:bodyDiv w:val="1"/>
      <w:marLeft w:val="0"/>
      <w:marRight w:val="0"/>
      <w:marTop w:val="0"/>
      <w:marBottom w:val="0"/>
      <w:divBdr>
        <w:top w:val="none" w:sz="0" w:space="0" w:color="auto"/>
        <w:left w:val="none" w:sz="0" w:space="0" w:color="auto"/>
        <w:bottom w:val="none" w:sz="0" w:space="0" w:color="auto"/>
        <w:right w:val="none" w:sz="0" w:space="0" w:color="auto"/>
      </w:divBdr>
    </w:div>
    <w:div w:id="344328003">
      <w:bodyDiv w:val="1"/>
      <w:marLeft w:val="0"/>
      <w:marRight w:val="0"/>
      <w:marTop w:val="0"/>
      <w:marBottom w:val="0"/>
      <w:divBdr>
        <w:top w:val="none" w:sz="0" w:space="0" w:color="auto"/>
        <w:left w:val="none" w:sz="0" w:space="0" w:color="auto"/>
        <w:bottom w:val="none" w:sz="0" w:space="0" w:color="auto"/>
        <w:right w:val="none" w:sz="0" w:space="0" w:color="auto"/>
      </w:divBdr>
    </w:div>
    <w:div w:id="353771945">
      <w:bodyDiv w:val="1"/>
      <w:marLeft w:val="0"/>
      <w:marRight w:val="0"/>
      <w:marTop w:val="0"/>
      <w:marBottom w:val="0"/>
      <w:divBdr>
        <w:top w:val="none" w:sz="0" w:space="0" w:color="auto"/>
        <w:left w:val="none" w:sz="0" w:space="0" w:color="auto"/>
        <w:bottom w:val="none" w:sz="0" w:space="0" w:color="auto"/>
        <w:right w:val="none" w:sz="0" w:space="0" w:color="auto"/>
      </w:divBdr>
    </w:div>
    <w:div w:id="364867106">
      <w:bodyDiv w:val="1"/>
      <w:marLeft w:val="0"/>
      <w:marRight w:val="0"/>
      <w:marTop w:val="0"/>
      <w:marBottom w:val="0"/>
      <w:divBdr>
        <w:top w:val="none" w:sz="0" w:space="0" w:color="auto"/>
        <w:left w:val="none" w:sz="0" w:space="0" w:color="auto"/>
        <w:bottom w:val="none" w:sz="0" w:space="0" w:color="auto"/>
        <w:right w:val="none" w:sz="0" w:space="0" w:color="auto"/>
      </w:divBdr>
    </w:div>
    <w:div w:id="372539167">
      <w:bodyDiv w:val="1"/>
      <w:marLeft w:val="0"/>
      <w:marRight w:val="0"/>
      <w:marTop w:val="0"/>
      <w:marBottom w:val="0"/>
      <w:divBdr>
        <w:top w:val="none" w:sz="0" w:space="0" w:color="auto"/>
        <w:left w:val="none" w:sz="0" w:space="0" w:color="auto"/>
        <w:bottom w:val="none" w:sz="0" w:space="0" w:color="auto"/>
        <w:right w:val="none" w:sz="0" w:space="0" w:color="auto"/>
      </w:divBdr>
    </w:div>
    <w:div w:id="385378189">
      <w:bodyDiv w:val="1"/>
      <w:marLeft w:val="0"/>
      <w:marRight w:val="0"/>
      <w:marTop w:val="0"/>
      <w:marBottom w:val="0"/>
      <w:divBdr>
        <w:top w:val="none" w:sz="0" w:space="0" w:color="auto"/>
        <w:left w:val="none" w:sz="0" w:space="0" w:color="auto"/>
        <w:bottom w:val="none" w:sz="0" w:space="0" w:color="auto"/>
        <w:right w:val="none" w:sz="0" w:space="0" w:color="auto"/>
      </w:divBdr>
    </w:div>
    <w:div w:id="392430457">
      <w:bodyDiv w:val="1"/>
      <w:marLeft w:val="0"/>
      <w:marRight w:val="0"/>
      <w:marTop w:val="0"/>
      <w:marBottom w:val="0"/>
      <w:divBdr>
        <w:top w:val="none" w:sz="0" w:space="0" w:color="auto"/>
        <w:left w:val="none" w:sz="0" w:space="0" w:color="auto"/>
        <w:bottom w:val="none" w:sz="0" w:space="0" w:color="auto"/>
        <w:right w:val="none" w:sz="0" w:space="0" w:color="auto"/>
      </w:divBdr>
    </w:div>
    <w:div w:id="419451729">
      <w:bodyDiv w:val="1"/>
      <w:marLeft w:val="0"/>
      <w:marRight w:val="0"/>
      <w:marTop w:val="0"/>
      <w:marBottom w:val="0"/>
      <w:divBdr>
        <w:top w:val="none" w:sz="0" w:space="0" w:color="auto"/>
        <w:left w:val="none" w:sz="0" w:space="0" w:color="auto"/>
        <w:bottom w:val="none" w:sz="0" w:space="0" w:color="auto"/>
        <w:right w:val="none" w:sz="0" w:space="0" w:color="auto"/>
      </w:divBdr>
    </w:div>
    <w:div w:id="427238513">
      <w:bodyDiv w:val="1"/>
      <w:marLeft w:val="0"/>
      <w:marRight w:val="0"/>
      <w:marTop w:val="0"/>
      <w:marBottom w:val="0"/>
      <w:divBdr>
        <w:top w:val="none" w:sz="0" w:space="0" w:color="auto"/>
        <w:left w:val="none" w:sz="0" w:space="0" w:color="auto"/>
        <w:bottom w:val="none" w:sz="0" w:space="0" w:color="auto"/>
        <w:right w:val="none" w:sz="0" w:space="0" w:color="auto"/>
      </w:divBdr>
    </w:div>
    <w:div w:id="434131218">
      <w:bodyDiv w:val="1"/>
      <w:marLeft w:val="0"/>
      <w:marRight w:val="0"/>
      <w:marTop w:val="0"/>
      <w:marBottom w:val="0"/>
      <w:divBdr>
        <w:top w:val="none" w:sz="0" w:space="0" w:color="auto"/>
        <w:left w:val="none" w:sz="0" w:space="0" w:color="auto"/>
        <w:bottom w:val="none" w:sz="0" w:space="0" w:color="auto"/>
        <w:right w:val="none" w:sz="0" w:space="0" w:color="auto"/>
      </w:divBdr>
    </w:div>
    <w:div w:id="440957547">
      <w:bodyDiv w:val="1"/>
      <w:marLeft w:val="0"/>
      <w:marRight w:val="0"/>
      <w:marTop w:val="0"/>
      <w:marBottom w:val="0"/>
      <w:divBdr>
        <w:top w:val="none" w:sz="0" w:space="0" w:color="auto"/>
        <w:left w:val="none" w:sz="0" w:space="0" w:color="auto"/>
        <w:bottom w:val="none" w:sz="0" w:space="0" w:color="auto"/>
        <w:right w:val="none" w:sz="0" w:space="0" w:color="auto"/>
      </w:divBdr>
    </w:div>
    <w:div w:id="452284167">
      <w:bodyDiv w:val="1"/>
      <w:marLeft w:val="0"/>
      <w:marRight w:val="0"/>
      <w:marTop w:val="0"/>
      <w:marBottom w:val="0"/>
      <w:divBdr>
        <w:top w:val="none" w:sz="0" w:space="0" w:color="auto"/>
        <w:left w:val="none" w:sz="0" w:space="0" w:color="auto"/>
        <w:bottom w:val="none" w:sz="0" w:space="0" w:color="auto"/>
        <w:right w:val="none" w:sz="0" w:space="0" w:color="auto"/>
      </w:divBdr>
    </w:div>
    <w:div w:id="462190011">
      <w:bodyDiv w:val="1"/>
      <w:marLeft w:val="0"/>
      <w:marRight w:val="0"/>
      <w:marTop w:val="0"/>
      <w:marBottom w:val="0"/>
      <w:divBdr>
        <w:top w:val="none" w:sz="0" w:space="0" w:color="auto"/>
        <w:left w:val="none" w:sz="0" w:space="0" w:color="auto"/>
        <w:bottom w:val="none" w:sz="0" w:space="0" w:color="auto"/>
        <w:right w:val="none" w:sz="0" w:space="0" w:color="auto"/>
      </w:divBdr>
    </w:div>
    <w:div w:id="499977157">
      <w:bodyDiv w:val="1"/>
      <w:marLeft w:val="0"/>
      <w:marRight w:val="0"/>
      <w:marTop w:val="0"/>
      <w:marBottom w:val="0"/>
      <w:divBdr>
        <w:top w:val="none" w:sz="0" w:space="0" w:color="auto"/>
        <w:left w:val="none" w:sz="0" w:space="0" w:color="auto"/>
        <w:bottom w:val="none" w:sz="0" w:space="0" w:color="auto"/>
        <w:right w:val="none" w:sz="0" w:space="0" w:color="auto"/>
      </w:divBdr>
    </w:div>
    <w:div w:id="515462775">
      <w:bodyDiv w:val="1"/>
      <w:marLeft w:val="0"/>
      <w:marRight w:val="0"/>
      <w:marTop w:val="0"/>
      <w:marBottom w:val="0"/>
      <w:divBdr>
        <w:top w:val="none" w:sz="0" w:space="0" w:color="auto"/>
        <w:left w:val="none" w:sz="0" w:space="0" w:color="auto"/>
        <w:bottom w:val="none" w:sz="0" w:space="0" w:color="auto"/>
        <w:right w:val="none" w:sz="0" w:space="0" w:color="auto"/>
      </w:divBdr>
    </w:div>
    <w:div w:id="531959816">
      <w:bodyDiv w:val="1"/>
      <w:marLeft w:val="0"/>
      <w:marRight w:val="0"/>
      <w:marTop w:val="0"/>
      <w:marBottom w:val="0"/>
      <w:divBdr>
        <w:top w:val="none" w:sz="0" w:space="0" w:color="auto"/>
        <w:left w:val="none" w:sz="0" w:space="0" w:color="auto"/>
        <w:bottom w:val="none" w:sz="0" w:space="0" w:color="auto"/>
        <w:right w:val="none" w:sz="0" w:space="0" w:color="auto"/>
      </w:divBdr>
    </w:div>
    <w:div w:id="536628922">
      <w:bodyDiv w:val="1"/>
      <w:marLeft w:val="0"/>
      <w:marRight w:val="0"/>
      <w:marTop w:val="0"/>
      <w:marBottom w:val="0"/>
      <w:divBdr>
        <w:top w:val="none" w:sz="0" w:space="0" w:color="auto"/>
        <w:left w:val="none" w:sz="0" w:space="0" w:color="auto"/>
        <w:bottom w:val="none" w:sz="0" w:space="0" w:color="auto"/>
        <w:right w:val="none" w:sz="0" w:space="0" w:color="auto"/>
      </w:divBdr>
    </w:div>
    <w:div w:id="546066560">
      <w:bodyDiv w:val="1"/>
      <w:marLeft w:val="0"/>
      <w:marRight w:val="0"/>
      <w:marTop w:val="0"/>
      <w:marBottom w:val="0"/>
      <w:divBdr>
        <w:top w:val="none" w:sz="0" w:space="0" w:color="auto"/>
        <w:left w:val="none" w:sz="0" w:space="0" w:color="auto"/>
        <w:bottom w:val="none" w:sz="0" w:space="0" w:color="auto"/>
        <w:right w:val="none" w:sz="0" w:space="0" w:color="auto"/>
      </w:divBdr>
    </w:div>
    <w:div w:id="549608911">
      <w:bodyDiv w:val="1"/>
      <w:marLeft w:val="0"/>
      <w:marRight w:val="0"/>
      <w:marTop w:val="0"/>
      <w:marBottom w:val="0"/>
      <w:divBdr>
        <w:top w:val="none" w:sz="0" w:space="0" w:color="auto"/>
        <w:left w:val="none" w:sz="0" w:space="0" w:color="auto"/>
        <w:bottom w:val="none" w:sz="0" w:space="0" w:color="auto"/>
        <w:right w:val="none" w:sz="0" w:space="0" w:color="auto"/>
      </w:divBdr>
    </w:div>
    <w:div w:id="552935582">
      <w:bodyDiv w:val="1"/>
      <w:marLeft w:val="0"/>
      <w:marRight w:val="0"/>
      <w:marTop w:val="0"/>
      <w:marBottom w:val="0"/>
      <w:divBdr>
        <w:top w:val="none" w:sz="0" w:space="0" w:color="auto"/>
        <w:left w:val="none" w:sz="0" w:space="0" w:color="auto"/>
        <w:bottom w:val="none" w:sz="0" w:space="0" w:color="auto"/>
        <w:right w:val="none" w:sz="0" w:space="0" w:color="auto"/>
      </w:divBdr>
    </w:div>
    <w:div w:id="554895958">
      <w:bodyDiv w:val="1"/>
      <w:marLeft w:val="0"/>
      <w:marRight w:val="0"/>
      <w:marTop w:val="0"/>
      <w:marBottom w:val="0"/>
      <w:divBdr>
        <w:top w:val="none" w:sz="0" w:space="0" w:color="auto"/>
        <w:left w:val="none" w:sz="0" w:space="0" w:color="auto"/>
        <w:bottom w:val="none" w:sz="0" w:space="0" w:color="auto"/>
        <w:right w:val="none" w:sz="0" w:space="0" w:color="auto"/>
      </w:divBdr>
    </w:div>
    <w:div w:id="565339871">
      <w:bodyDiv w:val="1"/>
      <w:marLeft w:val="0"/>
      <w:marRight w:val="0"/>
      <w:marTop w:val="0"/>
      <w:marBottom w:val="0"/>
      <w:divBdr>
        <w:top w:val="none" w:sz="0" w:space="0" w:color="auto"/>
        <w:left w:val="none" w:sz="0" w:space="0" w:color="auto"/>
        <w:bottom w:val="none" w:sz="0" w:space="0" w:color="auto"/>
        <w:right w:val="none" w:sz="0" w:space="0" w:color="auto"/>
      </w:divBdr>
    </w:div>
    <w:div w:id="567157017">
      <w:bodyDiv w:val="1"/>
      <w:marLeft w:val="0"/>
      <w:marRight w:val="0"/>
      <w:marTop w:val="0"/>
      <w:marBottom w:val="0"/>
      <w:divBdr>
        <w:top w:val="none" w:sz="0" w:space="0" w:color="auto"/>
        <w:left w:val="none" w:sz="0" w:space="0" w:color="auto"/>
        <w:bottom w:val="none" w:sz="0" w:space="0" w:color="auto"/>
        <w:right w:val="none" w:sz="0" w:space="0" w:color="auto"/>
      </w:divBdr>
    </w:div>
    <w:div w:id="590743941">
      <w:bodyDiv w:val="1"/>
      <w:marLeft w:val="0"/>
      <w:marRight w:val="0"/>
      <w:marTop w:val="0"/>
      <w:marBottom w:val="0"/>
      <w:divBdr>
        <w:top w:val="none" w:sz="0" w:space="0" w:color="auto"/>
        <w:left w:val="none" w:sz="0" w:space="0" w:color="auto"/>
        <w:bottom w:val="none" w:sz="0" w:space="0" w:color="auto"/>
        <w:right w:val="none" w:sz="0" w:space="0" w:color="auto"/>
      </w:divBdr>
    </w:div>
    <w:div w:id="634021969">
      <w:bodyDiv w:val="1"/>
      <w:marLeft w:val="0"/>
      <w:marRight w:val="0"/>
      <w:marTop w:val="0"/>
      <w:marBottom w:val="0"/>
      <w:divBdr>
        <w:top w:val="none" w:sz="0" w:space="0" w:color="auto"/>
        <w:left w:val="none" w:sz="0" w:space="0" w:color="auto"/>
        <w:bottom w:val="none" w:sz="0" w:space="0" w:color="auto"/>
        <w:right w:val="none" w:sz="0" w:space="0" w:color="auto"/>
      </w:divBdr>
    </w:div>
    <w:div w:id="667051431">
      <w:bodyDiv w:val="1"/>
      <w:marLeft w:val="0"/>
      <w:marRight w:val="0"/>
      <w:marTop w:val="0"/>
      <w:marBottom w:val="0"/>
      <w:divBdr>
        <w:top w:val="none" w:sz="0" w:space="0" w:color="auto"/>
        <w:left w:val="none" w:sz="0" w:space="0" w:color="auto"/>
        <w:bottom w:val="none" w:sz="0" w:space="0" w:color="auto"/>
        <w:right w:val="none" w:sz="0" w:space="0" w:color="auto"/>
      </w:divBdr>
    </w:div>
    <w:div w:id="702292706">
      <w:bodyDiv w:val="1"/>
      <w:marLeft w:val="0"/>
      <w:marRight w:val="0"/>
      <w:marTop w:val="0"/>
      <w:marBottom w:val="0"/>
      <w:divBdr>
        <w:top w:val="none" w:sz="0" w:space="0" w:color="auto"/>
        <w:left w:val="none" w:sz="0" w:space="0" w:color="auto"/>
        <w:bottom w:val="none" w:sz="0" w:space="0" w:color="auto"/>
        <w:right w:val="none" w:sz="0" w:space="0" w:color="auto"/>
      </w:divBdr>
    </w:div>
    <w:div w:id="702681282">
      <w:bodyDiv w:val="1"/>
      <w:marLeft w:val="0"/>
      <w:marRight w:val="0"/>
      <w:marTop w:val="0"/>
      <w:marBottom w:val="0"/>
      <w:divBdr>
        <w:top w:val="none" w:sz="0" w:space="0" w:color="auto"/>
        <w:left w:val="none" w:sz="0" w:space="0" w:color="auto"/>
        <w:bottom w:val="none" w:sz="0" w:space="0" w:color="auto"/>
        <w:right w:val="none" w:sz="0" w:space="0" w:color="auto"/>
      </w:divBdr>
    </w:div>
    <w:div w:id="729497758">
      <w:bodyDiv w:val="1"/>
      <w:marLeft w:val="0"/>
      <w:marRight w:val="0"/>
      <w:marTop w:val="0"/>
      <w:marBottom w:val="0"/>
      <w:divBdr>
        <w:top w:val="none" w:sz="0" w:space="0" w:color="auto"/>
        <w:left w:val="none" w:sz="0" w:space="0" w:color="auto"/>
        <w:bottom w:val="none" w:sz="0" w:space="0" w:color="auto"/>
        <w:right w:val="none" w:sz="0" w:space="0" w:color="auto"/>
      </w:divBdr>
    </w:div>
    <w:div w:id="782648597">
      <w:bodyDiv w:val="1"/>
      <w:marLeft w:val="0"/>
      <w:marRight w:val="0"/>
      <w:marTop w:val="0"/>
      <w:marBottom w:val="0"/>
      <w:divBdr>
        <w:top w:val="none" w:sz="0" w:space="0" w:color="auto"/>
        <w:left w:val="none" w:sz="0" w:space="0" w:color="auto"/>
        <w:bottom w:val="none" w:sz="0" w:space="0" w:color="auto"/>
        <w:right w:val="none" w:sz="0" w:space="0" w:color="auto"/>
      </w:divBdr>
    </w:div>
    <w:div w:id="817112669">
      <w:bodyDiv w:val="1"/>
      <w:marLeft w:val="0"/>
      <w:marRight w:val="0"/>
      <w:marTop w:val="0"/>
      <w:marBottom w:val="0"/>
      <w:divBdr>
        <w:top w:val="none" w:sz="0" w:space="0" w:color="auto"/>
        <w:left w:val="none" w:sz="0" w:space="0" w:color="auto"/>
        <w:bottom w:val="none" w:sz="0" w:space="0" w:color="auto"/>
        <w:right w:val="none" w:sz="0" w:space="0" w:color="auto"/>
      </w:divBdr>
    </w:div>
    <w:div w:id="826748583">
      <w:bodyDiv w:val="1"/>
      <w:marLeft w:val="0"/>
      <w:marRight w:val="0"/>
      <w:marTop w:val="0"/>
      <w:marBottom w:val="0"/>
      <w:divBdr>
        <w:top w:val="none" w:sz="0" w:space="0" w:color="auto"/>
        <w:left w:val="none" w:sz="0" w:space="0" w:color="auto"/>
        <w:bottom w:val="none" w:sz="0" w:space="0" w:color="auto"/>
        <w:right w:val="none" w:sz="0" w:space="0" w:color="auto"/>
      </w:divBdr>
    </w:div>
    <w:div w:id="859514957">
      <w:bodyDiv w:val="1"/>
      <w:marLeft w:val="0"/>
      <w:marRight w:val="0"/>
      <w:marTop w:val="0"/>
      <w:marBottom w:val="0"/>
      <w:divBdr>
        <w:top w:val="none" w:sz="0" w:space="0" w:color="auto"/>
        <w:left w:val="none" w:sz="0" w:space="0" w:color="auto"/>
        <w:bottom w:val="none" w:sz="0" w:space="0" w:color="auto"/>
        <w:right w:val="none" w:sz="0" w:space="0" w:color="auto"/>
      </w:divBdr>
    </w:div>
    <w:div w:id="868295935">
      <w:bodyDiv w:val="1"/>
      <w:marLeft w:val="0"/>
      <w:marRight w:val="0"/>
      <w:marTop w:val="0"/>
      <w:marBottom w:val="0"/>
      <w:divBdr>
        <w:top w:val="none" w:sz="0" w:space="0" w:color="auto"/>
        <w:left w:val="none" w:sz="0" w:space="0" w:color="auto"/>
        <w:bottom w:val="none" w:sz="0" w:space="0" w:color="auto"/>
        <w:right w:val="none" w:sz="0" w:space="0" w:color="auto"/>
      </w:divBdr>
    </w:div>
    <w:div w:id="876430869">
      <w:bodyDiv w:val="1"/>
      <w:marLeft w:val="0"/>
      <w:marRight w:val="0"/>
      <w:marTop w:val="0"/>
      <w:marBottom w:val="0"/>
      <w:divBdr>
        <w:top w:val="none" w:sz="0" w:space="0" w:color="auto"/>
        <w:left w:val="none" w:sz="0" w:space="0" w:color="auto"/>
        <w:bottom w:val="none" w:sz="0" w:space="0" w:color="auto"/>
        <w:right w:val="none" w:sz="0" w:space="0" w:color="auto"/>
      </w:divBdr>
    </w:div>
    <w:div w:id="881208047">
      <w:bodyDiv w:val="1"/>
      <w:marLeft w:val="0"/>
      <w:marRight w:val="0"/>
      <w:marTop w:val="0"/>
      <w:marBottom w:val="0"/>
      <w:divBdr>
        <w:top w:val="none" w:sz="0" w:space="0" w:color="auto"/>
        <w:left w:val="none" w:sz="0" w:space="0" w:color="auto"/>
        <w:bottom w:val="none" w:sz="0" w:space="0" w:color="auto"/>
        <w:right w:val="none" w:sz="0" w:space="0" w:color="auto"/>
      </w:divBdr>
    </w:div>
    <w:div w:id="888734954">
      <w:bodyDiv w:val="1"/>
      <w:marLeft w:val="0"/>
      <w:marRight w:val="0"/>
      <w:marTop w:val="0"/>
      <w:marBottom w:val="0"/>
      <w:divBdr>
        <w:top w:val="none" w:sz="0" w:space="0" w:color="auto"/>
        <w:left w:val="none" w:sz="0" w:space="0" w:color="auto"/>
        <w:bottom w:val="none" w:sz="0" w:space="0" w:color="auto"/>
        <w:right w:val="none" w:sz="0" w:space="0" w:color="auto"/>
      </w:divBdr>
    </w:div>
    <w:div w:id="944189661">
      <w:bodyDiv w:val="1"/>
      <w:marLeft w:val="0"/>
      <w:marRight w:val="0"/>
      <w:marTop w:val="0"/>
      <w:marBottom w:val="0"/>
      <w:divBdr>
        <w:top w:val="none" w:sz="0" w:space="0" w:color="auto"/>
        <w:left w:val="none" w:sz="0" w:space="0" w:color="auto"/>
        <w:bottom w:val="none" w:sz="0" w:space="0" w:color="auto"/>
        <w:right w:val="none" w:sz="0" w:space="0" w:color="auto"/>
      </w:divBdr>
    </w:div>
    <w:div w:id="946934650">
      <w:bodyDiv w:val="1"/>
      <w:marLeft w:val="0"/>
      <w:marRight w:val="0"/>
      <w:marTop w:val="0"/>
      <w:marBottom w:val="0"/>
      <w:divBdr>
        <w:top w:val="none" w:sz="0" w:space="0" w:color="auto"/>
        <w:left w:val="none" w:sz="0" w:space="0" w:color="auto"/>
        <w:bottom w:val="none" w:sz="0" w:space="0" w:color="auto"/>
        <w:right w:val="none" w:sz="0" w:space="0" w:color="auto"/>
      </w:divBdr>
    </w:div>
    <w:div w:id="972518806">
      <w:bodyDiv w:val="1"/>
      <w:marLeft w:val="0"/>
      <w:marRight w:val="0"/>
      <w:marTop w:val="0"/>
      <w:marBottom w:val="0"/>
      <w:divBdr>
        <w:top w:val="none" w:sz="0" w:space="0" w:color="auto"/>
        <w:left w:val="none" w:sz="0" w:space="0" w:color="auto"/>
        <w:bottom w:val="none" w:sz="0" w:space="0" w:color="auto"/>
        <w:right w:val="none" w:sz="0" w:space="0" w:color="auto"/>
      </w:divBdr>
    </w:div>
    <w:div w:id="978345137">
      <w:bodyDiv w:val="1"/>
      <w:marLeft w:val="0"/>
      <w:marRight w:val="0"/>
      <w:marTop w:val="0"/>
      <w:marBottom w:val="0"/>
      <w:divBdr>
        <w:top w:val="none" w:sz="0" w:space="0" w:color="auto"/>
        <w:left w:val="none" w:sz="0" w:space="0" w:color="auto"/>
        <w:bottom w:val="none" w:sz="0" w:space="0" w:color="auto"/>
        <w:right w:val="none" w:sz="0" w:space="0" w:color="auto"/>
      </w:divBdr>
    </w:div>
    <w:div w:id="1006519367">
      <w:bodyDiv w:val="1"/>
      <w:marLeft w:val="0"/>
      <w:marRight w:val="0"/>
      <w:marTop w:val="0"/>
      <w:marBottom w:val="0"/>
      <w:divBdr>
        <w:top w:val="none" w:sz="0" w:space="0" w:color="auto"/>
        <w:left w:val="none" w:sz="0" w:space="0" w:color="auto"/>
        <w:bottom w:val="none" w:sz="0" w:space="0" w:color="auto"/>
        <w:right w:val="none" w:sz="0" w:space="0" w:color="auto"/>
      </w:divBdr>
    </w:div>
    <w:div w:id="1007756072">
      <w:bodyDiv w:val="1"/>
      <w:marLeft w:val="0"/>
      <w:marRight w:val="0"/>
      <w:marTop w:val="0"/>
      <w:marBottom w:val="0"/>
      <w:divBdr>
        <w:top w:val="none" w:sz="0" w:space="0" w:color="auto"/>
        <w:left w:val="none" w:sz="0" w:space="0" w:color="auto"/>
        <w:bottom w:val="none" w:sz="0" w:space="0" w:color="auto"/>
        <w:right w:val="none" w:sz="0" w:space="0" w:color="auto"/>
      </w:divBdr>
    </w:div>
    <w:div w:id="1021123019">
      <w:bodyDiv w:val="1"/>
      <w:marLeft w:val="0"/>
      <w:marRight w:val="0"/>
      <w:marTop w:val="0"/>
      <w:marBottom w:val="0"/>
      <w:divBdr>
        <w:top w:val="none" w:sz="0" w:space="0" w:color="auto"/>
        <w:left w:val="none" w:sz="0" w:space="0" w:color="auto"/>
        <w:bottom w:val="none" w:sz="0" w:space="0" w:color="auto"/>
        <w:right w:val="none" w:sz="0" w:space="0" w:color="auto"/>
      </w:divBdr>
    </w:div>
    <w:div w:id="1042900302">
      <w:bodyDiv w:val="1"/>
      <w:marLeft w:val="0"/>
      <w:marRight w:val="0"/>
      <w:marTop w:val="0"/>
      <w:marBottom w:val="0"/>
      <w:divBdr>
        <w:top w:val="none" w:sz="0" w:space="0" w:color="auto"/>
        <w:left w:val="none" w:sz="0" w:space="0" w:color="auto"/>
        <w:bottom w:val="none" w:sz="0" w:space="0" w:color="auto"/>
        <w:right w:val="none" w:sz="0" w:space="0" w:color="auto"/>
      </w:divBdr>
    </w:div>
    <w:div w:id="1047297043">
      <w:bodyDiv w:val="1"/>
      <w:marLeft w:val="0"/>
      <w:marRight w:val="0"/>
      <w:marTop w:val="0"/>
      <w:marBottom w:val="0"/>
      <w:divBdr>
        <w:top w:val="none" w:sz="0" w:space="0" w:color="auto"/>
        <w:left w:val="none" w:sz="0" w:space="0" w:color="auto"/>
        <w:bottom w:val="none" w:sz="0" w:space="0" w:color="auto"/>
        <w:right w:val="none" w:sz="0" w:space="0" w:color="auto"/>
      </w:divBdr>
    </w:div>
    <w:div w:id="1057780680">
      <w:bodyDiv w:val="1"/>
      <w:marLeft w:val="0"/>
      <w:marRight w:val="0"/>
      <w:marTop w:val="0"/>
      <w:marBottom w:val="0"/>
      <w:divBdr>
        <w:top w:val="none" w:sz="0" w:space="0" w:color="auto"/>
        <w:left w:val="none" w:sz="0" w:space="0" w:color="auto"/>
        <w:bottom w:val="none" w:sz="0" w:space="0" w:color="auto"/>
        <w:right w:val="none" w:sz="0" w:space="0" w:color="auto"/>
      </w:divBdr>
    </w:div>
    <w:div w:id="1064524047">
      <w:bodyDiv w:val="1"/>
      <w:marLeft w:val="0"/>
      <w:marRight w:val="0"/>
      <w:marTop w:val="0"/>
      <w:marBottom w:val="0"/>
      <w:divBdr>
        <w:top w:val="none" w:sz="0" w:space="0" w:color="auto"/>
        <w:left w:val="none" w:sz="0" w:space="0" w:color="auto"/>
        <w:bottom w:val="none" w:sz="0" w:space="0" w:color="auto"/>
        <w:right w:val="none" w:sz="0" w:space="0" w:color="auto"/>
      </w:divBdr>
    </w:div>
    <w:div w:id="1072388998">
      <w:bodyDiv w:val="1"/>
      <w:marLeft w:val="0"/>
      <w:marRight w:val="0"/>
      <w:marTop w:val="0"/>
      <w:marBottom w:val="0"/>
      <w:divBdr>
        <w:top w:val="none" w:sz="0" w:space="0" w:color="auto"/>
        <w:left w:val="none" w:sz="0" w:space="0" w:color="auto"/>
        <w:bottom w:val="none" w:sz="0" w:space="0" w:color="auto"/>
        <w:right w:val="none" w:sz="0" w:space="0" w:color="auto"/>
      </w:divBdr>
    </w:div>
    <w:div w:id="1079206388">
      <w:bodyDiv w:val="1"/>
      <w:marLeft w:val="0"/>
      <w:marRight w:val="0"/>
      <w:marTop w:val="0"/>
      <w:marBottom w:val="0"/>
      <w:divBdr>
        <w:top w:val="none" w:sz="0" w:space="0" w:color="auto"/>
        <w:left w:val="none" w:sz="0" w:space="0" w:color="auto"/>
        <w:bottom w:val="none" w:sz="0" w:space="0" w:color="auto"/>
        <w:right w:val="none" w:sz="0" w:space="0" w:color="auto"/>
      </w:divBdr>
    </w:div>
    <w:div w:id="1087460775">
      <w:bodyDiv w:val="1"/>
      <w:marLeft w:val="0"/>
      <w:marRight w:val="0"/>
      <w:marTop w:val="0"/>
      <w:marBottom w:val="0"/>
      <w:divBdr>
        <w:top w:val="none" w:sz="0" w:space="0" w:color="auto"/>
        <w:left w:val="none" w:sz="0" w:space="0" w:color="auto"/>
        <w:bottom w:val="none" w:sz="0" w:space="0" w:color="auto"/>
        <w:right w:val="none" w:sz="0" w:space="0" w:color="auto"/>
      </w:divBdr>
    </w:div>
    <w:div w:id="1097795872">
      <w:bodyDiv w:val="1"/>
      <w:marLeft w:val="0"/>
      <w:marRight w:val="0"/>
      <w:marTop w:val="0"/>
      <w:marBottom w:val="0"/>
      <w:divBdr>
        <w:top w:val="none" w:sz="0" w:space="0" w:color="auto"/>
        <w:left w:val="none" w:sz="0" w:space="0" w:color="auto"/>
        <w:bottom w:val="none" w:sz="0" w:space="0" w:color="auto"/>
        <w:right w:val="none" w:sz="0" w:space="0" w:color="auto"/>
      </w:divBdr>
    </w:div>
    <w:div w:id="1111587701">
      <w:bodyDiv w:val="1"/>
      <w:marLeft w:val="0"/>
      <w:marRight w:val="0"/>
      <w:marTop w:val="0"/>
      <w:marBottom w:val="0"/>
      <w:divBdr>
        <w:top w:val="none" w:sz="0" w:space="0" w:color="auto"/>
        <w:left w:val="none" w:sz="0" w:space="0" w:color="auto"/>
        <w:bottom w:val="none" w:sz="0" w:space="0" w:color="auto"/>
        <w:right w:val="none" w:sz="0" w:space="0" w:color="auto"/>
      </w:divBdr>
    </w:div>
    <w:div w:id="1112166848">
      <w:bodyDiv w:val="1"/>
      <w:marLeft w:val="0"/>
      <w:marRight w:val="0"/>
      <w:marTop w:val="0"/>
      <w:marBottom w:val="0"/>
      <w:divBdr>
        <w:top w:val="none" w:sz="0" w:space="0" w:color="auto"/>
        <w:left w:val="none" w:sz="0" w:space="0" w:color="auto"/>
        <w:bottom w:val="none" w:sz="0" w:space="0" w:color="auto"/>
        <w:right w:val="none" w:sz="0" w:space="0" w:color="auto"/>
      </w:divBdr>
    </w:div>
    <w:div w:id="1172723289">
      <w:bodyDiv w:val="1"/>
      <w:marLeft w:val="0"/>
      <w:marRight w:val="0"/>
      <w:marTop w:val="0"/>
      <w:marBottom w:val="0"/>
      <w:divBdr>
        <w:top w:val="none" w:sz="0" w:space="0" w:color="auto"/>
        <w:left w:val="none" w:sz="0" w:space="0" w:color="auto"/>
        <w:bottom w:val="none" w:sz="0" w:space="0" w:color="auto"/>
        <w:right w:val="none" w:sz="0" w:space="0" w:color="auto"/>
      </w:divBdr>
    </w:div>
    <w:div w:id="1184394138">
      <w:bodyDiv w:val="1"/>
      <w:marLeft w:val="0"/>
      <w:marRight w:val="0"/>
      <w:marTop w:val="0"/>
      <w:marBottom w:val="0"/>
      <w:divBdr>
        <w:top w:val="none" w:sz="0" w:space="0" w:color="auto"/>
        <w:left w:val="none" w:sz="0" w:space="0" w:color="auto"/>
        <w:bottom w:val="none" w:sz="0" w:space="0" w:color="auto"/>
        <w:right w:val="none" w:sz="0" w:space="0" w:color="auto"/>
      </w:divBdr>
    </w:div>
    <w:div w:id="1197357032">
      <w:bodyDiv w:val="1"/>
      <w:marLeft w:val="0"/>
      <w:marRight w:val="0"/>
      <w:marTop w:val="0"/>
      <w:marBottom w:val="0"/>
      <w:divBdr>
        <w:top w:val="none" w:sz="0" w:space="0" w:color="auto"/>
        <w:left w:val="none" w:sz="0" w:space="0" w:color="auto"/>
        <w:bottom w:val="none" w:sz="0" w:space="0" w:color="auto"/>
        <w:right w:val="none" w:sz="0" w:space="0" w:color="auto"/>
      </w:divBdr>
    </w:div>
    <w:div w:id="1202748393">
      <w:bodyDiv w:val="1"/>
      <w:marLeft w:val="0"/>
      <w:marRight w:val="0"/>
      <w:marTop w:val="0"/>
      <w:marBottom w:val="0"/>
      <w:divBdr>
        <w:top w:val="none" w:sz="0" w:space="0" w:color="auto"/>
        <w:left w:val="none" w:sz="0" w:space="0" w:color="auto"/>
        <w:bottom w:val="none" w:sz="0" w:space="0" w:color="auto"/>
        <w:right w:val="none" w:sz="0" w:space="0" w:color="auto"/>
      </w:divBdr>
    </w:div>
    <w:div w:id="1241258885">
      <w:bodyDiv w:val="1"/>
      <w:marLeft w:val="0"/>
      <w:marRight w:val="0"/>
      <w:marTop w:val="0"/>
      <w:marBottom w:val="0"/>
      <w:divBdr>
        <w:top w:val="none" w:sz="0" w:space="0" w:color="auto"/>
        <w:left w:val="none" w:sz="0" w:space="0" w:color="auto"/>
        <w:bottom w:val="none" w:sz="0" w:space="0" w:color="auto"/>
        <w:right w:val="none" w:sz="0" w:space="0" w:color="auto"/>
      </w:divBdr>
    </w:div>
    <w:div w:id="1251935796">
      <w:bodyDiv w:val="1"/>
      <w:marLeft w:val="0"/>
      <w:marRight w:val="0"/>
      <w:marTop w:val="0"/>
      <w:marBottom w:val="0"/>
      <w:divBdr>
        <w:top w:val="none" w:sz="0" w:space="0" w:color="auto"/>
        <w:left w:val="none" w:sz="0" w:space="0" w:color="auto"/>
        <w:bottom w:val="none" w:sz="0" w:space="0" w:color="auto"/>
        <w:right w:val="none" w:sz="0" w:space="0" w:color="auto"/>
      </w:divBdr>
    </w:div>
    <w:div w:id="1262564472">
      <w:bodyDiv w:val="1"/>
      <w:marLeft w:val="0"/>
      <w:marRight w:val="0"/>
      <w:marTop w:val="0"/>
      <w:marBottom w:val="0"/>
      <w:divBdr>
        <w:top w:val="none" w:sz="0" w:space="0" w:color="auto"/>
        <w:left w:val="none" w:sz="0" w:space="0" w:color="auto"/>
        <w:bottom w:val="none" w:sz="0" w:space="0" w:color="auto"/>
        <w:right w:val="none" w:sz="0" w:space="0" w:color="auto"/>
      </w:divBdr>
    </w:div>
    <w:div w:id="1284967595">
      <w:bodyDiv w:val="1"/>
      <w:marLeft w:val="0"/>
      <w:marRight w:val="0"/>
      <w:marTop w:val="0"/>
      <w:marBottom w:val="0"/>
      <w:divBdr>
        <w:top w:val="none" w:sz="0" w:space="0" w:color="auto"/>
        <w:left w:val="none" w:sz="0" w:space="0" w:color="auto"/>
        <w:bottom w:val="none" w:sz="0" w:space="0" w:color="auto"/>
        <w:right w:val="none" w:sz="0" w:space="0" w:color="auto"/>
      </w:divBdr>
    </w:div>
    <w:div w:id="1302997980">
      <w:bodyDiv w:val="1"/>
      <w:marLeft w:val="0"/>
      <w:marRight w:val="0"/>
      <w:marTop w:val="0"/>
      <w:marBottom w:val="0"/>
      <w:divBdr>
        <w:top w:val="none" w:sz="0" w:space="0" w:color="auto"/>
        <w:left w:val="none" w:sz="0" w:space="0" w:color="auto"/>
        <w:bottom w:val="none" w:sz="0" w:space="0" w:color="auto"/>
        <w:right w:val="none" w:sz="0" w:space="0" w:color="auto"/>
      </w:divBdr>
    </w:div>
    <w:div w:id="1310594246">
      <w:bodyDiv w:val="1"/>
      <w:marLeft w:val="0"/>
      <w:marRight w:val="0"/>
      <w:marTop w:val="0"/>
      <w:marBottom w:val="0"/>
      <w:divBdr>
        <w:top w:val="none" w:sz="0" w:space="0" w:color="auto"/>
        <w:left w:val="none" w:sz="0" w:space="0" w:color="auto"/>
        <w:bottom w:val="none" w:sz="0" w:space="0" w:color="auto"/>
        <w:right w:val="none" w:sz="0" w:space="0" w:color="auto"/>
      </w:divBdr>
    </w:div>
    <w:div w:id="1320230239">
      <w:bodyDiv w:val="1"/>
      <w:marLeft w:val="0"/>
      <w:marRight w:val="0"/>
      <w:marTop w:val="0"/>
      <w:marBottom w:val="0"/>
      <w:divBdr>
        <w:top w:val="none" w:sz="0" w:space="0" w:color="auto"/>
        <w:left w:val="none" w:sz="0" w:space="0" w:color="auto"/>
        <w:bottom w:val="none" w:sz="0" w:space="0" w:color="auto"/>
        <w:right w:val="none" w:sz="0" w:space="0" w:color="auto"/>
      </w:divBdr>
    </w:div>
    <w:div w:id="1339038157">
      <w:bodyDiv w:val="1"/>
      <w:marLeft w:val="0"/>
      <w:marRight w:val="0"/>
      <w:marTop w:val="0"/>
      <w:marBottom w:val="0"/>
      <w:divBdr>
        <w:top w:val="none" w:sz="0" w:space="0" w:color="auto"/>
        <w:left w:val="none" w:sz="0" w:space="0" w:color="auto"/>
        <w:bottom w:val="none" w:sz="0" w:space="0" w:color="auto"/>
        <w:right w:val="none" w:sz="0" w:space="0" w:color="auto"/>
      </w:divBdr>
    </w:div>
    <w:div w:id="1380008846">
      <w:bodyDiv w:val="1"/>
      <w:marLeft w:val="0"/>
      <w:marRight w:val="0"/>
      <w:marTop w:val="0"/>
      <w:marBottom w:val="0"/>
      <w:divBdr>
        <w:top w:val="none" w:sz="0" w:space="0" w:color="auto"/>
        <w:left w:val="none" w:sz="0" w:space="0" w:color="auto"/>
        <w:bottom w:val="none" w:sz="0" w:space="0" w:color="auto"/>
        <w:right w:val="none" w:sz="0" w:space="0" w:color="auto"/>
      </w:divBdr>
    </w:div>
    <w:div w:id="1404840048">
      <w:bodyDiv w:val="1"/>
      <w:marLeft w:val="0"/>
      <w:marRight w:val="0"/>
      <w:marTop w:val="0"/>
      <w:marBottom w:val="0"/>
      <w:divBdr>
        <w:top w:val="none" w:sz="0" w:space="0" w:color="auto"/>
        <w:left w:val="none" w:sz="0" w:space="0" w:color="auto"/>
        <w:bottom w:val="none" w:sz="0" w:space="0" w:color="auto"/>
        <w:right w:val="none" w:sz="0" w:space="0" w:color="auto"/>
      </w:divBdr>
    </w:div>
    <w:div w:id="1409813799">
      <w:bodyDiv w:val="1"/>
      <w:marLeft w:val="0"/>
      <w:marRight w:val="0"/>
      <w:marTop w:val="0"/>
      <w:marBottom w:val="0"/>
      <w:divBdr>
        <w:top w:val="none" w:sz="0" w:space="0" w:color="auto"/>
        <w:left w:val="none" w:sz="0" w:space="0" w:color="auto"/>
        <w:bottom w:val="none" w:sz="0" w:space="0" w:color="auto"/>
        <w:right w:val="none" w:sz="0" w:space="0" w:color="auto"/>
      </w:divBdr>
    </w:div>
    <w:div w:id="1410730407">
      <w:bodyDiv w:val="1"/>
      <w:marLeft w:val="0"/>
      <w:marRight w:val="0"/>
      <w:marTop w:val="0"/>
      <w:marBottom w:val="0"/>
      <w:divBdr>
        <w:top w:val="none" w:sz="0" w:space="0" w:color="auto"/>
        <w:left w:val="none" w:sz="0" w:space="0" w:color="auto"/>
        <w:bottom w:val="none" w:sz="0" w:space="0" w:color="auto"/>
        <w:right w:val="none" w:sz="0" w:space="0" w:color="auto"/>
      </w:divBdr>
    </w:div>
    <w:div w:id="1438211808">
      <w:bodyDiv w:val="1"/>
      <w:marLeft w:val="0"/>
      <w:marRight w:val="0"/>
      <w:marTop w:val="0"/>
      <w:marBottom w:val="0"/>
      <w:divBdr>
        <w:top w:val="none" w:sz="0" w:space="0" w:color="auto"/>
        <w:left w:val="none" w:sz="0" w:space="0" w:color="auto"/>
        <w:bottom w:val="none" w:sz="0" w:space="0" w:color="auto"/>
        <w:right w:val="none" w:sz="0" w:space="0" w:color="auto"/>
      </w:divBdr>
    </w:div>
    <w:div w:id="1450079461">
      <w:bodyDiv w:val="1"/>
      <w:marLeft w:val="0"/>
      <w:marRight w:val="0"/>
      <w:marTop w:val="0"/>
      <w:marBottom w:val="0"/>
      <w:divBdr>
        <w:top w:val="none" w:sz="0" w:space="0" w:color="auto"/>
        <w:left w:val="none" w:sz="0" w:space="0" w:color="auto"/>
        <w:bottom w:val="none" w:sz="0" w:space="0" w:color="auto"/>
        <w:right w:val="none" w:sz="0" w:space="0" w:color="auto"/>
      </w:divBdr>
    </w:div>
    <w:div w:id="1462458037">
      <w:bodyDiv w:val="1"/>
      <w:marLeft w:val="0"/>
      <w:marRight w:val="0"/>
      <w:marTop w:val="0"/>
      <w:marBottom w:val="0"/>
      <w:divBdr>
        <w:top w:val="none" w:sz="0" w:space="0" w:color="auto"/>
        <w:left w:val="none" w:sz="0" w:space="0" w:color="auto"/>
        <w:bottom w:val="none" w:sz="0" w:space="0" w:color="auto"/>
        <w:right w:val="none" w:sz="0" w:space="0" w:color="auto"/>
      </w:divBdr>
    </w:div>
    <w:div w:id="1463577219">
      <w:bodyDiv w:val="1"/>
      <w:marLeft w:val="0"/>
      <w:marRight w:val="0"/>
      <w:marTop w:val="0"/>
      <w:marBottom w:val="0"/>
      <w:divBdr>
        <w:top w:val="none" w:sz="0" w:space="0" w:color="auto"/>
        <w:left w:val="none" w:sz="0" w:space="0" w:color="auto"/>
        <w:bottom w:val="none" w:sz="0" w:space="0" w:color="auto"/>
        <w:right w:val="none" w:sz="0" w:space="0" w:color="auto"/>
      </w:divBdr>
    </w:div>
    <w:div w:id="1506088881">
      <w:bodyDiv w:val="1"/>
      <w:marLeft w:val="0"/>
      <w:marRight w:val="0"/>
      <w:marTop w:val="0"/>
      <w:marBottom w:val="0"/>
      <w:divBdr>
        <w:top w:val="none" w:sz="0" w:space="0" w:color="auto"/>
        <w:left w:val="none" w:sz="0" w:space="0" w:color="auto"/>
        <w:bottom w:val="none" w:sz="0" w:space="0" w:color="auto"/>
        <w:right w:val="none" w:sz="0" w:space="0" w:color="auto"/>
      </w:divBdr>
    </w:div>
    <w:div w:id="1585919705">
      <w:bodyDiv w:val="1"/>
      <w:marLeft w:val="0"/>
      <w:marRight w:val="0"/>
      <w:marTop w:val="0"/>
      <w:marBottom w:val="0"/>
      <w:divBdr>
        <w:top w:val="none" w:sz="0" w:space="0" w:color="auto"/>
        <w:left w:val="none" w:sz="0" w:space="0" w:color="auto"/>
        <w:bottom w:val="none" w:sz="0" w:space="0" w:color="auto"/>
        <w:right w:val="none" w:sz="0" w:space="0" w:color="auto"/>
      </w:divBdr>
    </w:div>
    <w:div w:id="1628775123">
      <w:bodyDiv w:val="1"/>
      <w:marLeft w:val="0"/>
      <w:marRight w:val="0"/>
      <w:marTop w:val="0"/>
      <w:marBottom w:val="0"/>
      <w:divBdr>
        <w:top w:val="none" w:sz="0" w:space="0" w:color="auto"/>
        <w:left w:val="none" w:sz="0" w:space="0" w:color="auto"/>
        <w:bottom w:val="none" w:sz="0" w:space="0" w:color="auto"/>
        <w:right w:val="none" w:sz="0" w:space="0" w:color="auto"/>
      </w:divBdr>
    </w:div>
    <w:div w:id="1642927075">
      <w:bodyDiv w:val="1"/>
      <w:marLeft w:val="0"/>
      <w:marRight w:val="0"/>
      <w:marTop w:val="0"/>
      <w:marBottom w:val="0"/>
      <w:divBdr>
        <w:top w:val="none" w:sz="0" w:space="0" w:color="auto"/>
        <w:left w:val="none" w:sz="0" w:space="0" w:color="auto"/>
        <w:bottom w:val="none" w:sz="0" w:space="0" w:color="auto"/>
        <w:right w:val="none" w:sz="0" w:space="0" w:color="auto"/>
      </w:divBdr>
    </w:div>
    <w:div w:id="1663972140">
      <w:bodyDiv w:val="1"/>
      <w:marLeft w:val="0"/>
      <w:marRight w:val="0"/>
      <w:marTop w:val="0"/>
      <w:marBottom w:val="0"/>
      <w:divBdr>
        <w:top w:val="none" w:sz="0" w:space="0" w:color="auto"/>
        <w:left w:val="none" w:sz="0" w:space="0" w:color="auto"/>
        <w:bottom w:val="none" w:sz="0" w:space="0" w:color="auto"/>
        <w:right w:val="none" w:sz="0" w:space="0" w:color="auto"/>
      </w:divBdr>
    </w:div>
    <w:div w:id="1693264960">
      <w:bodyDiv w:val="1"/>
      <w:marLeft w:val="0"/>
      <w:marRight w:val="0"/>
      <w:marTop w:val="0"/>
      <w:marBottom w:val="0"/>
      <w:divBdr>
        <w:top w:val="none" w:sz="0" w:space="0" w:color="auto"/>
        <w:left w:val="none" w:sz="0" w:space="0" w:color="auto"/>
        <w:bottom w:val="none" w:sz="0" w:space="0" w:color="auto"/>
        <w:right w:val="none" w:sz="0" w:space="0" w:color="auto"/>
      </w:divBdr>
    </w:div>
    <w:div w:id="1725324183">
      <w:bodyDiv w:val="1"/>
      <w:marLeft w:val="0"/>
      <w:marRight w:val="0"/>
      <w:marTop w:val="0"/>
      <w:marBottom w:val="0"/>
      <w:divBdr>
        <w:top w:val="none" w:sz="0" w:space="0" w:color="auto"/>
        <w:left w:val="none" w:sz="0" w:space="0" w:color="auto"/>
        <w:bottom w:val="none" w:sz="0" w:space="0" w:color="auto"/>
        <w:right w:val="none" w:sz="0" w:space="0" w:color="auto"/>
      </w:divBdr>
    </w:div>
    <w:div w:id="1733384530">
      <w:bodyDiv w:val="1"/>
      <w:marLeft w:val="0"/>
      <w:marRight w:val="0"/>
      <w:marTop w:val="0"/>
      <w:marBottom w:val="0"/>
      <w:divBdr>
        <w:top w:val="none" w:sz="0" w:space="0" w:color="auto"/>
        <w:left w:val="none" w:sz="0" w:space="0" w:color="auto"/>
        <w:bottom w:val="none" w:sz="0" w:space="0" w:color="auto"/>
        <w:right w:val="none" w:sz="0" w:space="0" w:color="auto"/>
      </w:divBdr>
    </w:div>
    <w:div w:id="1737775879">
      <w:bodyDiv w:val="1"/>
      <w:marLeft w:val="0"/>
      <w:marRight w:val="0"/>
      <w:marTop w:val="0"/>
      <w:marBottom w:val="0"/>
      <w:divBdr>
        <w:top w:val="none" w:sz="0" w:space="0" w:color="auto"/>
        <w:left w:val="none" w:sz="0" w:space="0" w:color="auto"/>
        <w:bottom w:val="none" w:sz="0" w:space="0" w:color="auto"/>
        <w:right w:val="none" w:sz="0" w:space="0" w:color="auto"/>
      </w:divBdr>
    </w:div>
    <w:div w:id="1757508182">
      <w:bodyDiv w:val="1"/>
      <w:marLeft w:val="0"/>
      <w:marRight w:val="0"/>
      <w:marTop w:val="0"/>
      <w:marBottom w:val="0"/>
      <w:divBdr>
        <w:top w:val="none" w:sz="0" w:space="0" w:color="auto"/>
        <w:left w:val="none" w:sz="0" w:space="0" w:color="auto"/>
        <w:bottom w:val="none" w:sz="0" w:space="0" w:color="auto"/>
        <w:right w:val="none" w:sz="0" w:space="0" w:color="auto"/>
      </w:divBdr>
    </w:div>
    <w:div w:id="1768233545">
      <w:bodyDiv w:val="1"/>
      <w:marLeft w:val="0"/>
      <w:marRight w:val="0"/>
      <w:marTop w:val="0"/>
      <w:marBottom w:val="0"/>
      <w:divBdr>
        <w:top w:val="none" w:sz="0" w:space="0" w:color="auto"/>
        <w:left w:val="none" w:sz="0" w:space="0" w:color="auto"/>
        <w:bottom w:val="none" w:sz="0" w:space="0" w:color="auto"/>
        <w:right w:val="none" w:sz="0" w:space="0" w:color="auto"/>
      </w:divBdr>
    </w:div>
    <w:div w:id="1777630449">
      <w:bodyDiv w:val="1"/>
      <w:marLeft w:val="0"/>
      <w:marRight w:val="0"/>
      <w:marTop w:val="0"/>
      <w:marBottom w:val="0"/>
      <w:divBdr>
        <w:top w:val="none" w:sz="0" w:space="0" w:color="auto"/>
        <w:left w:val="none" w:sz="0" w:space="0" w:color="auto"/>
        <w:bottom w:val="none" w:sz="0" w:space="0" w:color="auto"/>
        <w:right w:val="none" w:sz="0" w:space="0" w:color="auto"/>
      </w:divBdr>
    </w:div>
    <w:div w:id="1787381484">
      <w:bodyDiv w:val="1"/>
      <w:marLeft w:val="0"/>
      <w:marRight w:val="0"/>
      <w:marTop w:val="0"/>
      <w:marBottom w:val="0"/>
      <w:divBdr>
        <w:top w:val="none" w:sz="0" w:space="0" w:color="auto"/>
        <w:left w:val="none" w:sz="0" w:space="0" w:color="auto"/>
        <w:bottom w:val="none" w:sz="0" w:space="0" w:color="auto"/>
        <w:right w:val="none" w:sz="0" w:space="0" w:color="auto"/>
      </w:divBdr>
    </w:div>
    <w:div w:id="1790314885">
      <w:bodyDiv w:val="1"/>
      <w:marLeft w:val="0"/>
      <w:marRight w:val="0"/>
      <w:marTop w:val="0"/>
      <w:marBottom w:val="0"/>
      <w:divBdr>
        <w:top w:val="none" w:sz="0" w:space="0" w:color="auto"/>
        <w:left w:val="none" w:sz="0" w:space="0" w:color="auto"/>
        <w:bottom w:val="none" w:sz="0" w:space="0" w:color="auto"/>
        <w:right w:val="none" w:sz="0" w:space="0" w:color="auto"/>
      </w:divBdr>
    </w:div>
    <w:div w:id="1807309626">
      <w:bodyDiv w:val="1"/>
      <w:marLeft w:val="0"/>
      <w:marRight w:val="0"/>
      <w:marTop w:val="0"/>
      <w:marBottom w:val="0"/>
      <w:divBdr>
        <w:top w:val="none" w:sz="0" w:space="0" w:color="auto"/>
        <w:left w:val="none" w:sz="0" w:space="0" w:color="auto"/>
        <w:bottom w:val="none" w:sz="0" w:space="0" w:color="auto"/>
        <w:right w:val="none" w:sz="0" w:space="0" w:color="auto"/>
      </w:divBdr>
    </w:div>
    <w:div w:id="1843423185">
      <w:bodyDiv w:val="1"/>
      <w:marLeft w:val="0"/>
      <w:marRight w:val="0"/>
      <w:marTop w:val="0"/>
      <w:marBottom w:val="0"/>
      <w:divBdr>
        <w:top w:val="none" w:sz="0" w:space="0" w:color="auto"/>
        <w:left w:val="none" w:sz="0" w:space="0" w:color="auto"/>
        <w:bottom w:val="none" w:sz="0" w:space="0" w:color="auto"/>
        <w:right w:val="none" w:sz="0" w:space="0" w:color="auto"/>
      </w:divBdr>
    </w:div>
    <w:div w:id="1864399437">
      <w:bodyDiv w:val="1"/>
      <w:marLeft w:val="0"/>
      <w:marRight w:val="0"/>
      <w:marTop w:val="0"/>
      <w:marBottom w:val="0"/>
      <w:divBdr>
        <w:top w:val="none" w:sz="0" w:space="0" w:color="auto"/>
        <w:left w:val="none" w:sz="0" w:space="0" w:color="auto"/>
        <w:bottom w:val="none" w:sz="0" w:space="0" w:color="auto"/>
        <w:right w:val="none" w:sz="0" w:space="0" w:color="auto"/>
      </w:divBdr>
    </w:div>
    <w:div w:id="1868834541">
      <w:bodyDiv w:val="1"/>
      <w:marLeft w:val="0"/>
      <w:marRight w:val="0"/>
      <w:marTop w:val="0"/>
      <w:marBottom w:val="0"/>
      <w:divBdr>
        <w:top w:val="none" w:sz="0" w:space="0" w:color="auto"/>
        <w:left w:val="none" w:sz="0" w:space="0" w:color="auto"/>
        <w:bottom w:val="none" w:sz="0" w:space="0" w:color="auto"/>
        <w:right w:val="none" w:sz="0" w:space="0" w:color="auto"/>
      </w:divBdr>
    </w:div>
    <w:div w:id="1923223703">
      <w:bodyDiv w:val="1"/>
      <w:marLeft w:val="0"/>
      <w:marRight w:val="0"/>
      <w:marTop w:val="0"/>
      <w:marBottom w:val="0"/>
      <w:divBdr>
        <w:top w:val="none" w:sz="0" w:space="0" w:color="auto"/>
        <w:left w:val="none" w:sz="0" w:space="0" w:color="auto"/>
        <w:bottom w:val="none" w:sz="0" w:space="0" w:color="auto"/>
        <w:right w:val="none" w:sz="0" w:space="0" w:color="auto"/>
      </w:divBdr>
    </w:div>
    <w:div w:id="1929926430">
      <w:bodyDiv w:val="1"/>
      <w:marLeft w:val="0"/>
      <w:marRight w:val="0"/>
      <w:marTop w:val="0"/>
      <w:marBottom w:val="0"/>
      <w:divBdr>
        <w:top w:val="none" w:sz="0" w:space="0" w:color="auto"/>
        <w:left w:val="none" w:sz="0" w:space="0" w:color="auto"/>
        <w:bottom w:val="none" w:sz="0" w:space="0" w:color="auto"/>
        <w:right w:val="none" w:sz="0" w:space="0" w:color="auto"/>
      </w:divBdr>
    </w:div>
    <w:div w:id="1935626422">
      <w:bodyDiv w:val="1"/>
      <w:marLeft w:val="0"/>
      <w:marRight w:val="0"/>
      <w:marTop w:val="0"/>
      <w:marBottom w:val="0"/>
      <w:divBdr>
        <w:top w:val="none" w:sz="0" w:space="0" w:color="auto"/>
        <w:left w:val="none" w:sz="0" w:space="0" w:color="auto"/>
        <w:bottom w:val="none" w:sz="0" w:space="0" w:color="auto"/>
        <w:right w:val="none" w:sz="0" w:space="0" w:color="auto"/>
      </w:divBdr>
    </w:div>
    <w:div w:id="1944606941">
      <w:bodyDiv w:val="1"/>
      <w:marLeft w:val="0"/>
      <w:marRight w:val="0"/>
      <w:marTop w:val="0"/>
      <w:marBottom w:val="0"/>
      <w:divBdr>
        <w:top w:val="none" w:sz="0" w:space="0" w:color="auto"/>
        <w:left w:val="none" w:sz="0" w:space="0" w:color="auto"/>
        <w:bottom w:val="none" w:sz="0" w:space="0" w:color="auto"/>
        <w:right w:val="none" w:sz="0" w:space="0" w:color="auto"/>
      </w:divBdr>
    </w:div>
    <w:div w:id="1965039082">
      <w:bodyDiv w:val="1"/>
      <w:marLeft w:val="0"/>
      <w:marRight w:val="0"/>
      <w:marTop w:val="0"/>
      <w:marBottom w:val="0"/>
      <w:divBdr>
        <w:top w:val="none" w:sz="0" w:space="0" w:color="auto"/>
        <w:left w:val="none" w:sz="0" w:space="0" w:color="auto"/>
        <w:bottom w:val="none" w:sz="0" w:space="0" w:color="auto"/>
        <w:right w:val="none" w:sz="0" w:space="0" w:color="auto"/>
      </w:divBdr>
    </w:div>
    <w:div w:id="1973752315">
      <w:bodyDiv w:val="1"/>
      <w:marLeft w:val="0"/>
      <w:marRight w:val="0"/>
      <w:marTop w:val="0"/>
      <w:marBottom w:val="0"/>
      <w:divBdr>
        <w:top w:val="none" w:sz="0" w:space="0" w:color="auto"/>
        <w:left w:val="none" w:sz="0" w:space="0" w:color="auto"/>
        <w:bottom w:val="none" w:sz="0" w:space="0" w:color="auto"/>
        <w:right w:val="none" w:sz="0" w:space="0" w:color="auto"/>
      </w:divBdr>
    </w:div>
    <w:div w:id="1994722414">
      <w:bodyDiv w:val="1"/>
      <w:marLeft w:val="0"/>
      <w:marRight w:val="0"/>
      <w:marTop w:val="0"/>
      <w:marBottom w:val="0"/>
      <w:divBdr>
        <w:top w:val="none" w:sz="0" w:space="0" w:color="auto"/>
        <w:left w:val="none" w:sz="0" w:space="0" w:color="auto"/>
        <w:bottom w:val="none" w:sz="0" w:space="0" w:color="auto"/>
        <w:right w:val="none" w:sz="0" w:space="0" w:color="auto"/>
      </w:divBdr>
    </w:div>
    <w:div w:id="2003579196">
      <w:bodyDiv w:val="1"/>
      <w:marLeft w:val="0"/>
      <w:marRight w:val="0"/>
      <w:marTop w:val="0"/>
      <w:marBottom w:val="0"/>
      <w:divBdr>
        <w:top w:val="none" w:sz="0" w:space="0" w:color="auto"/>
        <w:left w:val="none" w:sz="0" w:space="0" w:color="auto"/>
        <w:bottom w:val="none" w:sz="0" w:space="0" w:color="auto"/>
        <w:right w:val="none" w:sz="0" w:space="0" w:color="auto"/>
      </w:divBdr>
    </w:div>
    <w:div w:id="2016106156">
      <w:bodyDiv w:val="1"/>
      <w:marLeft w:val="0"/>
      <w:marRight w:val="0"/>
      <w:marTop w:val="0"/>
      <w:marBottom w:val="0"/>
      <w:divBdr>
        <w:top w:val="none" w:sz="0" w:space="0" w:color="auto"/>
        <w:left w:val="none" w:sz="0" w:space="0" w:color="auto"/>
        <w:bottom w:val="none" w:sz="0" w:space="0" w:color="auto"/>
        <w:right w:val="none" w:sz="0" w:space="0" w:color="auto"/>
      </w:divBdr>
    </w:div>
    <w:div w:id="2042243037">
      <w:bodyDiv w:val="1"/>
      <w:marLeft w:val="0"/>
      <w:marRight w:val="0"/>
      <w:marTop w:val="0"/>
      <w:marBottom w:val="0"/>
      <w:divBdr>
        <w:top w:val="none" w:sz="0" w:space="0" w:color="auto"/>
        <w:left w:val="none" w:sz="0" w:space="0" w:color="auto"/>
        <w:bottom w:val="none" w:sz="0" w:space="0" w:color="auto"/>
        <w:right w:val="none" w:sz="0" w:space="0" w:color="auto"/>
      </w:divBdr>
    </w:div>
    <w:div w:id="2070105889">
      <w:bodyDiv w:val="1"/>
      <w:marLeft w:val="0"/>
      <w:marRight w:val="0"/>
      <w:marTop w:val="0"/>
      <w:marBottom w:val="0"/>
      <w:divBdr>
        <w:top w:val="none" w:sz="0" w:space="0" w:color="auto"/>
        <w:left w:val="none" w:sz="0" w:space="0" w:color="auto"/>
        <w:bottom w:val="none" w:sz="0" w:space="0" w:color="auto"/>
        <w:right w:val="none" w:sz="0" w:space="0" w:color="auto"/>
      </w:divBdr>
    </w:div>
    <w:div w:id="2074430346">
      <w:bodyDiv w:val="1"/>
      <w:marLeft w:val="0"/>
      <w:marRight w:val="0"/>
      <w:marTop w:val="0"/>
      <w:marBottom w:val="0"/>
      <w:divBdr>
        <w:top w:val="none" w:sz="0" w:space="0" w:color="auto"/>
        <w:left w:val="none" w:sz="0" w:space="0" w:color="auto"/>
        <w:bottom w:val="none" w:sz="0" w:space="0" w:color="auto"/>
        <w:right w:val="none" w:sz="0" w:space="0" w:color="auto"/>
      </w:divBdr>
    </w:div>
    <w:div w:id="2105765709">
      <w:bodyDiv w:val="1"/>
      <w:marLeft w:val="0"/>
      <w:marRight w:val="0"/>
      <w:marTop w:val="0"/>
      <w:marBottom w:val="0"/>
      <w:divBdr>
        <w:top w:val="none" w:sz="0" w:space="0" w:color="auto"/>
        <w:left w:val="none" w:sz="0" w:space="0" w:color="auto"/>
        <w:bottom w:val="none" w:sz="0" w:space="0" w:color="auto"/>
        <w:right w:val="none" w:sz="0" w:space="0" w:color="auto"/>
      </w:divBdr>
    </w:div>
    <w:div w:id="2110003543">
      <w:bodyDiv w:val="1"/>
      <w:marLeft w:val="0"/>
      <w:marRight w:val="0"/>
      <w:marTop w:val="0"/>
      <w:marBottom w:val="0"/>
      <w:divBdr>
        <w:top w:val="none" w:sz="0" w:space="0" w:color="auto"/>
        <w:left w:val="none" w:sz="0" w:space="0" w:color="auto"/>
        <w:bottom w:val="none" w:sz="0" w:space="0" w:color="auto"/>
        <w:right w:val="none" w:sz="0" w:space="0" w:color="auto"/>
      </w:divBdr>
    </w:div>
    <w:div w:id="2119132825">
      <w:bodyDiv w:val="1"/>
      <w:marLeft w:val="0"/>
      <w:marRight w:val="0"/>
      <w:marTop w:val="0"/>
      <w:marBottom w:val="0"/>
      <w:divBdr>
        <w:top w:val="none" w:sz="0" w:space="0" w:color="auto"/>
        <w:left w:val="none" w:sz="0" w:space="0" w:color="auto"/>
        <w:bottom w:val="none" w:sz="0" w:space="0" w:color="auto"/>
        <w:right w:val="none" w:sz="0" w:space="0" w:color="auto"/>
      </w:divBdr>
    </w:div>
    <w:div w:id="2123765841">
      <w:bodyDiv w:val="1"/>
      <w:marLeft w:val="0"/>
      <w:marRight w:val="0"/>
      <w:marTop w:val="0"/>
      <w:marBottom w:val="0"/>
      <w:divBdr>
        <w:top w:val="none" w:sz="0" w:space="0" w:color="auto"/>
        <w:left w:val="none" w:sz="0" w:space="0" w:color="auto"/>
        <w:bottom w:val="none" w:sz="0" w:space="0" w:color="auto"/>
        <w:right w:val="none" w:sz="0" w:space="0" w:color="auto"/>
      </w:divBdr>
    </w:div>
    <w:div w:id="2137991373">
      <w:bodyDiv w:val="1"/>
      <w:marLeft w:val="0"/>
      <w:marRight w:val="0"/>
      <w:marTop w:val="0"/>
      <w:marBottom w:val="0"/>
      <w:divBdr>
        <w:top w:val="none" w:sz="0" w:space="0" w:color="auto"/>
        <w:left w:val="none" w:sz="0" w:space="0" w:color="auto"/>
        <w:bottom w:val="none" w:sz="0" w:space="0" w:color="auto"/>
        <w:right w:val="none" w:sz="0" w:space="0" w:color="auto"/>
      </w:divBdr>
    </w:div>
    <w:div w:id="2145005181">
      <w:bodyDiv w:val="1"/>
      <w:marLeft w:val="0"/>
      <w:marRight w:val="0"/>
      <w:marTop w:val="0"/>
      <w:marBottom w:val="0"/>
      <w:divBdr>
        <w:top w:val="none" w:sz="0" w:space="0" w:color="auto"/>
        <w:left w:val="none" w:sz="0" w:space="0" w:color="auto"/>
        <w:bottom w:val="none" w:sz="0" w:space="0" w:color="auto"/>
        <w:right w:val="none" w:sz="0" w:space="0" w:color="auto"/>
      </w:divBdr>
    </w:div>
    <w:div w:id="2146074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ir.unisa.ac.za/bitstream/handle/10500/2012/07chapter6.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hsrc.ac.za/HSRC%20_Review_Article-69.pht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saflii.org/za/cases/ZASCA/1996/69.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fricanhistory.about.com/library/bl/blsalaws.htm" TargetMode="External"/><Relationship Id="rId5" Type="http://schemas.openxmlformats.org/officeDocument/2006/relationships/webSettings" Target="webSettings.xml"/><Relationship Id="rId15" Type="http://schemas.openxmlformats.org/officeDocument/2006/relationships/hyperlink" Target="http://www.saflii.org/za/cases/ZACC/2009/6.html"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saflii.org/za/cases/ZACC/1998/18.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aflii.org/cgi-bin/LawCite?cit=1997%20%283%29%20SA%20925" TargetMode="External"/><Relationship Id="rId2" Type="http://schemas.openxmlformats.org/officeDocument/2006/relationships/hyperlink" Target="http://www.saflii.org/za/cases/ZACC/1998/18.html" TargetMode="External"/><Relationship Id="rId1" Type="http://schemas.openxmlformats.org/officeDocument/2006/relationships/hyperlink" Target="https://uir.unisa.ac.za/bitstream/handle/10500/2012/07chapter6.pdf" TargetMode="External"/><Relationship Id="rId6" Type="http://schemas.openxmlformats.org/officeDocument/2006/relationships/hyperlink" Target="http://www.saflii.org/za/cases/ZASCA/1996/69.html" TargetMode="External"/><Relationship Id="rId5" Type="http://schemas.openxmlformats.org/officeDocument/2006/relationships/hyperlink" Target="http://www.saflii.org/za/cases/ZACC/2009/6.html" TargetMode="External"/><Relationship Id="rId4" Type="http://schemas.openxmlformats.org/officeDocument/2006/relationships/hyperlink" Target="http://www.saflii.org/za/cases/ZACC/1997/12.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77BCA1-4F48-4C84-AF60-2787B4A1A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3976</TotalTime>
  <Pages>182</Pages>
  <Words>58905</Words>
  <Characters>335762</Characters>
  <Application>Microsoft Office Word</Application>
  <DocSecurity>0</DocSecurity>
  <Lines>2798</Lines>
  <Paragraphs>787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Palesa Dingiswayo</dc:creator>
  <cp:keywords/>
  <dc:description/>
  <cp:lastModifiedBy>Palesa Dingiswayo</cp:lastModifiedBy>
  <cp:revision>61</cp:revision>
  <dcterms:created xsi:type="dcterms:W3CDTF">2024-11-21T17:13:00Z</dcterms:created>
  <dcterms:modified xsi:type="dcterms:W3CDTF">2025-02-06T11:12:00Z</dcterms:modified>
</cp:coreProperties>
</file>