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86187" w14:textId="77777777" w:rsidR="009A755D" w:rsidRDefault="009A755D" w:rsidP="00227EE2">
      <w:pPr>
        <w:spacing w:line="259" w:lineRule="auto"/>
        <w:jc w:val="center"/>
        <w:rPr>
          <w:rFonts w:cs="Arial"/>
          <w:b/>
          <w:bCs/>
          <w:i/>
          <w:iCs/>
          <w:sz w:val="40"/>
          <w:szCs w:val="40"/>
          <w:lang w:val="en-GB"/>
        </w:rPr>
      </w:pPr>
      <w:bookmarkStart w:id="0" w:name="_Hlk141893102"/>
    </w:p>
    <w:p w14:paraId="789D980F" w14:textId="77777777" w:rsidR="009A755D" w:rsidRDefault="009A755D" w:rsidP="00227EE2">
      <w:pPr>
        <w:spacing w:line="259" w:lineRule="auto"/>
        <w:jc w:val="center"/>
        <w:rPr>
          <w:rFonts w:cs="Arial"/>
          <w:b/>
          <w:bCs/>
          <w:i/>
          <w:iCs/>
          <w:sz w:val="40"/>
          <w:szCs w:val="40"/>
          <w:lang w:val="en-GB"/>
        </w:rPr>
      </w:pPr>
    </w:p>
    <w:p w14:paraId="46DEC991" w14:textId="5396DFB6" w:rsidR="009A755D" w:rsidRPr="009A755D" w:rsidRDefault="00DD0558" w:rsidP="00227EE2">
      <w:pPr>
        <w:spacing w:line="259" w:lineRule="auto"/>
        <w:jc w:val="center"/>
        <w:rPr>
          <w:rFonts w:cs="Arial"/>
          <w:b/>
          <w:bCs/>
          <w:sz w:val="40"/>
          <w:szCs w:val="40"/>
          <w:lang w:val="en-GB"/>
        </w:rPr>
      </w:pPr>
      <w:r w:rsidRPr="009A755D">
        <w:rPr>
          <w:rFonts w:cs="Arial"/>
          <w:b/>
          <w:bCs/>
          <w:i/>
          <w:iCs/>
          <w:sz w:val="40"/>
          <w:szCs w:val="40"/>
          <w:lang w:val="en-GB"/>
        </w:rPr>
        <w:t>DE BLOEDIGE HAND</w:t>
      </w:r>
      <w:r w:rsidRPr="009A755D">
        <w:rPr>
          <w:rFonts w:cs="Arial"/>
          <w:b/>
          <w:bCs/>
          <w:sz w:val="40"/>
          <w:szCs w:val="40"/>
          <w:lang w:val="en-GB"/>
        </w:rPr>
        <w:t xml:space="preserve"> PRINCIPLE: </w:t>
      </w:r>
    </w:p>
    <w:p w14:paraId="7E62933F" w14:textId="53C1A4DE" w:rsidR="009A755D" w:rsidRPr="009A755D" w:rsidRDefault="00DD0558" w:rsidP="00227EE2">
      <w:pPr>
        <w:spacing w:line="259" w:lineRule="auto"/>
        <w:jc w:val="center"/>
        <w:rPr>
          <w:rFonts w:cs="Arial"/>
          <w:b/>
          <w:bCs/>
          <w:sz w:val="40"/>
          <w:szCs w:val="40"/>
          <w:lang w:val="en-GB"/>
        </w:rPr>
      </w:pPr>
      <w:r w:rsidRPr="009A755D">
        <w:rPr>
          <w:rFonts w:cs="Arial"/>
          <w:b/>
          <w:bCs/>
          <w:sz w:val="40"/>
          <w:szCs w:val="40"/>
          <w:lang w:val="en-GB"/>
        </w:rPr>
        <w:t>PAST, PRESENT AND FUTURE</w:t>
      </w:r>
    </w:p>
    <w:p w14:paraId="73ECF311" w14:textId="77777777" w:rsidR="009A755D" w:rsidRPr="009A755D" w:rsidRDefault="009A755D" w:rsidP="00227EE2">
      <w:pPr>
        <w:spacing w:line="259" w:lineRule="auto"/>
        <w:jc w:val="center"/>
        <w:rPr>
          <w:rFonts w:cs="Arial"/>
          <w:b/>
          <w:bCs/>
          <w:sz w:val="40"/>
          <w:szCs w:val="40"/>
          <w:lang w:val="en-GB"/>
        </w:rPr>
      </w:pPr>
    </w:p>
    <w:p w14:paraId="7C54CC16" w14:textId="77777777" w:rsidR="009A755D" w:rsidRPr="009A755D" w:rsidRDefault="009A755D" w:rsidP="00227EE2">
      <w:pPr>
        <w:spacing w:line="259" w:lineRule="auto"/>
        <w:jc w:val="center"/>
        <w:rPr>
          <w:rFonts w:cs="Arial"/>
          <w:b/>
          <w:bCs/>
          <w:sz w:val="40"/>
          <w:szCs w:val="40"/>
          <w:lang w:val="en-GB"/>
        </w:rPr>
      </w:pPr>
    </w:p>
    <w:p w14:paraId="49FC2687" w14:textId="77777777" w:rsidR="009A755D" w:rsidRPr="009A755D" w:rsidRDefault="009A755D" w:rsidP="00227EE2">
      <w:pPr>
        <w:spacing w:line="259" w:lineRule="auto"/>
        <w:jc w:val="center"/>
        <w:rPr>
          <w:rFonts w:cs="Arial"/>
          <w:b/>
          <w:bCs/>
          <w:sz w:val="40"/>
          <w:szCs w:val="40"/>
          <w:lang w:val="en-GB"/>
        </w:rPr>
      </w:pPr>
    </w:p>
    <w:p w14:paraId="775573BA" w14:textId="77777777" w:rsidR="009A755D" w:rsidRPr="009A755D" w:rsidRDefault="009A755D" w:rsidP="00227EE2">
      <w:pPr>
        <w:spacing w:line="259" w:lineRule="auto"/>
        <w:jc w:val="center"/>
        <w:rPr>
          <w:rFonts w:cs="Arial"/>
          <w:b/>
          <w:bCs/>
          <w:sz w:val="40"/>
          <w:szCs w:val="40"/>
          <w:lang w:val="en-GB"/>
        </w:rPr>
      </w:pPr>
    </w:p>
    <w:p w14:paraId="209A1A67" w14:textId="77777777" w:rsidR="009A755D" w:rsidRPr="009A755D" w:rsidRDefault="009A755D" w:rsidP="00227EE2">
      <w:pPr>
        <w:spacing w:line="259" w:lineRule="auto"/>
        <w:jc w:val="center"/>
        <w:rPr>
          <w:rFonts w:cs="Arial"/>
          <w:b/>
          <w:bCs/>
          <w:sz w:val="40"/>
          <w:szCs w:val="40"/>
          <w:lang w:val="en-GB"/>
        </w:rPr>
      </w:pPr>
    </w:p>
    <w:p w14:paraId="69ABD86F" w14:textId="77777777" w:rsidR="009A755D" w:rsidRPr="009A755D" w:rsidRDefault="009A755D" w:rsidP="00227EE2">
      <w:pPr>
        <w:spacing w:line="259" w:lineRule="auto"/>
        <w:jc w:val="center"/>
        <w:rPr>
          <w:rFonts w:cs="Arial"/>
          <w:b/>
          <w:bCs/>
          <w:sz w:val="40"/>
          <w:szCs w:val="40"/>
          <w:lang w:val="en-GB"/>
        </w:rPr>
      </w:pPr>
    </w:p>
    <w:p w14:paraId="560584DD" w14:textId="77777777" w:rsidR="009A755D" w:rsidRPr="009A755D" w:rsidRDefault="009A755D" w:rsidP="00227EE2">
      <w:pPr>
        <w:spacing w:line="259" w:lineRule="auto"/>
        <w:jc w:val="center"/>
        <w:rPr>
          <w:rFonts w:cs="Arial"/>
          <w:b/>
          <w:bCs/>
          <w:sz w:val="40"/>
          <w:szCs w:val="40"/>
          <w:lang w:val="en-GB"/>
        </w:rPr>
      </w:pPr>
    </w:p>
    <w:p w14:paraId="6A42D7E2" w14:textId="77777777" w:rsidR="009A755D" w:rsidRPr="009A755D" w:rsidRDefault="009A755D" w:rsidP="00227EE2">
      <w:pPr>
        <w:spacing w:line="259" w:lineRule="auto"/>
        <w:jc w:val="center"/>
        <w:rPr>
          <w:rFonts w:cs="Arial"/>
          <w:b/>
          <w:bCs/>
          <w:sz w:val="40"/>
          <w:szCs w:val="40"/>
          <w:lang w:val="en-GB"/>
        </w:rPr>
      </w:pPr>
    </w:p>
    <w:p w14:paraId="26014A62" w14:textId="77777777" w:rsidR="009A755D" w:rsidRPr="009A755D" w:rsidRDefault="009A755D" w:rsidP="00227EE2">
      <w:pPr>
        <w:spacing w:line="259" w:lineRule="auto"/>
        <w:jc w:val="center"/>
        <w:rPr>
          <w:rFonts w:cs="Arial"/>
          <w:b/>
          <w:bCs/>
          <w:sz w:val="40"/>
          <w:szCs w:val="40"/>
          <w:lang w:val="en-GB"/>
        </w:rPr>
      </w:pPr>
    </w:p>
    <w:p w14:paraId="1D6ED7DC" w14:textId="77777777" w:rsidR="009A755D" w:rsidRPr="009A755D" w:rsidRDefault="009A755D" w:rsidP="00227EE2">
      <w:pPr>
        <w:spacing w:line="259" w:lineRule="auto"/>
        <w:jc w:val="center"/>
        <w:rPr>
          <w:rFonts w:cs="Arial"/>
          <w:b/>
          <w:bCs/>
          <w:sz w:val="40"/>
          <w:szCs w:val="40"/>
          <w:lang w:val="en-GB"/>
        </w:rPr>
      </w:pPr>
    </w:p>
    <w:p w14:paraId="1D6976A0" w14:textId="77777777" w:rsidR="009A755D" w:rsidRPr="009A755D" w:rsidRDefault="009A755D" w:rsidP="00227EE2">
      <w:pPr>
        <w:spacing w:line="259" w:lineRule="auto"/>
        <w:jc w:val="center"/>
        <w:rPr>
          <w:rFonts w:cs="Arial"/>
          <w:b/>
          <w:bCs/>
          <w:sz w:val="40"/>
          <w:szCs w:val="40"/>
          <w:lang w:val="en-GB"/>
        </w:rPr>
      </w:pPr>
    </w:p>
    <w:p w14:paraId="55C3CDF9" w14:textId="77777777" w:rsidR="009A755D" w:rsidRPr="009A755D" w:rsidRDefault="009A755D" w:rsidP="00227EE2">
      <w:pPr>
        <w:spacing w:line="259" w:lineRule="auto"/>
        <w:jc w:val="center"/>
        <w:rPr>
          <w:rFonts w:cs="Arial"/>
          <w:b/>
          <w:bCs/>
          <w:sz w:val="40"/>
          <w:szCs w:val="40"/>
          <w:lang w:val="en-GB"/>
        </w:rPr>
      </w:pPr>
      <w:r w:rsidRPr="009A755D">
        <w:rPr>
          <w:rFonts w:cs="Arial"/>
          <w:b/>
          <w:bCs/>
          <w:sz w:val="40"/>
          <w:szCs w:val="40"/>
          <w:lang w:val="en-GB"/>
        </w:rPr>
        <w:t>Anizka De Klerk</w:t>
      </w:r>
      <w:r w:rsidR="00DD0558" w:rsidRPr="009A755D">
        <w:rPr>
          <w:rFonts w:cs="Arial"/>
          <w:b/>
          <w:bCs/>
          <w:sz w:val="40"/>
          <w:szCs w:val="40"/>
          <w:lang w:val="en-GB"/>
        </w:rPr>
        <w:t xml:space="preserve"> </w:t>
      </w:r>
    </w:p>
    <w:p w14:paraId="559A4F45" w14:textId="4B8DC93A" w:rsidR="009A755D" w:rsidRPr="009A755D" w:rsidRDefault="00DD0558" w:rsidP="00227EE2">
      <w:pPr>
        <w:spacing w:line="259" w:lineRule="auto"/>
        <w:jc w:val="center"/>
        <w:rPr>
          <w:rFonts w:cs="Arial"/>
          <w:b/>
          <w:bCs/>
          <w:sz w:val="40"/>
          <w:szCs w:val="40"/>
          <w:lang w:val="en-GB"/>
        </w:rPr>
      </w:pPr>
      <w:r w:rsidRPr="009A755D">
        <w:rPr>
          <w:rFonts w:cs="Arial"/>
          <w:szCs w:val="24"/>
        </w:rPr>
        <w:br w:type="page"/>
      </w:r>
      <w:r w:rsidR="009A755D" w:rsidRPr="009A755D">
        <w:rPr>
          <w:rFonts w:cs="Arial"/>
          <w:b/>
          <w:bCs/>
          <w:i/>
          <w:iCs/>
          <w:sz w:val="40"/>
          <w:szCs w:val="40"/>
          <w:lang w:val="en-GB"/>
        </w:rPr>
        <w:lastRenderedPageBreak/>
        <w:t>DE BLOEDIGE HAND</w:t>
      </w:r>
      <w:r w:rsidR="009A755D" w:rsidRPr="009A755D">
        <w:rPr>
          <w:rFonts w:cs="Arial"/>
          <w:b/>
          <w:bCs/>
          <w:sz w:val="40"/>
          <w:szCs w:val="40"/>
          <w:lang w:val="en-GB"/>
        </w:rPr>
        <w:t xml:space="preserve"> PRINCIPLE:</w:t>
      </w:r>
    </w:p>
    <w:p w14:paraId="5458A8B6" w14:textId="1BDFE7CE" w:rsidR="00DD0558" w:rsidRPr="009A755D" w:rsidRDefault="009A755D" w:rsidP="00227EE2">
      <w:pPr>
        <w:spacing w:line="259" w:lineRule="auto"/>
        <w:jc w:val="center"/>
        <w:rPr>
          <w:rFonts w:cs="Arial"/>
          <w:sz w:val="40"/>
          <w:szCs w:val="40"/>
        </w:rPr>
      </w:pPr>
      <w:r w:rsidRPr="009A755D">
        <w:rPr>
          <w:rFonts w:cs="Arial"/>
          <w:b/>
          <w:bCs/>
          <w:sz w:val="40"/>
          <w:szCs w:val="40"/>
          <w:lang w:val="en-GB"/>
        </w:rPr>
        <w:t>PAST, PRESENT AND FUTURE</w:t>
      </w:r>
    </w:p>
    <w:p w14:paraId="76B46920" w14:textId="77777777" w:rsidR="00DD0558" w:rsidRPr="004A5E34" w:rsidRDefault="00DD0558" w:rsidP="00227EE2">
      <w:pPr>
        <w:spacing w:line="259" w:lineRule="auto"/>
        <w:jc w:val="center"/>
        <w:rPr>
          <w:rFonts w:cs="Arial"/>
          <w:b/>
          <w:bCs/>
          <w:szCs w:val="24"/>
        </w:rPr>
      </w:pPr>
    </w:p>
    <w:p w14:paraId="4EE87E3F" w14:textId="77777777" w:rsidR="00DD0558" w:rsidRPr="004A5E34" w:rsidRDefault="00DD0558" w:rsidP="00227EE2">
      <w:pPr>
        <w:spacing w:line="259" w:lineRule="auto"/>
        <w:jc w:val="center"/>
        <w:rPr>
          <w:rFonts w:cs="Arial"/>
          <w:b/>
          <w:bCs/>
          <w:szCs w:val="24"/>
        </w:rPr>
      </w:pPr>
    </w:p>
    <w:p w14:paraId="5BA0C5D3" w14:textId="77777777" w:rsidR="00DD0558" w:rsidRPr="004A5E34" w:rsidRDefault="00DD0558" w:rsidP="00227EE2">
      <w:pPr>
        <w:spacing w:line="259" w:lineRule="auto"/>
        <w:jc w:val="center"/>
        <w:rPr>
          <w:rFonts w:cs="Arial"/>
          <w:b/>
          <w:bCs/>
          <w:szCs w:val="24"/>
        </w:rPr>
      </w:pPr>
    </w:p>
    <w:p w14:paraId="7C464857" w14:textId="77777777" w:rsidR="009A755D" w:rsidRPr="004A5E34" w:rsidRDefault="009A755D" w:rsidP="00227EE2">
      <w:pPr>
        <w:spacing w:line="259" w:lineRule="auto"/>
        <w:jc w:val="center"/>
        <w:rPr>
          <w:rFonts w:cs="Arial"/>
          <w:b/>
          <w:bCs/>
          <w:szCs w:val="24"/>
        </w:rPr>
      </w:pPr>
    </w:p>
    <w:p w14:paraId="007E563E" w14:textId="77777777" w:rsidR="009A755D" w:rsidRPr="004A5E34" w:rsidRDefault="009A755D" w:rsidP="00227EE2">
      <w:pPr>
        <w:spacing w:line="259" w:lineRule="auto"/>
        <w:jc w:val="center"/>
        <w:rPr>
          <w:rFonts w:cs="Arial"/>
          <w:b/>
          <w:bCs/>
          <w:szCs w:val="24"/>
        </w:rPr>
      </w:pPr>
    </w:p>
    <w:p w14:paraId="2650DE4F" w14:textId="079D64B4" w:rsidR="00DD0558" w:rsidRPr="004A5E34" w:rsidRDefault="004A5E34" w:rsidP="00227EE2">
      <w:pPr>
        <w:spacing w:line="259" w:lineRule="auto"/>
        <w:jc w:val="center"/>
        <w:rPr>
          <w:rFonts w:cs="Arial"/>
          <w:b/>
          <w:bCs/>
          <w:szCs w:val="24"/>
        </w:rPr>
      </w:pPr>
      <w:r w:rsidRPr="004A5E34">
        <w:rPr>
          <w:rFonts w:cs="Arial"/>
          <w:b/>
          <w:bCs/>
          <w:szCs w:val="24"/>
        </w:rPr>
        <w:t>b</w:t>
      </w:r>
      <w:r w:rsidR="00DD0558" w:rsidRPr="004A5E34">
        <w:rPr>
          <w:rFonts w:cs="Arial"/>
          <w:b/>
          <w:bCs/>
          <w:szCs w:val="24"/>
        </w:rPr>
        <w:t>y</w:t>
      </w:r>
    </w:p>
    <w:p w14:paraId="2F13A583" w14:textId="77777777" w:rsidR="00DD0558" w:rsidRDefault="00DD0558" w:rsidP="00227EE2">
      <w:pPr>
        <w:spacing w:line="259" w:lineRule="auto"/>
        <w:jc w:val="center"/>
        <w:rPr>
          <w:rFonts w:cs="Arial"/>
          <w:b/>
          <w:bCs/>
          <w:szCs w:val="24"/>
        </w:rPr>
      </w:pPr>
    </w:p>
    <w:p w14:paraId="0C3B856C" w14:textId="77777777" w:rsidR="004A5E34" w:rsidRPr="004A5E34" w:rsidRDefault="004A5E34" w:rsidP="00227EE2">
      <w:pPr>
        <w:spacing w:line="259" w:lineRule="auto"/>
        <w:jc w:val="center"/>
        <w:rPr>
          <w:rFonts w:cs="Arial"/>
          <w:b/>
          <w:bCs/>
          <w:szCs w:val="24"/>
        </w:rPr>
      </w:pPr>
    </w:p>
    <w:p w14:paraId="59F68ECE" w14:textId="77777777" w:rsidR="00DD0558" w:rsidRPr="004A5E34" w:rsidRDefault="00DD0558" w:rsidP="00227EE2">
      <w:pPr>
        <w:spacing w:line="259" w:lineRule="auto"/>
        <w:jc w:val="center"/>
        <w:rPr>
          <w:rFonts w:cs="Arial"/>
          <w:b/>
          <w:bCs/>
          <w:szCs w:val="24"/>
        </w:rPr>
      </w:pPr>
    </w:p>
    <w:p w14:paraId="1467C1A4" w14:textId="77777777" w:rsidR="00DD0558" w:rsidRPr="004A5E34" w:rsidRDefault="00DD0558" w:rsidP="00227EE2">
      <w:pPr>
        <w:spacing w:line="259" w:lineRule="auto"/>
        <w:jc w:val="center"/>
        <w:rPr>
          <w:rFonts w:cs="Arial"/>
          <w:b/>
          <w:bCs/>
          <w:szCs w:val="24"/>
        </w:rPr>
      </w:pPr>
    </w:p>
    <w:p w14:paraId="1FD7AA96" w14:textId="77777777" w:rsidR="00DD0558" w:rsidRPr="004A5E34" w:rsidRDefault="00DD0558" w:rsidP="00227EE2">
      <w:pPr>
        <w:spacing w:line="259" w:lineRule="auto"/>
        <w:jc w:val="center"/>
        <w:rPr>
          <w:rFonts w:cs="Arial"/>
          <w:b/>
          <w:bCs/>
          <w:szCs w:val="24"/>
        </w:rPr>
      </w:pPr>
    </w:p>
    <w:p w14:paraId="6B54CB45" w14:textId="77777777" w:rsidR="00DD0558" w:rsidRPr="004A5E34" w:rsidRDefault="00DD0558" w:rsidP="00227EE2">
      <w:pPr>
        <w:spacing w:line="259" w:lineRule="auto"/>
        <w:jc w:val="center"/>
        <w:rPr>
          <w:rFonts w:cs="Arial"/>
          <w:b/>
          <w:bCs/>
          <w:szCs w:val="24"/>
        </w:rPr>
      </w:pPr>
      <w:r w:rsidRPr="004A5E34">
        <w:rPr>
          <w:rFonts w:cs="Arial"/>
          <w:b/>
          <w:bCs/>
          <w:szCs w:val="24"/>
        </w:rPr>
        <w:t>ANIZKA DE KLERK</w:t>
      </w:r>
    </w:p>
    <w:p w14:paraId="3ADD6A32" w14:textId="77777777" w:rsidR="00DD0558" w:rsidRDefault="00DD0558" w:rsidP="00227EE2">
      <w:pPr>
        <w:spacing w:line="259" w:lineRule="auto"/>
        <w:jc w:val="center"/>
        <w:rPr>
          <w:rFonts w:cs="Arial"/>
          <w:b/>
          <w:bCs/>
          <w:szCs w:val="24"/>
        </w:rPr>
      </w:pPr>
    </w:p>
    <w:p w14:paraId="045E0775" w14:textId="77777777" w:rsidR="004A5E34" w:rsidRPr="004A5E34" w:rsidRDefault="004A5E34" w:rsidP="00227EE2">
      <w:pPr>
        <w:spacing w:line="259" w:lineRule="auto"/>
        <w:jc w:val="center"/>
        <w:rPr>
          <w:rFonts w:cs="Arial"/>
          <w:b/>
          <w:bCs/>
          <w:szCs w:val="24"/>
        </w:rPr>
      </w:pPr>
    </w:p>
    <w:p w14:paraId="39C0DF60" w14:textId="77777777" w:rsidR="00DD0558" w:rsidRPr="004A5E34" w:rsidRDefault="00DD0558" w:rsidP="00227EE2">
      <w:pPr>
        <w:spacing w:line="259" w:lineRule="auto"/>
        <w:jc w:val="center"/>
        <w:rPr>
          <w:rFonts w:cs="Arial"/>
          <w:b/>
          <w:bCs/>
          <w:szCs w:val="24"/>
        </w:rPr>
      </w:pPr>
    </w:p>
    <w:p w14:paraId="161EE525" w14:textId="77777777" w:rsidR="004A5E34" w:rsidRDefault="00DD0558" w:rsidP="004A5E34">
      <w:pPr>
        <w:spacing w:line="259" w:lineRule="auto"/>
        <w:jc w:val="center"/>
        <w:rPr>
          <w:rFonts w:cs="Arial"/>
          <w:b/>
          <w:bCs/>
          <w:szCs w:val="24"/>
        </w:rPr>
      </w:pPr>
      <w:r w:rsidRPr="004A5E34">
        <w:rPr>
          <w:rFonts w:cs="Arial"/>
          <w:b/>
          <w:bCs/>
          <w:szCs w:val="24"/>
        </w:rPr>
        <w:t>Submitted in accordance with the requirements</w:t>
      </w:r>
      <w:r w:rsidR="004A5E34">
        <w:rPr>
          <w:rFonts w:cs="Arial"/>
          <w:b/>
          <w:bCs/>
          <w:szCs w:val="24"/>
        </w:rPr>
        <w:t xml:space="preserve"> s</w:t>
      </w:r>
      <w:r w:rsidRPr="004A5E34">
        <w:rPr>
          <w:rFonts w:cs="Arial"/>
          <w:b/>
          <w:bCs/>
          <w:szCs w:val="24"/>
        </w:rPr>
        <w:t xml:space="preserve">et for the degree </w:t>
      </w:r>
    </w:p>
    <w:p w14:paraId="642D3DF7" w14:textId="4891A2C9" w:rsidR="00DD0558" w:rsidRPr="004A5E34" w:rsidRDefault="00DD0558" w:rsidP="004A5E34">
      <w:pPr>
        <w:spacing w:line="259" w:lineRule="auto"/>
        <w:jc w:val="center"/>
        <w:rPr>
          <w:rFonts w:cs="Arial"/>
          <w:b/>
          <w:bCs/>
          <w:szCs w:val="24"/>
        </w:rPr>
      </w:pPr>
      <w:r w:rsidRPr="004A5E34">
        <w:rPr>
          <w:rFonts w:cs="Arial"/>
          <w:b/>
          <w:bCs/>
          <w:i/>
          <w:iCs/>
          <w:szCs w:val="24"/>
        </w:rPr>
        <w:t>Magister Legum</w:t>
      </w:r>
      <w:r w:rsidRPr="004A5E34">
        <w:rPr>
          <w:rFonts w:cs="Arial"/>
          <w:b/>
          <w:bCs/>
          <w:szCs w:val="24"/>
        </w:rPr>
        <w:t xml:space="preserve"> in the</w:t>
      </w:r>
    </w:p>
    <w:p w14:paraId="06CA5BD6" w14:textId="51223E57" w:rsidR="00DD0558" w:rsidRPr="004A5E34" w:rsidRDefault="00DD0558" w:rsidP="00227EE2">
      <w:pPr>
        <w:spacing w:line="259" w:lineRule="auto"/>
        <w:jc w:val="center"/>
        <w:rPr>
          <w:rFonts w:cs="Arial"/>
          <w:b/>
          <w:bCs/>
          <w:szCs w:val="24"/>
        </w:rPr>
      </w:pPr>
      <w:r w:rsidRPr="004A5E34">
        <w:rPr>
          <w:rFonts w:cs="Arial"/>
          <w:b/>
          <w:bCs/>
          <w:szCs w:val="24"/>
        </w:rPr>
        <w:t>Department of Private Law, Faculty of Law,</w:t>
      </w:r>
      <w:r w:rsidR="004A5E34">
        <w:rPr>
          <w:rFonts w:cs="Arial"/>
          <w:b/>
          <w:bCs/>
          <w:szCs w:val="24"/>
        </w:rPr>
        <w:t xml:space="preserve"> a</w:t>
      </w:r>
      <w:r w:rsidRPr="004A5E34">
        <w:rPr>
          <w:rFonts w:cs="Arial"/>
          <w:b/>
          <w:bCs/>
          <w:szCs w:val="24"/>
        </w:rPr>
        <w:t>t the</w:t>
      </w:r>
    </w:p>
    <w:p w14:paraId="2315DDB0" w14:textId="77777777" w:rsidR="00DD0558" w:rsidRPr="004A5E34" w:rsidRDefault="00DD0558" w:rsidP="00227EE2">
      <w:pPr>
        <w:spacing w:line="259" w:lineRule="auto"/>
        <w:jc w:val="center"/>
        <w:rPr>
          <w:rFonts w:cs="Arial"/>
          <w:b/>
          <w:bCs/>
          <w:szCs w:val="24"/>
        </w:rPr>
      </w:pPr>
      <w:r w:rsidRPr="004A5E34">
        <w:rPr>
          <w:rFonts w:cs="Arial"/>
          <w:b/>
          <w:bCs/>
          <w:szCs w:val="24"/>
        </w:rPr>
        <w:t>UNIVERSITY OF THE FREE STATE</w:t>
      </w:r>
    </w:p>
    <w:p w14:paraId="5973F4AB" w14:textId="77777777" w:rsidR="00DD0558" w:rsidRPr="004A5E34" w:rsidRDefault="00DD0558" w:rsidP="00227EE2">
      <w:pPr>
        <w:spacing w:line="259" w:lineRule="auto"/>
        <w:jc w:val="center"/>
        <w:rPr>
          <w:rFonts w:cs="Arial"/>
          <w:b/>
          <w:bCs/>
          <w:szCs w:val="24"/>
        </w:rPr>
      </w:pPr>
    </w:p>
    <w:p w14:paraId="13C5BBB8" w14:textId="77777777" w:rsidR="00DD0558" w:rsidRPr="004A5E34" w:rsidRDefault="00DD0558" w:rsidP="00227EE2">
      <w:pPr>
        <w:spacing w:line="259" w:lineRule="auto"/>
        <w:jc w:val="center"/>
        <w:rPr>
          <w:rFonts w:cs="Arial"/>
          <w:b/>
          <w:bCs/>
          <w:szCs w:val="24"/>
        </w:rPr>
      </w:pPr>
    </w:p>
    <w:p w14:paraId="7161958D" w14:textId="77777777" w:rsidR="009A755D" w:rsidRPr="004A5E34" w:rsidRDefault="009A755D" w:rsidP="00227EE2">
      <w:pPr>
        <w:spacing w:line="259" w:lineRule="auto"/>
        <w:jc w:val="center"/>
        <w:rPr>
          <w:rFonts w:cs="Arial"/>
          <w:b/>
          <w:bCs/>
          <w:szCs w:val="24"/>
        </w:rPr>
      </w:pPr>
    </w:p>
    <w:p w14:paraId="3ECC722D" w14:textId="77777777" w:rsidR="009A755D" w:rsidRPr="004A5E34" w:rsidRDefault="009A755D" w:rsidP="00227EE2">
      <w:pPr>
        <w:spacing w:line="259" w:lineRule="auto"/>
        <w:jc w:val="center"/>
        <w:rPr>
          <w:rFonts w:cs="Arial"/>
          <w:b/>
          <w:bCs/>
          <w:szCs w:val="24"/>
        </w:rPr>
      </w:pPr>
    </w:p>
    <w:p w14:paraId="7C169DCF" w14:textId="77777777" w:rsidR="00DD0558" w:rsidRPr="004A5E34" w:rsidRDefault="00DD0558" w:rsidP="00227EE2">
      <w:pPr>
        <w:spacing w:line="259" w:lineRule="auto"/>
        <w:jc w:val="center"/>
        <w:rPr>
          <w:rFonts w:cs="Arial"/>
          <w:b/>
          <w:bCs/>
          <w:szCs w:val="24"/>
        </w:rPr>
      </w:pPr>
    </w:p>
    <w:p w14:paraId="1595216B" w14:textId="19955171" w:rsidR="00DD0558" w:rsidRPr="004A5E34" w:rsidRDefault="004A5E34" w:rsidP="00227EE2">
      <w:pPr>
        <w:spacing w:line="259" w:lineRule="auto"/>
        <w:jc w:val="center"/>
        <w:rPr>
          <w:rFonts w:cs="Arial"/>
          <w:b/>
          <w:bCs/>
          <w:szCs w:val="24"/>
        </w:rPr>
      </w:pPr>
      <w:r>
        <w:rPr>
          <w:rFonts w:cs="Arial"/>
          <w:b/>
          <w:bCs/>
          <w:szCs w:val="24"/>
        </w:rPr>
        <w:t>Supervisor</w:t>
      </w:r>
      <w:r w:rsidR="00DD0558" w:rsidRPr="004A5E34">
        <w:rPr>
          <w:rFonts w:cs="Arial"/>
          <w:b/>
          <w:bCs/>
          <w:szCs w:val="24"/>
        </w:rPr>
        <w:t xml:space="preserve"> : Dr JT Faber</w:t>
      </w:r>
    </w:p>
    <w:p w14:paraId="635F1792" w14:textId="77777777" w:rsidR="00DD0558" w:rsidRPr="009A755D" w:rsidRDefault="00DD0558" w:rsidP="00227EE2">
      <w:pPr>
        <w:spacing w:line="259" w:lineRule="auto"/>
        <w:jc w:val="left"/>
        <w:rPr>
          <w:rFonts w:cs="Arial"/>
          <w:szCs w:val="24"/>
        </w:rPr>
      </w:pPr>
      <w:r w:rsidRPr="009A755D">
        <w:rPr>
          <w:rFonts w:cs="Arial"/>
          <w:szCs w:val="24"/>
        </w:rPr>
        <w:br w:type="page"/>
      </w:r>
    </w:p>
    <w:p w14:paraId="26BC12D7" w14:textId="60065FB5" w:rsidR="00DD0558" w:rsidRPr="00227EE2" w:rsidRDefault="00DD0558" w:rsidP="00227EE2">
      <w:pPr>
        <w:jc w:val="center"/>
        <w:rPr>
          <w:rFonts w:cs="Arial"/>
          <w:b/>
          <w:bCs/>
          <w:szCs w:val="24"/>
          <w:u w:val="single"/>
        </w:rPr>
      </w:pPr>
      <w:r w:rsidRPr="00227EE2">
        <w:rPr>
          <w:rFonts w:cs="Arial"/>
          <w:b/>
          <w:bCs/>
          <w:szCs w:val="24"/>
          <w:u w:val="single"/>
        </w:rPr>
        <w:lastRenderedPageBreak/>
        <w:t>Declaration:</w:t>
      </w:r>
    </w:p>
    <w:p w14:paraId="4A33F133" w14:textId="0F819F5F" w:rsidR="00DD0558" w:rsidRDefault="00DD0558" w:rsidP="00227EE2">
      <w:pPr>
        <w:rPr>
          <w:rFonts w:cs="Arial"/>
          <w:szCs w:val="24"/>
        </w:rPr>
      </w:pPr>
      <w:r w:rsidRPr="009A755D">
        <w:rPr>
          <w:rFonts w:cs="Arial"/>
          <w:szCs w:val="24"/>
        </w:rPr>
        <w:t>I, (the undersigned) Anizka De Klerk, hereby declare that th</w:t>
      </w:r>
      <w:r w:rsidR="00227EE2">
        <w:rPr>
          <w:rFonts w:cs="Arial"/>
          <w:szCs w:val="24"/>
        </w:rPr>
        <w:t>e</w:t>
      </w:r>
      <w:r w:rsidRPr="009A755D">
        <w:rPr>
          <w:rFonts w:cs="Arial"/>
          <w:szCs w:val="24"/>
        </w:rPr>
        <w:t xml:space="preserve"> mini-dissertation</w:t>
      </w:r>
      <w:r w:rsidR="00227EE2">
        <w:rPr>
          <w:rFonts w:cs="Arial"/>
          <w:szCs w:val="24"/>
        </w:rPr>
        <w:t xml:space="preserve"> which </w:t>
      </w:r>
      <w:r w:rsidRPr="009A755D">
        <w:rPr>
          <w:rFonts w:cs="Arial"/>
          <w:szCs w:val="24"/>
        </w:rPr>
        <w:t xml:space="preserve">I herewith submit for the </w:t>
      </w:r>
      <w:r w:rsidR="00227EE2">
        <w:rPr>
          <w:rFonts w:cs="Arial"/>
          <w:szCs w:val="24"/>
        </w:rPr>
        <w:t>M</w:t>
      </w:r>
      <w:r w:rsidRPr="009A755D">
        <w:rPr>
          <w:rFonts w:cs="Arial"/>
          <w:szCs w:val="24"/>
        </w:rPr>
        <w:t xml:space="preserve">aster’s degree qualification </w:t>
      </w:r>
      <w:r w:rsidRPr="009A755D">
        <w:rPr>
          <w:rFonts w:cs="Arial"/>
          <w:i/>
          <w:iCs/>
          <w:szCs w:val="24"/>
        </w:rPr>
        <w:t>Magister Legum</w:t>
      </w:r>
      <w:r w:rsidRPr="009A755D">
        <w:rPr>
          <w:rFonts w:cs="Arial"/>
          <w:szCs w:val="24"/>
        </w:rPr>
        <w:t xml:space="preserve"> (LL.M) at the University of the Free State, </w:t>
      </w:r>
      <w:r w:rsidR="00227EE2">
        <w:rPr>
          <w:rFonts w:cs="Arial"/>
          <w:szCs w:val="24"/>
        </w:rPr>
        <w:t xml:space="preserve">is </w:t>
      </w:r>
      <w:r w:rsidRPr="009A755D">
        <w:rPr>
          <w:rFonts w:cs="Arial"/>
          <w:szCs w:val="24"/>
        </w:rPr>
        <w:t>my own, independent work and that I have not previously submitted it for any qualification at any other institution of higher education.</w:t>
      </w:r>
    </w:p>
    <w:p w14:paraId="7B186C29" w14:textId="77777777" w:rsidR="00227EE2" w:rsidRDefault="00227EE2" w:rsidP="00227EE2">
      <w:pPr>
        <w:rPr>
          <w:rFonts w:cs="Arial"/>
          <w:szCs w:val="24"/>
        </w:rPr>
      </w:pPr>
    </w:p>
    <w:p w14:paraId="0704D4F2" w14:textId="77777777" w:rsidR="00227EE2" w:rsidRDefault="00227EE2" w:rsidP="00227EE2">
      <w:pPr>
        <w:rPr>
          <w:rFonts w:cs="Arial"/>
          <w:szCs w:val="24"/>
        </w:rPr>
      </w:pPr>
    </w:p>
    <w:p w14:paraId="7D379B84" w14:textId="77777777" w:rsidR="00227EE2" w:rsidRDefault="00227EE2" w:rsidP="00227EE2">
      <w:pPr>
        <w:rPr>
          <w:rFonts w:cs="Arial"/>
          <w:szCs w:val="24"/>
        </w:rPr>
      </w:pPr>
    </w:p>
    <w:p w14:paraId="58B754C6" w14:textId="5CB3E0A3" w:rsidR="00227EE2" w:rsidRDefault="00227EE2" w:rsidP="00227EE2">
      <w:pPr>
        <w:tabs>
          <w:tab w:val="right" w:pos="9638"/>
        </w:tabs>
        <w:spacing w:after="0"/>
        <w:rPr>
          <w:rFonts w:cs="Arial"/>
          <w:szCs w:val="24"/>
        </w:rPr>
      </w:pPr>
      <w:r>
        <w:rPr>
          <w:rFonts w:cs="Arial"/>
          <w:szCs w:val="24"/>
        </w:rPr>
        <w:t>___________________________</w:t>
      </w:r>
      <w:r>
        <w:rPr>
          <w:rFonts w:cs="Arial"/>
          <w:szCs w:val="24"/>
        </w:rPr>
        <w:tab/>
        <w:t>___________________________</w:t>
      </w:r>
    </w:p>
    <w:p w14:paraId="380EBB1E" w14:textId="19841792" w:rsidR="00227EE2" w:rsidRPr="009A755D" w:rsidRDefault="00227EE2" w:rsidP="00227EE2">
      <w:pPr>
        <w:tabs>
          <w:tab w:val="right" w:pos="9638"/>
        </w:tabs>
        <w:rPr>
          <w:rFonts w:cs="Arial"/>
          <w:szCs w:val="24"/>
        </w:rPr>
      </w:pPr>
      <w:r>
        <w:rPr>
          <w:rFonts w:cs="Arial"/>
          <w:szCs w:val="24"/>
        </w:rPr>
        <w:t>Signature</w:t>
      </w:r>
      <w:r>
        <w:rPr>
          <w:rFonts w:cs="Arial"/>
          <w:szCs w:val="24"/>
        </w:rPr>
        <w:tab/>
        <w:t>Date</w:t>
      </w:r>
    </w:p>
    <w:p w14:paraId="4417DF9B" w14:textId="77777777" w:rsidR="00DD0558" w:rsidRPr="009A755D" w:rsidRDefault="00DD0558" w:rsidP="00227EE2">
      <w:pPr>
        <w:rPr>
          <w:rFonts w:cs="Arial"/>
          <w:szCs w:val="24"/>
        </w:rPr>
      </w:pPr>
      <w:r w:rsidRPr="009A755D">
        <w:rPr>
          <w:rFonts w:cs="Arial"/>
          <w:szCs w:val="24"/>
        </w:rPr>
        <w:br w:type="page"/>
      </w:r>
    </w:p>
    <w:p w14:paraId="57FBB2A4" w14:textId="3B483168" w:rsidR="00DD0558" w:rsidRPr="00067578" w:rsidRDefault="00DD0558" w:rsidP="004A5E34">
      <w:pPr>
        <w:jc w:val="center"/>
        <w:rPr>
          <w:rFonts w:cs="Arial"/>
          <w:b/>
          <w:bCs/>
          <w:szCs w:val="24"/>
          <w:u w:val="single"/>
        </w:rPr>
      </w:pPr>
      <w:r w:rsidRPr="00067578">
        <w:rPr>
          <w:rFonts w:cs="Arial"/>
          <w:b/>
          <w:bCs/>
          <w:szCs w:val="24"/>
          <w:u w:val="single"/>
        </w:rPr>
        <w:lastRenderedPageBreak/>
        <w:t>Acknowledgements:</w:t>
      </w:r>
    </w:p>
    <w:p w14:paraId="48E4487A" w14:textId="49771B6A" w:rsidR="00B74608" w:rsidRDefault="00B74608" w:rsidP="004A5E34">
      <w:pPr>
        <w:jc w:val="center"/>
        <w:rPr>
          <w:rFonts w:cs="Arial"/>
          <w:szCs w:val="24"/>
        </w:rPr>
      </w:pPr>
      <w:r>
        <w:rPr>
          <w:rFonts w:cs="Arial"/>
          <w:i/>
          <w:iCs/>
          <w:szCs w:val="24"/>
        </w:rPr>
        <w:t>Omnis gloria est dei</w:t>
      </w:r>
      <w:r w:rsidR="00067578">
        <w:rPr>
          <w:rFonts w:cs="Arial"/>
          <w:szCs w:val="24"/>
        </w:rPr>
        <w:t>.</w:t>
      </w:r>
    </w:p>
    <w:p w14:paraId="0E77CAB8" w14:textId="2FC1C3F5" w:rsidR="00067578" w:rsidRDefault="00067578" w:rsidP="00227EE2">
      <w:pPr>
        <w:rPr>
          <w:rFonts w:cs="Arial"/>
          <w:szCs w:val="24"/>
        </w:rPr>
      </w:pPr>
      <w:r>
        <w:rPr>
          <w:rFonts w:cs="Arial"/>
          <w:szCs w:val="24"/>
        </w:rPr>
        <w:t xml:space="preserve">To my supervisor, Dr Jamer Faber, an enormous thank you for </w:t>
      </w:r>
      <w:r w:rsidR="00A17BE8">
        <w:rPr>
          <w:rFonts w:cs="Arial"/>
          <w:szCs w:val="24"/>
        </w:rPr>
        <w:t xml:space="preserve">supporting my vision, accompanying me </w:t>
      </w:r>
      <w:r>
        <w:rPr>
          <w:rFonts w:cs="Arial"/>
          <w:szCs w:val="24"/>
        </w:rPr>
        <w:t>into</w:t>
      </w:r>
      <w:r w:rsidR="00A17BE8">
        <w:rPr>
          <w:rFonts w:cs="Arial"/>
          <w:szCs w:val="24"/>
        </w:rPr>
        <w:t xml:space="preserve"> uncharted waters and guiding me to produce a </w:t>
      </w:r>
      <w:r w:rsidR="003D084F">
        <w:rPr>
          <w:rFonts w:cs="Arial"/>
          <w:szCs w:val="24"/>
        </w:rPr>
        <w:t xml:space="preserve">manuscript </w:t>
      </w:r>
      <w:r w:rsidR="00A17BE8">
        <w:rPr>
          <w:rFonts w:cs="Arial"/>
          <w:szCs w:val="24"/>
        </w:rPr>
        <w:t xml:space="preserve">that could find application beyond the </w:t>
      </w:r>
      <w:r w:rsidR="00FF499F">
        <w:rPr>
          <w:rFonts w:cs="Arial"/>
          <w:szCs w:val="24"/>
        </w:rPr>
        <w:t>boundaries</w:t>
      </w:r>
      <w:r w:rsidR="00A17BE8">
        <w:rPr>
          <w:rFonts w:cs="Arial"/>
          <w:szCs w:val="24"/>
        </w:rPr>
        <w:t xml:space="preserve"> of purely academic writing. </w:t>
      </w:r>
    </w:p>
    <w:p w14:paraId="37ED916B" w14:textId="1A2699B7" w:rsidR="00A17BE8" w:rsidRDefault="00A17BE8" w:rsidP="00227EE2">
      <w:pPr>
        <w:rPr>
          <w:rFonts w:cs="Arial"/>
          <w:szCs w:val="24"/>
        </w:rPr>
      </w:pPr>
      <w:r>
        <w:rPr>
          <w:rFonts w:cs="Arial"/>
          <w:szCs w:val="24"/>
        </w:rPr>
        <w:t xml:space="preserve">To my husband, thank you for </w:t>
      </w:r>
      <w:r w:rsidR="004A05D0">
        <w:rPr>
          <w:rFonts w:cs="Arial"/>
          <w:szCs w:val="24"/>
        </w:rPr>
        <w:t xml:space="preserve">never complaining about the sacrifices that came with </w:t>
      </w:r>
      <w:r w:rsidR="002050B8">
        <w:rPr>
          <w:rFonts w:cs="Arial"/>
          <w:szCs w:val="24"/>
        </w:rPr>
        <w:t xml:space="preserve">the numerous </w:t>
      </w:r>
      <w:r w:rsidR="004A05D0">
        <w:rPr>
          <w:rFonts w:cs="Arial"/>
          <w:szCs w:val="24"/>
        </w:rPr>
        <w:t xml:space="preserve">evenings and weekends </w:t>
      </w:r>
      <w:r w:rsidR="002050B8">
        <w:rPr>
          <w:rFonts w:cs="Arial"/>
          <w:szCs w:val="24"/>
        </w:rPr>
        <w:t xml:space="preserve">I spent </w:t>
      </w:r>
      <w:r w:rsidR="00227EE2">
        <w:rPr>
          <w:rFonts w:cs="Arial"/>
          <w:szCs w:val="24"/>
        </w:rPr>
        <w:t xml:space="preserve">working </w:t>
      </w:r>
      <w:r w:rsidR="004A05D0">
        <w:rPr>
          <w:rFonts w:cs="Arial"/>
          <w:szCs w:val="24"/>
        </w:rPr>
        <w:t xml:space="preserve">on this </w:t>
      </w:r>
      <w:r w:rsidR="003D084F">
        <w:rPr>
          <w:rFonts w:cs="Arial"/>
          <w:szCs w:val="24"/>
        </w:rPr>
        <w:t>manuscript</w:t>
      </w:r>
      <w:r w:rsidR="004A05D0">
        <w:rPr>
          <w:rFonts w:cs="Arial"/>
          <w:szCs w:val="24"/>
        </w:rPr>
        <w:t xml:space="preserve">. Thank you for your constant support and encouragement, and the countless cups of coffee. I think you might be the </w:t>
      </w:r>
      <w:r w:rsidR="002050B8">
        <w:rPr>
          <w:rFonts w:cs="Arial"/>
          <w:szCs w:val="24"/>
        </w:rPr>
        <w:t xml:space="preserve">one </w:t>
      </w:r>
      <w:r w:rsidR="004A05D0">
        <w:rPr>
          <w:rFonts w:cs="Arial"/>
          <w:szCs w:val="24"/>
        </w:rPr>
        <w:t xml:space="preserve">person </w:t>
      </w:r>
      <w:r w:rsidR="002050B8">
        <w:rPr>
          <w:rFonts w:cs="Arial"/>
          <w:szCs w:val="24"/>
        </w:rPr>
        <w:t xml:space="preserve">more </w:t>
      </w:r>
      <w:r w:rsidR="004A05D0">
        <w:rPr>
          <w:rFonts w:cs="Arial"/>
          <w:szCs w:val="24"/>
        </w:rPr>
        <w:t xml:space="preserve">relieved </w:t>
      </w:r>
      <w:r w:rsidR="002050B8">
        <w:rPr>
          <w:rFonts w:cs="Arial"/>
          <w:szCs w:val="24"/>
        </w:rPr>
        <w:t xml:space="preserve">than me </w:t>
      </w:r>
      <w:r w:rsidR="004A05D0">
        <w:rPr>
          <w:rFonts w:cs="Arial"/>
          <w:szCs w:val="24"/>
        </w:rPr>
        <w:t>that this document has finally been submitted.</w:t>
      </w:r>
    </w:p>
    <w:p w14:paraId="342223FC" w14:textId="62683A73" w:rsidR="00B12C12" w:rsidRDefault="004A05D0" w:rsidP="00227EE2">
      <w:pPr>
        <w:rPr>
          <w:rFonts w:cs="Arial"/>
          <w:szCs w:val="24"/>
        </w:rPr>
      </w:pPr>
      <w:r>
        <w:rPr>
          <w:rFonts w:cs="Arial"/>
          <w:szCs w:val="24"/>
        </w:rPr>
        <w:t xml:space="preserve">To my parents, thank you for </w:t>
      </w:r>
      <w:r w:rsidR="0034505F">
        <w:rPr>
          <w:rFonts w:cs="Arial"/>
          <w:szCs w:val="24"/>
        </w:rPr>
        <w:t xml:space="preserve">not only providing me with an education, but for also </w:t>
      </w:r>
      <w:r w:rsidR="002050B8">
        <w:rPr>
          <w:rFonts w:cs="Arial"/>
          <w:szCs w:val="24"/>
        </w:rPr>
        <w:t>sparking</w:t>
      </w:r>
      <w:r>
        <w:rPr>
          <w:rFonts w:cs="Arial"/>
          <w:szCs w:val="24"/>
        </w:rPr>
        <w:t xml:space="preserve"> </w:t>
      </w:r>
      <w:r w:rsidR="00FF499F">
        <w:rPr>
          <w:rFonts w:cs="Arial"/>
          <w:szCs w:val="24"/>
        </w:rPr>
        <w:t xml:space="preserve">and fuelling </w:t>
      </w:r>
      <w:r>
        <w:rPr>
          <w:rFonts w:cs="Arial"/>
          <w:szCs w:val="24"/>
        </w:rPr>
        <w:t xml:space="preserve">a passion </w:t>
      </w:r>
      <w:r w:rsidR="002050B8">
        <w:rPr>
          <w:rFonts w:cs="Arial"/>
          <w:szCs w:val="24"/>
        </w:rPr>
        <w:t>to learn</w:t>
      </w:r>
      <w:r w:rsidR="00B12C12">
        <w:rPr>
          <w:rFonts w:cs="Arial"/>
          <w:szCs w:val="24"/>
        </w:rPr>
        <w:t xml:space="preserve"> beyond what is required to merely obtain a qualification</w:t>
      </w:r>
      <w:r w:rsidR="0034505F">
        <w:rPr>
          <w:rFonts w:cs="Arial"/>
          <w:szCs w:val="24"/>
        </w:rPr>
        <w:t xml:space="preserve">. Thank you for teaching me </w:t>
      </w:r>
      <w:r w:rsidR="00FF499F">
        <w:rPr>
          <w:rFonts w:cs="Arial"/>
          <w:szCs w:val="24"/>
        </w:rPr>
        <w:t xml:space="preserve">the </w:t>
      </w:r>
      <w:r w:rsidR="0034505F">
        <w:rPr>
          <w:rFonts w:cs="Arial"/>
          <w:szCs w:val="24"/>
        </w:rPr>
        <w:t>determination I needed to push through the obstacle</w:t>
      </w:r>
      <w:r w:rsidR="003D084F">
        <w:rPr>
          <w:rFonts w:cs="Arial"/>
          <w:szCs w:val="24"/>
        </w:rPr>
        <w:t>s</w:t>
      </w:r>
      <w:r w:rsidR="0034505F">
        <w:rPr>
          <w:rFonts w:cs="Arial"/>
          <w:szCs w:val="24"/>
        </w:rPr>
        <w:t xml:space="preserve"> life threw my way. Your unwavering support along each of the avenues I investigated is invaluable</w:t>
      </w:r>
      <w:r w:rsidR="000A0B71">
        <w:rPr>
          <w:rFonts w:cs="Arial"/>
          <w:szCs w:val="24"/>
        </w:rPr>
        <w:t xml:space="preserve">. You might just be almost as relieved as Willem and me that </w:t>
      </w:r>
      <w:r w:rsidR="003D084F">
        <w:rPr>
          <w:rFonts w:cs="Arial"/>
          <w:szCs w:val="24"/>
        </w:rPr>
        <w:t>we can finally close the book on this chapter in our lives.</w:t>
      </w:r>
    </w:p>
    <w:p w14:paraId="5EC1B5C9" w14:textId="17A12FFE" w:rsidR="00753545" w:rsidRDefault="000A0B71" w:rsidP="00227EE2">
      <w:pPr>
        <w:rPr>
          <w:rFonts w:cs="Arial"/>
          <w:szCs w:val="24"/>
        </w:rPr>
      </w:pPr>
      <w:r>
        <w:rPr>
          <w:rFonts w:cs="Arial"/>
          <w:szCs w:val="24"/>
        </w:rPr>
        <w:t xml:space="preserve">To each friend </w:t>
      </w:r>
      <w:r w:rsidR="00753545">
        <w:rPr>
          <w:rFonts w:cs="Arial"/>
          <w:szCs w:val="24"/>
        </w:rPr>
        <w:t xml:space="preserve">and colleague </w:t>
      </w:r>
      <w:r>
        <w:rPr>
          <w:rFonts w:cs="Arial"/>
          <w:szCs w:val="24"/>
        </w:rPr>
        <w:t xml:space="preserve">that availed themselves for comments and queries on this topic, thank you. Without the opportunity to bounce ideas off of you, this </w:t>
      </w:r>
      <w:r w:rsidR="003D084F">
        <w:rPr>
          <w:rFonts w:cs="Arial"/>
          <w:szCs w:val="24"/>
        </w:rPr>
        <w:t xml:space="preserve">manuscript </w:t>
      </w:r>
      <w:r>
        <w:rPr>
          <w:rFonts w:cs="Arial"/>
          <w:szCs w:val="24"/>
        </w:rPr>
        <w:t xml:space="preserve">would never have seen the light of day. </w:t>
      </w:r>
    </w:p>
    <w:p w14:paraId="00EB1419" w14:textId="25CFCC85" w:rsidR="000A0B71" w:rsidRDefault="00753545" w:rsidP="00227EE2">
      <w:pPr>
        <w:rPr>
          <w:rFonts w:cs="Arial"/>
          <w:szCs w:val="24"/>
        </w:rPr>
      </w:pPr>
      <w:r>
        <w:rPr>
          <w:rFonts w:cs="Arial"/>
          <w:szCs w:val="24"/>
        </w:rPr>
        <w:t xml:space="preserve">Lastly, </w:t>
      </w:r>
      <w:r w:rsidR="003D084F">
        <w:rPr>
          <w:rFonts w:cs="Arial"/>
          <w:szCs w:val="24"/>
        </w:rPr>
        <w:t xml:space="preserve">a heartfelt thank you to </w:t>
      </w:r>
      <w:r>
        <w:rPr>
          <w:rFonts w:cs="Arial"/>
          <w:szCs w:val="24"/>
        </w:rPr>
        <w:t xml:space="preserve">each friend that </w:t>
      </w:r>
      <w:r w:rsidR="00FF499F">
        <w:rPr>
          <w:rFonts w:cs="Arial"/>
          <w:szCs w:val="24"/>
        </w:rPr>
        <w:t>did not discuss this topic with me, for</w:t>
      </w:r>
      <w:r>
        <w:rPr>
          <w:rFonts w:cs="Arial"/>
          <w:szCs w:val="24"/>
        </w:rPr>
        <w:t>cing me to take mental breaks to ensure that my focus remained intact when I needed it the most.</w:t>
      </w:r>
    </w:p>
    <w:p w14:paraId="7B4F6533" w14:textId="4B4450AB" w:rsidR="00A17BE8" w:rsidRPr="00A329C4" w:rsidRDefault="00A17BE8" w:rsidP="00227EE2">
      <w:pPr>
        <w:rPr>
          <w:rFonts w:cs="Arial"/>
          <w:szCs w:val="24"/>
        </w:rPr>
      </w:pPr>
    </w:p>
    <w:p w14:paraId="25560B77" w14:textId="630528D1" w:rsidR="00DD0558" w:rsidRPr="009A755D" w:rsidRDefault="00DD0558" w:rsidP="00067578">
      <w:pPr>
        <w:spacing w:after="160"/>
        <w:jc w:val="left"/>
        <w:rPr>
          <w:rFonts w:cs="Arial"/>
          <w:szCs w:val="24"/>
        </w:rPr>
      </w:pPr>
      <w:r w:rsidRPr="009A755D">
        <w:rPr>
          <w:rFonts w:cs="Arial"/>
          <w:szCs w:val="24"/>
        </w:rPr>
        <w:br w:type="page"/>
      </w:r>
    </w:p>
    <w:p w14:paraId="59CDDB19" w14:textId="77777777" w:rsidR="00DD0558" w:rsidRDefault="00DD0558">
      <w:pPr>
        <w:spacing w:after="160" w:line="259" w:lineRule="auto"/>
        <w:jc w:val="left"/>
      </w:pPr>
    </w:p>
    <w:sdt>
      <w:sdtPr>
        <w:rPr>
          <w:rFonts w:ascii="Arial" w:eastAsiaTheme="minorHAnsi" w:hAnsi="Arial" w:cstheme="minorBidi"/>
          <w:color w:val="auto"/>
          <w:sz w:val="24"/>
          <w:szCs w:val="22"/>
          <w:lang w:val="en-ZA"/>
        </w:rPr>
        <w:id w:val="1251548986"/>
        <w:docPartObj>
          <w:docPartGallery w:val="Table of Contents"/>
          <w:docPartUnique/>
        </w:docPartObj>
      </w:sdtPr>
      <w:sdtEndPr>
        <w:rPr>
          <w:b/>
          <w:bCs/>
          <w:noProof/>
        </w:rPr>
      </w:sdtEndPr>
      <w:sdtContent>
        <w:p w14:paraId="6370F3E8" w14:textId="5E19F843" w:rsidR="00497C55" w:rsidRPr="0075259A" w:rsidRDefault="00497C55" w:rsidP="0025188D">
          <w:pPr>
            <w:pStyle w:val="TOCHeading"/>
            <w:spacing w:before="200" w:after="200"/>
            <w:rPr>
              <w:rFonts w:ascii="Arial" w:hAnsi="Arial"/>
              <w:b/>
              <w:bCs/>
              <w:caps/>
              <w:color w:val="auto"/>
              <w:sz w:val="24"/>
            </w:rPr>
          </w:pPr>
          <w:r w:rsidRPr="0075259A">
            <w:rPr>
              <w:rFonts w:ascii="Arial" w:hAnsi="Arial"/>
              <w:b/>
              <w:bCs/>
              <w:caps/>
              <w:color w:val="auto"/>
              <w:sz w:val="24"/>
            </w:rPr>
            <w:t>Table of Contents</w:t>
          </w:r>
        </w:p>
        <w:p w14:paraId="3A8DB975" w14:textId="4FEE5425" w:rsidR="0079362A" w:rsidRDefault="00497C55">
          <w:pPr>
            <w:pStyle w:val="TOC1"/>
            <w:rPr>
              <w:rFonts w:asciiTheme="minorHAnsi" w:eastAsiaTheme="minorEastAsia" w:hAnsiTheme="minorHAnsi"/>
              <w:b w:val="0"/>
              <w:bCs w:val="0"/>
              <w:kern w:val="2"/>
              <w:szCs w:val="24"/>
              <w:lang w:eastAsia="en-ZA"/>
              <w14:ligatures w14:val="standardContextual"/>
            </w:rPr>
          </w:pPr>
          <w:r>
            <w:fldChar w:fldCharType="begin"/>
          </w:r>
          <w:r>
            <w:instrText xml:space="preserve"> TOC \o "1-3" \h \z \u </w:instrText>
          </w:r>
          <w:r>
            <w:fldChar w:fldCharType="separate"/>
          </w:r>
          <w:hyperlink w:anchor="_Toc191216249" w:history="1">
            <w:r w:rsidR="0079362A" w:rsidRPr="00B44FEE">
              <w:rPr>
                <w:rStyle w:val="Hyperlink"/>
              </w:rPr>
              <w:t>CHAPTER I : INTRODUCTION</w:t>
            </w:r>
            <w:r w:rsidR="0079362A">
              <w:rPr>
                <w:webHidden/>
              </w:rPr>
              <w:tab/>
            </w:r>
            <w:r w:rsidR="0079362A">
              <w:rPr>
                <w:webHidden/>
              </w:rPr>
              <w:fldChar w:fldCharType="begin"/>
            </w:r>
            <w:r w:rsidR="0079362A">
              <w:rPr>
                <w:webHidden/>
              </w:rPr>
              <w:instrText xml:space="preserve"> PAGEREF _Toc191216249 \h </w:instrText>
            </w:r>
            <w:r w:rsidR="0079362A">
              <w:rPr>
                <w:webHidden/>
              </w:rPr>
            </w:r>
            <w:r w:rsidR="0079362A">
              <w:rPr>
                <w:webHidden/>
              </w:rPr>
              <w:fldChar w:fldCharType="separate"/>
            </w:r>
            <w:r w:rsidR="0079362A">
              <w:rPr>
                <w:webHidden/>
              </w:rPr>
              <w:t>1</w:t>
            </w:r>
            <w:r w:rsidR="0079362A">
              <w:rPr>
                <w:webHidden/>
              </w:rPr>
              <w:fldChar w:fldCharType="end"/>
            </w:r>
          </w:hyperlink>
        </w:p>
        <w:p w14:paraId="6A1087E8" w14:textId="6282DC02" w:rsidR="0079362A" w:rsidRDefault="0079362A">
          <w:pPr>
            <w:pStyle w:val="TOC2"/>
            <w:rPr>
              <w:rFonts w:asciiTheme="minorHAnsi" w:eastAsiaTheme="minorEastAsia" w:hAnsiTheme="minorHAnsi"/>
              <w:noProof/>
              <w:kern w:val="2"/>
              <w:szCs w:val="24"/>
              <w:lang w:eastAsia="en-ZA"/>
              <w14:ligatures w14:val="standardContextual"/>
            </w:rPr>
          </w:pPr>
          <w:hyperlink w:anchor="_Toc191216250" w:history="1">
            <w:r w:rsidRPr="00B44FEE">
              <w:rPr>
                <w:rStyle w:val="Hyperlink"/>
                <w:bCs/>
                <w:noProof/>
              </w:rPr>
              <w:t>1.1</w:t>
            </w:r>
            <w:r>
              <w:rPr>
                <w:rFonts w:asciiTheme="minorHAnsi" w:eastAsiaTheme="minorEastAsia" w:hAnsiTheme="minorHAnsi"/>
                <w:noProof/>
                <w:kern w:val="2"/>
                <w:szCs w:val="24"/>
                <w:lang w:eastAsia="en-ZA"/>
                <w14:ligatures w14:val="standardContextual"/>
              </w:rPr>
              <w:tab/>
            </w:r>
            <w:r w:rsidRPr="00B44FEE">
              <w:rPr>
                <w:rStyle w:val="Hyperlink"/>
                <w:bCs/>
                <w:noProof/>
              </w:rPr>
              <w:t>Overview</w:t>
            </w:r>
            <w:r>
              <w:rPr>
                <w:noProof/>
                <w:webHidden/>
              </w:rPr>
              <w:tab/>
            </w:r>
            <w:r>
              <w:rPr>
                <w:noProof/>
                <w:webHidden/>
              </w:rPr>
              <w:fldChar w:fldCharType="begin"/>
            </w:r>
            <w:r>
              <w:rPr>
                <w:noProof/>
                <w:webHidden/>
              </w:rPr>
              <w:instrText xml:space="preserve"> PAGEREF _Toc191216250 \h </w:instrText>
            </w:r>
            <w:r>
              <w:rPr>
                <w:noProof/>
                <w:webHidden/>
              </w:rPr>
            </w:r>
            <w:r>
              <w:rPr>
                <w:noProof/>
                <w:webHidden/>
              </w:rPr>
              <w:fldChar w:fldCharType="separate"/>
            </w:r>
            <w:r>
              <w:rPr>
                <w:noProof/>
                <w:webHidden/>
              </w:rPr>
              <w:t>1</w:t>
            </w:r>
            <w:r>
              <w:rPr>
                <w:noProof/>
                <w:webHidden/>
              </w:rPr>
              <w:fldChar w:fldCharType="end"/>
            </w:r>
          </w:hyperlink>
        </w:p>
        <w:p w14:paraId="173AB749" w14:textId="444774A7" w:rsidR="0079362A" w:rsidRDefault="0079362A">
          <w:pPr>
            <w:pStyle w:val="TOC2"/>
            <w:rPr>
              <w:rFonts w:asciiTheme="minorHAnsi" w:eastAsiaTheme="minorEastAsia" w:hAnsiTheme="minorHAnsi"/>
              <w:noProof/>
              <w:kern w:val="2"/>
              <w:szCs w:val="24"/>
              <w:lang w:eastAsia="en-ZA"/>
              <w14:ligatures w14:val="standardContextual"/>
            </w:rPr>
          </w:pPr>
          <w:hyperlink w:anchor="_Toc191216251" w:history="1">
            <w:r w:rsidRPr="00B44FEE">
              <w:rPr>
                <w:rStyle w:val="Hyperlink"/>
                <w:bCs/>
                <w:noProof/>
              </w:rPr>
              <w:t>1.2</w:t>
            </w:r>
            <w:r>
              <w:rPr>
                <w:rFonts w:asciiTheme="minorHAnsi" w:eastAsiaTheme="minorEastAsia" w:hAnsiTheme="minorHAnsi"/>
                <w:noProof/>
                <w:kern w:val="2"/>
                <w:szCs w:val="24"/>
                <w:lang w:eastAsia="en-ZA"/>
                <w14:ligatures w14:val="standardContextual"/>
              </w:rPr>
              <w:tab/>
            </w:r>
            <w:r w:rsidRPr="00B44FEE">
              <w:rPr>
                <w:rStyle w:val="Hyperlink"/>
                <w:bCs/>
                <w:noProof/>
              </w:rPr>
              <w:t>Unworthiness</w:t>
            </w:r>
            <w:r>
              <w:rPr>
                <w:noProof/>
                <w:webHidden/>
              </w:rPr>
              <w:tab/>
            </w:r>
            <w:r>
              <w:rPr>
                <w:noProof/>
                <w:webHidden/>
              </w:rPr>
              <w:fldChar w:fldCharType="begin"/>
            </w:r>
            <w:r>
              <w:rPr>
                <w:noProof/>
                <w:webHidden/>
              </w:rPr>
              <w:instrText xml:space="preserve"> PAGEREF _Toc191216251 \h </w:instrText>
            </w:r>
            <w:r>
              <w:rPr>
                <w:noProof/>
                <w:webHidden/>
              </w:rPr>
            </w:r>
            <w:r>
              <w:rPr>
                <w:noProof/>
                <w:webHidden/>
              </w:rPr>
              <w:fldChar w:fldCharType="separate"/>
            </w:r>
            <w:r>
              <w:rPr>
                <w:noProof/>
                <w:webHidden/>
              </w:rPr>
              <w:t>3</w:t>
            </w:r>
            <w:r>
              <w:rPr>
                <w:noProof/>
                <w:webHidden/>
              </w:rPr>
              <w:fldChar w:fldCharType="end"/>
            </w:r>
          </w:hyperlink>
        </w:p>
        <w:p w14:paraId="4296237E" w14:textId="0239C682" w:rsidR="0079362A" w:rsidRDefault="0079362A">
          <w:pPr>
            <w:pStyle w:val="TOC2"/>
            <w:rPr>
              <w:rFonts w:asciiTheme="minorHAnsi" w:eastAsiaTheme="minorEastAsia" w:hAnsiTheme="minorHAnsi"/>
              <w:noProof/>
              <w:kern w:val="2"/>
              <w:szCs w:val="24"/>
              <w:lang w:eastAsia="en-ZA"/>
              <w14:ligatures w14:val="standardContextual"/>
            </w:rPr>
          </w:pPr>
          <w:hyperlink w:anchor="_Toc191216252" w:history="1">
            <w:r w:rsidRPr="00B44FEE">
              <w:rPr>
                <w:rStyle w:val="Hyperlink"/>
                <w:bCs/>
                <w:noProof/>
              </w:rPr>
              <w:t>1.3</w:t>
            </w:r>
            <w:r>
              <w:rPr>
                <w:rFonts w:asciiTheme="minorHAnsi" w:eastAsiaTheme="minorEastAsia" w:hAnsiTheme="minorHAnsi"/>
                <w:noProof/>
                <w:kern w:val="2"/>
                <w:szCs w:val="24"/>
                <w:lang w:eastAsia="en-ZA"/>
                <w14:ligatures w14:val="standardContextual"/>
              </w:rPr>
              <w:tab/>
            </w:r>
            <w:r w:rsidRPr="00B44FEE">
              <w:rPr>
                <w:rStyle w:val="Hyperlink"/>
                <w:bCs/>
                <w:noProof/>
              </w:rPr>
              <w:t xml:space="preserve">Historical overview of </w:t>
            </w:r>
            <w:r w:rsidRPr="00B44FEE">
              <w:rPr>
                <w:rStyle w:val="Hyperlink"/>
                <w:bCs/>
                <w:i/>
                <w:iCs/>
                <w:noProof/>
              </w:rPr>
              <w:t>de bloedige hand</w:t>
            </w:r>
            <w:r>
              <w:rPr>
                <w:noProof/>
                <w:webHidden/>
              </w:rPr>
              <w:tab/>
            </w:r>
            <w:r>
              <w:rPr>
                <w:noProof/>
                <w:webHidden/>
              </w:rPr>
              <w:fldChar w:fldCharType="begin"/>
            </w:r>
            <w:r>
              <w:rPr>
                <w:noProof/>
                <w:webHidden/>
              </w:rPr>
              <w:instrText xml:space="preserve"> PAGEREF _Toc191216252 \h </w:instrText>
            </w:r>
            <w:r>
              <w:rPr>
                <w:noProof/>
                <w:webHidden/>
              </w:rPr>
            </w:r>
            <w:r>
              <w:rPr>
                <w:noProof/>
                <w:webHidden/>
              </w:rPr>
              <w:fldChar w:fldCharType="separate"/>
            </w:r>
            <w:r>
              <w:rPr>
                <w:noProof/>
                <w:webHidden/>
              </w:rPr>
              <w:t>3</w:t>
            </w:r>
            <w:r>
              <w:rPr>
                <w:noProof/>
                <w:webHidden/>
              </w:rPr>
              <w:fldChar w:fldCharType="end"/>
            </w:r>
          </w:hyperlink>
        </w:p>
        <w:p w14:paraId="14DC668D" w14:textId="44A0B1ED" w:rsidR="0079362A" w:rsidRDefault="0079362A">
          <w:pPr>
            <w:pStyle w:val="TOC2"/>
            <w:rPr>
              <w:rFonts w:asciiTheme="minorHAnsi" w:eastAsiaTheme="minorEastAsia" w:hAnsiTheme="minorHAnsi"/>
              <w:noProof/>
              <w:kern w:val="2"/>
              <w:szCs w:val="24"/>
              <w:lang w:eastAsia="en-ZA"/>
              <w14:ligatures w14:val="standardContextual"/>
            </w:rPr>
          </w:pPr>
          <w:hyperlink w:anchor="_Toc191216253" w:history="1">
            <w:r w:rsidRPr="00B44FEE">
              <w:rPr>
                <w:rStyle w:val="Hyperlink"/>
                <w:bCs/>
                <w:noProof/>
              </w:rPr>
              <w:t>1.4</w:t>
            </w:r>
            <w:r>
              <w:rPr>
                <w:rFonts w:asciiTheme="minorHAnsi" w:eastAsiaTheme="minorEastAsia" w:hAnsiTheme="minorHAnsi"/>
                <w:noProof/>
                <w:kern w:val="2"/>
                <w:szCs w:val="24"/>
                <w:lang w:eastAsia="en-ZA"/>
                <w14:ligatures w14:val="standardContextual"/>
              </w:rPr>
              <w:tab/>
            </w:r>
            <w:r w:rsidRPr="00B44FEE">
              <w:rPr>
                <w:rStyle w:val="Hyperlink"/>
                <w:bCs/>
                <w:noProof/>
              </w:rPr>
              <w:t xml:space="preserve">Present applications of </w:t>
            </w:r>
            <w:r w:rsidRPr="00B44FEE">
              <w:rPr>
                <w:rStyle w:val="Hyperlink"/>
                <w:bCs/>
                <w:i/>
                <w:iCs/>
                <w:noProof/>
              </w:rPr>
              <w:t>de bloedige hand</w:t>
            </w:r>
            <w:r>
              <w:rPr>
                <w:noProof/>
                <w:webHidden/>
              </w:rPr>
              <w:tab/>
            </w:r>
            <w:r>
              <w:rPr>
                <w:noProof/>
                <w:webHidden/>
              </w:rPr>
              <w:fldChar w:fldCharType="begin"/>
            </w:r>
            <w:r>
              <w:rPr>
                <w:noProof/>
                <w:webHidden/>
              </w:rPr>
              <w:instrText xml:space="preserve"> PAGEREF _Toc191216253 \h </w:instrText>
            </w:r>
            <w:r>
              <w:rPr>
                <w:noProof/>
                <w:webHidden/>
              </w:rPr>
            </w:r>
            <w:r>
              <w:rPr>
                <w:noProof/>
                <w:webHidden/>
              </w:rPr>
              <w:fldChar w:fldCharType="separate"/>
            </w:r>
            <w:r>
              <w:rPr>
                <w:noProof/>
                <w:webHidden/>
              </w:rPr>
              <w:t>4</w:t>
            </w:r>
            <w:r>
              <w:rPr>
                <w:noProof/>
                <w:webHidden/>
              </w:rPr>
              <w:fldChar w:fldCharType="end"/>
            </w:r>
          </w:hyperlink>
        </w:p>
        <w:p w14:paraId="6656F787" w14:textId="7477BC9B" w:rsidR="0079362A" w:rsidRDefault="0079362A">
          <w:pPr>
            <w:pStyle w:val="TOC2"/>
            <w:rPr>
              <w:rFonts w:asciiTheme="minorHAnsi" w:eastAsiaTheme="minorEastAsia" w:hAnsiTheme="minorHAnsi"/>
              <w:noProof/>
              <w:kern w:val="2"/>
              <w:szCs w:val="24"/>
              <w:lang w:eastAsia="en-ZA"/>
              <w14:ligatures w14:val="standardContextual"/>
            </w:rPr>
          </w:pPr>
          <w:hyperlink w:anchor="_Toc191216254" w:history="1">
            <w:r w:rsidRPr="00B44FEE">
              <w:rPr>
                <w:rStyle w:val="Hyperlink"/>
                <w:bCs/>
                <w:noProof/>
              </w:rPr>
              <w:t>1.5</w:t>
            </w:r>
            <w:r>
              <w:rPr>
                <w:rFonts w:asciiTheme="minorHAnsi" w:eastAsiaTheme="minorEastAsia" w:hAnsiTheme="minorHAnsi"/>
                <w:noProof/>
                <w:kern w:val="2"/>
                <w:szCs w:val="24"/>
                <w:lang w:eastAsia="en-ZA"/>
                <w14:ligatures w14:val="standardContextual"/>
              </w:rPr>
              <w:tab/>
            </w:r>
            <w:r w:rsidRPr="00B44FEE">
              <w:rPr>
                <w:rStyle w:val="Hyperlink"/>
                <w:bCs/>
                <w:noProof/>
              </w:rPr>
              <w:t xml:space="preserve">Prospective applications of </w:t>
            </w:r>
            <w:r w:rsidRPr="00B44FEE">
              <w:rPr>
                <w:rStyle w:val="Hyperlink"/>
                <w:bCs/>
                <w:i/>
                <w:iCs/>
                <w:noProof/>
              </w:rPr>
              <w:t>de bloedige hand</w:t>
            </w:r>
            <w:r>
              <w:rPr>
                <w:noProof/>
                <w:webHidden/>
              </w:rPr>
              <w:tab/>
            </w:r>
            <w:r>
              <w:rPr>
                <w:noProof/>
                <w:webHidden/>
              </w:rPr>
              <w:fldChar w:fldCharType="begin"/>
            </w:r>
            <w:r>
              <w:rPr>
                <w:noProof/>
                <w:webHidden/>
              </w:rPr>
              <w:instrText xml:space="preserve"> PAGEREF _Toc191216254 \h </w:instrText>
            </w:r>
            <w:r>
              <w:rPr>
                <w:noProof/>
                <w:webHidden/>
              </w:rPr>
            </w:r>
            <w:r>
              <w:rPr>
                <w:noProof/>
                <w:webHidden/>
              </w:rPr>
              <w:fldChar w:fldCharType="separate"/>
            </w:r>
            <w:r>
              <w:rPr>
                <w:noProof/>
                <w:webHidden/>
              </w:rPr>
              <w:t>4</w:t>
            </w:r>
            <w:r>
              <w:rPr>
                <w:noProof/>
                <w:webHidden/>
              </w:rPr>
              <w:fldChar w:fldCharType="end"/>
            </w:r>
          </w:hyperlink>
        </w:p>
        <w:p w14:paraId="3162DABF" w14:textId="38F0920A" w:rsidR="0079362A" w:rsidRDefault="0079362A">
          <w:pPr>
            <w:pStyle w:val="TOC2"/>
            <w:rPr>
              <w:rFonts w:asciiTheme="minorHAnsi" w:eastAsiaTheme="minorEastAsia" w:hAnsiTheme="minorHAnsi"/>
              <w:noProof/>
              <w:kern w:val="2"/>
              <w:szCs w:val="24"/>
              <w:lang w:eastAsia="en-ZA"/>
              <w14:ligatures w14:val="standardContextual"/>
            </w:rPr>
          </w:pPr>
          <w:hyperlink w:anchor="_Toc191216255" w:history="1">
            <w:r w:rsidRPr="00B44FEE">
              <w:rPr>
                <w:rStyle w:val="Hyperlink"/>
                <w:bCs/>
                <w:noProof/>
              </w:rPr>
              <w:t>1.6</w:t>
            </w:r>
            <w:r>
              <w:rPr>
                <w:rFonts w:asciiTheme="minorHAnsi" w:eastAsiaTheme="minorEastAsia" w:hAnsiTheme="minorHAnsi"/>
                <w:noProof/>
                <w:kern w:val="2"/>
                <w:szCs w:val="24"/>
                <w:lang w:eastAsia="en-ZA"/>
                <w14:ligatures w14:val="standardContextual"/>
              </w:rPr>
              <w:tab/>
            </w:r>
            <w:r w:rsidRPr="00B44FEE">
              <w:rPr>
                <w:rStyle w:val="Hyperlink"/>
                <w:bCs/>
                <w:noProof/>
              </w:rPr>
              <w:t>Conclusion</w:t>
            </w:r>
            <w:r>
              <w:rPr>
                <w:noProof/>
                <w:webHidden/>
              </w:rPr>
              <w:tab/>
            </w:r>
            <w:r>
              <w:rPr>
                <w:noProof/>
                <w:webHidden/>
              </w:rPr>
              <w:fldChar w:fldCharType="begin"/>
            </w:r>
            <w:r>
              <w:rPr>
                <w:noProof/>
                <w:webHidden/>
              </w:rPr>
              <w:instrText xml:space="preserve"> PAGEREF _Toc191216255 \h </w:instrText>
            </w:r>
            <w:r>
              <w:rPr>
                <w:noProof/>
                <w:webHidden/>
              </w:rPr>
            </w:r>
            <w:r>
              <w:rPr>
                <w:noProof/>
                <w:webHidden/>
              </w:rPr>
              <w:fldChar w:fldCharType="separate"/>
            </w:r>
            <w:r>
              <w:rPr>
                <w:noProof/>
                <w:webHidden/>
              </w:rPr>
              <w:t>5</w:t>
            </w:r>
            <w:r>
              <w:rPr>
                <w:noProof/>
                <w:webHidden/>
              </w:rPr>
              <w:fldChar w:fldCharType="end"/>
            </w:r>
          </w:hyperlink>
        </w:p>
        <w:p w14:paraId="386EB006" w14:textId="507F09D2" w:rsidR="0079362A" w:rsidRDefault="0079362A">
          <w:pPr>
            <w:pStyle w:val="TOC1"/>
            <w:rPr>
              <w:rFonts w:asciiTheme="minorHAnsi" w:eastAsiaTheme="minorEastAsia" w:hAnsiTheme="minorHAnsi"/>
              <w:b w:val="0"/>
              <w:bCs w:val="0"/>
              <w:kern w:val="2"/>
              <w:szCs w:val="24"/>
              <w:lang w:eastAsia="en-ZA"/>
              <w14:ligatures w14:val="standardContextual"/>
            </w:rPr>
          </w:pPr>
          <w:hyperlink w:anchor="_Toc191216256" w:history="1">
            <w:r w:rsidRPr="00B44FEE">
              <w:rPr>
                <w:rStyle w:val="Hyperlink"/>
                <w:rFonts w:cs="Arial"/>
              </w:rPr>
              <w:t xml:space="preserve">CHAPTER II : INITIAL APPLICATION OF </w:t>
            </w:r>
            <w:r w:rsidRPr="00B44FEE">
              <w:rPr>
                <w:rStyle w:val="Hyperlink"/>
                <w:rFonts w:cs="Arial"/>
                <w:i/>
                <w:iCs/>
              </w:rPr>
              <w:t>DE BLOEDIGE HAND</w:t>
            </w:r>
            <w:r>
              <w:rPr>
                <w:webHidden/>
              </w:rPr>
              <w:tab/>
            </w:r>
            <w:r>
              <w:rPr>
                <w:webHidden/>
              </w:rPr>
              <w:fldChar w:fldCharType="begin"/>
            </w:r>
            <w:r>
              <w:rPr>
                <w:webHidden/>
              </w:rPr>
              <w:instrText xml:space="preserve"> PAGEREF _Toc191216256 \h </w:instrText>
            </w:r>
            <w:r>
              <w:rPr>
                <w:webHidden/>
              </w:rPr>
            </w:r>
            <w:r>
              <w:rPr>
                <w:webHidden/>
              </w:rPr>
              <w:fldChar w:fldCharType="separate"/>
            </w:r>
            <w:r>
              <w:rPr>
                <w:webHidden/>
              </w:rPr>
              <w:t>6</w:t>
            </w:r>
            <w:r>
              <w:rPr>
                <w:webHidden/>
              </w:rPr>
              <w:fldChar w:fldCharType="end"/>
            </w:r>
          </w:hyperlink>
        </w:p>
        <w:p w14:paraId="09639978" w14:textId="16455E6D" w:rsidR="0079362A" w:rsidRDefault="0079362A">
          <w:pPr>
            <w:pStyle w:val="TOC2"/>
            <w:rPr>
              <w:rFonts w:asciiTheme="minorHAnsi" w:eastAsiaTheme="minorEastAsia" w:hAnsiTheme="minorHAnsi"/>
              <w:noProof/>
              <w:kern w:val="2"/>
              <w:szCs w:val="24"/>
              <w:lang w:eastAsia="en-ZA"/>
              <w14:ligatures w14:val="standardContextual"/>
            </w:rPr>
          </w:pPr>
          <w:hyperlink w:anchor="_Toc191216257" w:history="1">
            <w:r w:rsidRPr="00B44FEE">
              <w:rPr>
                <w:rStyle w:val="Hyperlink"/>
                <w:rFonts w:cs="Arial"/>
                <w:bCs/>
                <w:noProof/>
              </w:rPr>
              <w:t>2.1</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Overview</w:t>
            </w:r>
            <w:r>
              <w:rPr>
                <w:noProof/>
                <w:webHidden/>
              </w:rPr>
              <w:tab/>
            </w:r>
            <w:r>
              <w:rPr>
                <w:noProof/>
                <w:webHidden/>
              </w:rPr>
              <w:fldChar w:fldCharType="begin"/>
            </w:r>
            <w:r>
              <w:rPr>
                <w:noProof/>
                <w:webHidden/>
              </w:rPr>
              <w:instrText xml:space="preserve"> PAGEREF _Toc191216257 \h </w:instrText>
            </w:r>
            <w:r>
              <w:rPr>
                <w:noProof/>
                <w:webHidden/>
              </w:rPr>
            </w:r>
            <w:r>
              <w:rPr>
                <w:noProof/>
                <w:webHidden/>
              </w:rPr>
              <w:fldChar w:fldCharType="separate"/>
            </w:r>
            <w:r>
              <w:rPr>
                <w:noProof/>
                <w:webHidden/>
              </w:rPr>
              <w:t>6</w:t>
            </w:r>
            <w:r>
              <w:rPr>
                <w:noProof/>
                <w:webHidden/>
              </w:rPr>
              <w:fldChar w:fldCharType="end"/>
            </w:r>
          </w:hyperlink>
        </w:p>
        <w:p w14:paraId="4D03486A" w14:textId="47DC2EF5" w:rsidR="0079362A" w:rsidRDefault="0079362A">
          <w:pPr>
            <w:pStyle w:val="TOC2"/>
            <w:rPr>
              <w:rFonts w:asciiTheme="minorHAnsi" w:eastAsiaTheme="minorEastAsia" w:hAnsiTheme="minorHAnsi"/>
              <w:noProof/>
              <w:kern w:val="2"/>
              <w:szCs w:val="24"/>
              <w:lang w:eastAsia="en-ZA"/>
              <w14:ligatures w14:val="standardContextual"/>
            </w:rPr>
          </w:pPr>
          <w:hyperlink w:anchor="_Toc191216258" w:history="1">
            <w:r w:rsidRPr="00B44FEE">
              <w:rPr>
                <w:rStyle w:val="Hyperlink"/>
                <w:rFonts w:cs="Arial"/>
                <w:noProof/>
              </w:rPr>
              <w:t>2.2</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Unworthiness in general</w:t>
            </w:r>
            <w:r>
              <w:rPr>
                <w:noProof/>
                <w:webHidden/>
              </w:rPr>
              <w:tab/>
            </w:r>
            <w:r>
              <w:rPr>
                <w:noProof/>
                <w:webHidden/>
              </w:rPr>
              <w:fldChar w:fldCharType="begin"/>
            </w:r>
            <w:r>
              <w:rPr>
                <w:noProof/>
                <w:webHidden/>
              </w:rPr>
              <w:instrText xml:space="preserve"> PAGEREF _Toc191216258 \h </w:instrText>
            </w:r>
            <w:r>
              <w:rPr>
                <w:noProof/>
                <w:webHidden/>
              </w:rPr>
            </w:r>
            <w:r>
              <w:rPr>
                <w:noProof/>
                <w:webHidden/>
              </w:rPr>
              <w:fldChar w:fldCharType="separate"/>
            </w:r>
            <w:r>
              <w:rPr>
                <w:noProof/>
                <w:webHidden/>
              </w:rPr>
              <w:t>6</w:t>
            </w:r>
            <w:r>
              <w:rPr>
                <w:noProof/>
                <w:webHidden/>
              </w:rPr>
              <w:fldChar w:fldCharType="end"/>
            </w:r>
          </w:hyperlink>
        </w:p>
        <w:p w14:paraId="11FDF0B7" w14:textId="679D3135" w:rsidR="0079362A" w:rsidRDefault="0079362A">
          <w:pPr>
            <w:pStyle w:val="TOC2"/>
            <w:rPr>
              <w:rFonts w:asciiTheme="minorHAnsi" w:eastAsiaTheme="minorEastAsia" w:hAnsiTheme="minorHAnsi"/>
              <w:noProof/>
              <w:kern w:val="2"/>
              <w:szCs w:val="24"/>
              <w:lang w:eastAsia="en-ZA"/>
              <w14:ligatures w14:val="standardContextual"/>
            </w:rPr>
          </w:pPr>
          <w:hyperlink w:anchor="_Toc191216259" w:history="1">
            <w:r w:rsidRPr="00B44FEE">
              <w:rPr>
                <w:rStyle w:val="Hyperlink"/>
                <w:rFonts w:cs="Arial"/>
                <w:noProof/>
              </w:rPr>
              <w:t>2.3</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Statutory unworthiness</w:t>
            </w:r>
            <w:r>
              <w:rPr>
                <w:noProof/>
                <w:webHidden/>
              </w:rPr>
              <w:tab/>
            </w:r>
            <w:r>
              <w:rPr>
                <w:noProof/>
                <w:webHidden/>
              </w:rPr>
              <w:fldChar w:fldCharType="begin"/>
            </w:r>
            <w:r>
              <w:rPr>
                <w:noProof/>
                <w:webHidden/>
              </w:rPr>
              <w:instrText xml:space="preserve"> PAGEREF _Toc191216259 \h </w:instrText>
            </w:r>
            <w:r>
              <w:rPr>
                <w:noProof/>
                <w:webHidden/>
              </w:rPr>
            </w:r>
            <w:r>
              <w:rPr>
                <w:noProof/>
                <w:webHidden/>
              </w:rPr>
              <w:fldChar w:fldCharType="separate"/>
            </w:r>
            <w:r>
              <w:rPr>
                <w:noProof/>
                <w:webHidden/>
              </w:rPr>
              <w:t>8</w:t>
            </w:r>
            <w:r>
              <w:rPr>
                <w:noProof/>
                <w:webHidden/>
              </w:rPr>
              <w:fldChar w:fldCharType="end"/>
            </w:r>
          </w:hyperlink>
        </w:p>
        <w:p w14:paraId="560846AA" w14:textId="5F948A5C" w:rsidR="0079362A" w:rsidRDefault="0079362A">
          <w:pPr>
            <w:pStyle w:val="TOC2"/>
            <w:rPr>
              <w:rFonts w:asciiTheme="minorHAnsi" w:eastAsiaTheme="minorEastAsia" w:hAnsiTheme="minorHAnsi"/>
              <w:noProof/>
              <w:kern w:val="2"/>
              <w:szCs w:val="24"/>
              <w:lang w:eastAsia="en-ZA"/>
              <w14:ligatures w14:val="standardContextual"/>
            </w:rPr>
          </w:pPr>
          <w:hyperlink w:anchor="_Toc191216260" w:history="1">
            <w:r w:rsidRPr="00B44FEE">
              <w:rPr>
                <w:rStyle w:val="Hyperlink"/>
                <w:rFonts w:cs="Arial"/>
                <w:noProof/>
              </w:rPr>
              <w:t>2.4</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Common law unworthiness</w:t>
            </w:r>
            <w:r>
              <w:rPr>
                <w:noProof/>
                <w:webHidden/>
              </w:rPr>
              <w:tab/>
            </w:r>
            <w:r>
              <w:rPr>
                <w:noProof/>
                <w:webHidden/>
              </w:rPr>
              <w:fldChar w:fldCharType="begin"/>
            </w:r>
            <w:r>
              <w:rPr>
                <w:noProof/>
                <w:webHidden/>
              </w:rPr>
              <w:instrText xml:space="preserve"> PAGEREF _Toc191216260 \h </w:instrText>
            </w:r>
            <w:r>
              <w:rPr>
                <w:noProof/>
                <w:webHidden/>
              </w:rPr>
            </w:r>
            <w:r>
              <w:rPr>
                <w:noProof/>
                <w:webHidden/>
              </w:rPr>
              <w:fldChar w:fldCharType="separate"/>
            </w:r>
            <w:r>
              <w:rPr>
                <w:noProof/>
                <w:webHidden/>
              </w:rPr>
              <w:t>8</w:t>
            </w:r>
            <w:r>
              <w:rPr>
                <w:noProof/>
                <w:webHidden/>
              </w:rPr>
              <w:fldChar w:fldCharType="end"/>
            </w:r>
          </w:hyperlink>
        </w:p>
        <w:p w14:paraId="168BCBB7" w14:textId="252AED92"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61" w:history="1">
            <w:r w:rsidRPr="00B44FEE">
              <w:rPr>
                <w:rStyle w:val="Hyperlink"/>
                <w:rFonts w:cs="Arial"/>
                <w:b/>
                <w:bCs/>
                <w:noProof/>
              </w:rPr>
              <w:t>2.4.1</w:t>
            </w:r>
            <w:r>
              <w:rPr>
                <w:rFonts w:asciiTheme="minorHAnsi" w:eastAsiaTheme="minorEastAsia" w:hAnsiTheme="minorHAnsi"/>
                <w:noProof/>
                <w:kern w:val="2"/>
                <w:szCs w:val="24"/>
                <w:lang w:eastAsia="en-ZA"/>
                <w14:ligatures w14:val="standardContextual"/>
              </w:rPr>
              <w:tab/>
            </w:r>
            <w:r w:rsidRPr="00B44FEE">
              <w:rPr>
                <w:rStyle w:val="Hyperlink"/>
                <w:rFonts w:cs="Arial"/>
                <w:noProof/>
              </w:rPr>
              <w:t>“</w:t>
            </w:r>
            <w:r w:rsidRPr="00B44FEE">
              <w:rPr>
                <w:rStyle w:val="Hyperlink"/>
                <w:rFonts w:cs="Arial"/>
                <w:b/>
                <w:bCs/>
                <w:i/>
                <w:iCs/>
                <w:noProof/>
              </w:rPr>
              <w:t>Nemo ex suo delicto meliorem suam conditionem facere potest</w:t>
            </w:r>
            <w:r w:rsidRPr="00B44FEE">
              <w:rPr>
                <w:rStyle w:val="Hyperlink"/>
                <w:rFonts w:cs="Arial"/>
                <w:b/>
                <w:bCs/>
                <w:noProof/>
              </w:rPr>
              <w:t>”</w:t>
            </w:r>
            <w:r>
              <w:rPr>
                <w:noProof/>
                <w:webHidden/>
              </w:rPr>
              <w:tab/>
            </w:r>
            <w:r>
              <w:rPr>
                <w:noProof/>
                <w:webHidden/>
              </w:rPr>
              <w:fldChar w:fldCharType="begin"/>
            </w:r>
            <w:r>
              <w:rPr>
                <w:noProof/>
                <w:webHidden/>
              </w:rPr>
              <w:instrText xml:space="preserve"> PAGEREF _Toc191216261 \h </w:instrText>
            </w:r>
            <w:r>
              <w:rPr>
                <w:noProof/>
                <w:webHidden/>
              </w:rPr>
            </w:r>
            <w:r>
              <w:rPr>
                <w:noProof/>
                <w:webHidden/>
              </w:rPr>
              <w:fldChar w:fldCharType="separate"/>
            </w:r>
            <w:r>
              <w:rPr>
                <w:noProof/>
                <w:webHidden/>
              </w:rPr>
              <w:t>9</w:t>
            </w:r>
            <w:r>
              <w:rPr>
                <w:noProof/>
                <w:webHidden/>
              </w:rPr>
              <w:fldChar w:fldCharType="end"/>
            </w:r>
          </w:hyperlink>
        </w:p>
        <w:p w14:paraId="0C12EACC" w14:textId="3DC1B8DC"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62" w:history="1">
            <w:r w:rsidRPr="00B44FEE">
              <w:rPr>
                <w:rStyle w:val="Hyperlink"/>
                <w:rFonts w:cs="Arial"/>
                <w:b/>
                <w:noProof/>
              </w:rPr>
              <w:t>2.4.2</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Public policy</w:t>
            </w:r>
            <w:r>
              <w:rPr>
                <w:noProof/>
                <w:webHidden/>
              </w:rPr>
              <w:tab/>
            </w:r>
            <w:r>
              <w:rPr>
                <w:noProof/>
                <w:webHidden/>
              </w:rPr>
              <w:fldChar w:fldCharType="begin"/>
            </w:r>
            <w:r>
              <w:rPr>
                <w:noProof/>
                <w:webHidden/>
              </w:rPr>
              <w:instrText xml:space="preserve"> PAGEREF _Toc191216262 \h </w:instrText>
            </w:r>
            <w:r>
              <w:rPr>
                <w:noProof/>
                <w:webHidden/>
              </w:rPr>
            </w:r>
            <w:r>
              <w:rPr>
                <w:noProof/>
                <w:webHidden/>
              </w:rPr>
              <w:fldChar w:fldCharType="separate"/>
            </w:r>
            <w:r>
              <w:rPr>
                <w:noProof/>
                <w:webHidden/>
              </w:rPr>
              <w:t>10</w:t>
            </w:r>
            <w:r>
              <w:rPr>
                <w:noProof/>
                <w:webHidden/>
              </w:rPr>
              <w:fldChar w:fldCharType="end"/>
            </w:r>
          </w:hyperlink>
        </w:p>
        <w:p w14:paraId="4CC65A3E" w14:textId="2C4F19A6"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63" w:history="1">
            <w:r w:rsidRPr="00B44FEE">
              <w:rPr>
                <w:rStyle w:val="Hyperlink"/>
                <w:rFonts w:cs="Arial"/>
                <w:b/>
                <w:noProof/>
              </w:rPr>
              <w:t>2.4.3</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De bloedige hand</w:t>
            </w:r>
            <w:r>
              <w:rPr>
                <w:noProof/>
                <w:webHidden/>
              </w:rPr>
              <w:tab/>
            </w:r>
            <w:r>
              <w:rPr>
                <w:noProof/>
                <w:webHidden/>
              </w:rPr>
              <w:fldChar w:fldCharType="begin"/>
            </w:r>
            <w:r>
              <w:rPr>
                <w:noProof/>
                <w:webHidden/>
              </w:rPr>
              <w:instrText xml:space="preserve"> PAGEREF _Toc191216263 \h </w:instrText>
            </w:r>
            <w:r>
              <w:rPr>
                <w:noProof/>
                <w:webHidden/>
              </w:rPr>
            </w:r>
            <w:r>
              <w:rPr>
                <w:noProof/>
                <w:webHidden/>
              </w:rPr>
              <w:fldChar w:fldCharType="separate"/>
            </w:r>
            <w:r>
              <w:rPr>
                <w:noProof/>
                <w:webHidden/>
              </w:rPr>
              <w:t>11</w:t>
            </w:r>
            <w:r>
              <w:rPr>
                <w:noProof/>
                <w:webHidden/>
              </w:rPr>
              <w:fldChar w:fldCharType="end"/>
            </w:r>
          </w:hyperlink>
        </w:p>
        <w:p w14:paraId="7080D6F6" w14:textId="6DD8A760" w:rsidR="0079362A" w:rsidRDefault="0079362A">
          <w:pPr>
            <w:pStyle w:val="TOC2"/>
            <w:rPr>
              <w:rFonts w:asciiTheme="minorHAnsi" w:eastAsiaTheme="minorEastAsia" w:hAnsiTheme="minorHAnsi"/>
              <w:noProof/>
              <w:kern w:val="2"/>
              <w:szCs w:val="24"/>
              <w:lang w:eastAsia="en-ZA"/>
              <w14:ligatures w14:val="standardContextual"/>
            </w:rPr>
          </w:pPr>
          <w:hyperlink w:anchor="_Toc191216264" w:history="1">
            <w:r w:rsidRPr="00B44FEE">
              <w:rPr>
                <w:rStyle w:val="Hyperlink"/>
                <w:rFonts w:cs="Arial"/>
                <w:noProof/>
              </w:rPr>
              <w:t>2.5</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 xml:space="preserve">Application of </w:t>
            </w:r>
            <w:r w:rsidRPr="00B44FEE">
              <w:rPr>
                <w:rStyle w:val="Hyperlink"/>
                <w:rFonts w:cs="Arial"/>
                <w:bCs/>
                <w:i/>
                <w:iCs/>
                <w:noProof/>
              </w:rPr>
              <w:t>de bloedige hand</w:t>
            </w:r>
            <w:r w:rsidRPr="00B44FEE">
              <w:rPr>
                <w:rStyle w:val="Hyperlink"/>
                <w:rFonts w:cs="Arial"/>
                <w:bCs/>
                <w:noProof/>
              </w:rPr>
              <w:t xml:space="preserve"> in the law of succession</w:t>
            </w:r>
            <w:r>
              <w:rPr>
                <w:noProof/>
                <w:webHidden/>
              </w:rPr>
              <w:tab/>
            </w:r>
            <w:r>
              <w:rPr>
                <w:noProof/>
                <w:webHidden/>
              </w:rPr>
              <w:fldChar w:fldCharType="begin"/>
            </w:r>
            <w:r>
              <w:rPr>
                <w:noProof/>
                <w:webHidden/>
              </w:rPr>
              <w:instrText xml:space="preserve"> PAGEREF _Toc191216264 \h </w:instrText>
            </w:r>
            <w:r>
              <w:rPr>
                <w:noProof/>
                <w:webHidden/>
              </w:rPr>
            </w:r>
            <w:r>
              <w:rPr>
                <w:noProof/>
                <w:webHidden/>
              </w:rPr>
              <w:fldChar w:fldCharType="separate"/>
            </w:r>
            <w:r>
              <w:rPr>
                <w:noProof/>
                <w:webHidden/>
              </w:rPr>
              <w:t>13</w:t>
            </w:r>
            <w:r>
              <w:rPr>
                <w:noProof/>
                <w:webHidden/>
              </w:rPr>
              <w:fldChar w:fldCharType="end"/>
            </w:r>
          </w:hyperlink>
        </w:p>
        <w:p w14:paraId="19C37E6D" w14:textId="6EBC3B7A" w:rsidR="0079362A" w:rsidRDefault="0079362A">
          <w:pPr>
            <w:pStyle w:val="TOC2"/>
            <w:rPr>
              <w:rFonts w:asciiTheme="minorHAnsi" w:eastAsiaTheme="minorEastAsia" w:hAnsiTheme="minorHAnsi"/>
              <w:noProof/>
              <w:kern w:val="2"/>
              <w:szCs w:val="24"/>
              <w:lang w:eastAsia="en-ZA"/>
              <w14:ligatures w14:val="standardContextual"/>
            </w:rPr>
          </w:pPr>
          <w:hyperlink w:anchor="_Toc191216265" w:history="1">
            <w:r w:rsidRPr="00B44FEE">
              <w:rPr>
                <w:rStyle w:val="Hyperlink"/>
                <w:rFonts w:cs="Arial"/>
                <w:noProof/>
              </w:rPr>
              <w:t>2.5.1</w:t>
            </w:r>
            <w:r>
              <w:rPr>
                <w:rFonts w:asciiTheme="minorHAnsi" w:eastAsiaTheme="minorEastAsia" w:hAnsiTheme="minorHAnsi"/>
                <w:noProof/>
                <w:kern w:val="2"/>
                <w:szCs w:val="24"/>
                <w:lang w:eastAsia="en-ZA"/>
                <w14:ligatures w14:val="standardContextual"/>
              </w:rPr>
              <w:tab/>
            </w:r>
            <w:r w:rsidRPr="00B44FEE">
              <w:rPr>
                <w:rStyle w:val="Hyperlink"/>
                <w:rFonts w:cs="Arial"/>
                <w:bCs/>
                <w:i/>
                <w:iCs/>
                <w:noProof/>
              </w:rPr>
              <w:t xml:space="preserve">Taylor v Pim </w:t>
            </w:r>
            <w:r w:rsidRPr="00B44FEE">
              <w:rPr>
                <w:rStyle w:val="Hyperlink"/>
                <w:rFonts w:cs="Arial"/>
                <w:bCs/>
                <w:noProof/>
              </w:rPr>
              <w:t>1903 24 NLR 484</w:t>
            </w:r>
            <w:r>
              <w:rPr>
                <w:noProof/>
                <w:webHidden/>
              </w:rPr>
              <w:tab/>
            </w:r>
            <w:r>
              <w:rPr>
                <w:noProof/>
                <w:webHidden/>
              </w:rPr>
              <w:fldChar w:fldCharType="begin"/>
            </w:r>
            <w:r>
              <w:rPr>
                <w:noProof/>
                <w:webHidden/>
              </w:rPr>
              <w:instrText xml:space="preserve"> PAGEREF _Toc191216265 \h </w:instrText>
            </w:r>
            <w:r>
              <w:rPr>
                <w:noProof/>
                <w:webHidden/>
              </w:rPr>
            </w:r>
            <w:r>
              <w:rPr>
                <w:noProof/>
                <w:webHidden/>
              </w:rPr>
              <w:fldChar w:fldCharType="separate"/>
            </w:r>
            <w:r>
              <w:rPr>
                <w:noProof/>
                <w:webHidden/>
              </w:rPr>
              <w:t>14</w:t>
            </w:r>
            <w:r>
              <w:rPr>
                <w:noProof/>
                <w:webHidden/>
              </w:rPr>
              <w:fldChar w:fldCharType="end"/>
            </w:r>
          </w:hyperlink>
        </w:p>
        <w:p w14:paraId="7BD5D42A" w14:textId="7655BFCA" w:rsidR="0079362A" w:rsidRDefault="0079362A">
          <w:pPr>
            <w:pStyle w:val="TOC2"/>
            <w:rPr>
              <w:rFonts w:asciiTheme="minorHAnsi" w:eastAsiaTheme="minorEastAsia" w:hAnsiTheme="minorHAnsi"/>
              <w:noProof/>
              <w:kern w:val="2"/>
              <w:szCs w:val="24"/>
              <w:lang w:eastAsia="en-ZA"/>
              <w14:ligatures w14:val="standardContextual"/>
            </w:rPr>
          </w:pPr>
          <w:hyperlink w:anchor="_Toc191216266" w:history="1">
            <w:r w:rsidRPr="00B44FEE">
              <w:rPr>
                <w:rStyle w:val="Hyperlink"/>
                <w:rFonts w:cs="Arial"/>
                <w:noProof/>
              </w:rPr>
              <w:t>2.6</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Development of requirements for a finding of unworthiness</w:t>
            </w:r>
            <w:r>
              <w:rPr>
                <w:noProof/>
                <w:webHidden/>
              </w:rPr>
              <w:tab/>
            </w:r>
            <w:r>
              <w:rPr>
                <w:noProof/>
                <w:webHidden/>
              </w:rPr>
              <w:fldChar w:fldCharType="begin"/>
            </w:r>
            <w:r>
              <w:rPr>
                <w:noProof/>
                <w:webHidden/>
              </w:rPr>
              <w:instrText xml:space="preserve"> PAGEREF _Toc191216266 \h </w:instrText>
            </w:r>
            <w:r>
              <w:rPr>
                <w:noProof/>
                <w:webHidden/>
              </w:rPr>
            </w:r>
            <w:r>
              <w:rPr>
                <w:noProof/>
                <w:webHidden/>
              </w:rPr>
              <w:fldChar w:fldCharType="separate"/>
            </w:r>
            <w:r>
              <w:rPr>
                <w:noProof/>
                <w:webHidden/>
              </w:rPr>
              <w:t>15</w:t>
            </w:r>
            <w:r>
              <w:rPr>
                <w:noProof/>
                <w:webHidden/>
              </w:rPr>
              <w:fldChar w:fldCharType="end"/>
            </w:r>
          </w:hyperlink>
        </w:p>
        <w:p w14:paraId="553954C7" w14:textId="2419BBB6" w:rsidR="0079362A" w:rsidRDefault="0079362A">
          <w:pPr>
            <w:pStyle w:val="TOC2"/>
            <w:rPr>
              <w:rFonts w:asciiTheme="minorHAnsi" w:eastAsiaTheme="minorEastAsia" w:hAnsiTheme="minorHAnsi"/>
              <w:noProof/>
              <w:kern w:val="2"/>
              <w:szCs w:val="24"/>
              <w:lang w:eastAsia="en-ZA"/>
              <w14:ligatures w14:val="standardContextual"/>
            </w:rPr>
          </w:pPr>
          <w:hyperlink w:anchor="_Toc191216267" w:history="1">
            <w:r w:rsidRPr="00B44FEE">
              <w:rPr>
                <w:rStyle w:val="Hyperlink"/>
                <w:rFonts w:cs="Arial"/>
                <w:noProof/>
              </w:rPr>
              <w:t>2.7</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Conclusion</w:t>
            </w:r>
            <w:r>
              <w:rPr>
                <w:noProof/>
                <w:webHidden/>
              </w:rPr>
              <w:tab/>
            </w:r>
            <w:r>
              <w:rPr>
                <w:noProof/>
                <w:webHidden/>
              </w:rPr>
              <w:fldChar w:fldCharType="begin"/>
            </w:r>
            <w:r>
              <w:rPr>
                <w:noProof/>
                <w:webHidden/>
              </w:rPr>
              <w:instrText xml:space="preserve"> PAGEREF _Toc191216267 \h </w:instrText>
            </w:r>
            <w:r>
              <w:rPr>
                <w:noProof/>
                <w:webHidden/>
              </w:rPr>
            </w:r>
            <w:r>
              <w:rPr>
                <w:noProof/>
                <w:webHidden/>
              </w:rPr>
              <w:fldChar w:fldCharType="separate"/>
            </w:r>
            <w:r>
              <w:rPr>
                <w:noProof/>
                <w:webHidden/>
              </w:rPr>
              <w:t>16</w:t>
            </w:r>
            <w:r>
              <w:rPr>
                <w:noProof/>
                <w:webHidden/>
              </w:rPr>
              <w:fldChar w:fldCharType="end"/>
            </w:r>
          </w:hyperlink>
        </w:p>
        <w:p w14:paraId="13764A83" w14:textId="1A3D8720" w:rsidR="0079362A" w:rsidRDefault="0079362A">
          <w:pPr>
            <w:pStyle w:val="TOC1"/>
            <w:rPr>
              <w:rFonts w:asciiTheme="minorHAnsi" w:eastAsiaTheme="minorEastAsia" w:hAnsiTheme="minorHAnsi"/>
              <w:b w:val="0"/>
              <w:bCs w:val="0"/>
              <w:kern w:val="2"/>
              <w:szCs w:val="24"/>
              <w:lang w:eastAsia="en-ZA"/>
              <w14:ligatures w14:val="standardContextual"/>
            </w:rPr>
          </w:pPr>
          <w:hyperlink w:anchor="_Toc191216268" w:history="1">
            <w:r w:rsidRPr="00B44FEE">
              <w:rPr>
                <w:rStyle w:val="Hyperlink"/>
                <w:rFonts w:cs="Arial"/>
              </w:rPr>
              <w:t xml:space="preserve">CHAPTER III : OTHER AREAS OF THE LAW WHERE </w:t>
            </w:r>
            <w:r w:rsidRPr="00B44FEE">
              <w:rPr>
                <w:rStyle w:val="Hyperlink"/>
                <w:rFonts w:cs="Arial"/>
                <w:i/>
                <w:iCs/>
              </w:rPr>
              <w:t>DE BLOEDIGE HAND</w:t>
            </w:r>
            <w:r w:rsidRPr="00B44FEE">
              <w:rPr>
                <w:rStyle w:val="Hyperlink"/>
                <w:rFonts w:cs="Arial"/>
              </w:rPr>
              <w:t xml:space="preserve"> FINDS APPLICATION AT PRESENT</w:t>
            </w:r>
            <w:r>
              <w:rPr>
                <w:webHidden/>
              </w:rPr>
              <w:tab/>
            </w:r>
            <w:r>
              <w:rPr>
                <w:webHidden/>
              </w:rPr>
              <w:fldChar w:fldCharType="begin"/>
            </w:r>
            <w:r>
              <w:rPr>
                <w:webHidden/>
              </w:rPr>
              <w:instrText xml:space="preserve"> PAGEREF _Toc191216268 \h </w:instrText>
            </w:r>
            <w:r>
              <w:rPr>
                <w:webHidden/>
              </w:rPr>
            </w:r>
            <w:r>
              <w:rPr>
                <w:webHidden/>
              </w:rPr>
              <w:fldChar w:fldCharType="separate"/>
            </w:r>
            <w:r>
              <w:rPr>
                <w:webHidden/>
              </w:rPr>
              <w:t>17</w:t>
            </w:r>
            <w:r>
              <w:rPr>
                <w:webHidden/>
              </w:rPr>
              <w:fldChar w:fldCharType="end"/>
            </w:r>
          </w:hyperlink>
        </w:p>
        <w:p w14:paraId="3C152C80" w14:textId="036B86CB" w:rsidR="0079362A" w:rsidRDefault="0079362A">
          <w:pPr>
            <w:pStyle w:val="TOC2"/>
            <w:rPr>
              <w:rFonts w:asciiTheme="minorHAnsi" w:eastAsiaTheme="minorEastAsia" w:hAnsiTheme="minorHAnsi"/>
              <w:noProof/>
              <w:kern w:val="2"/>
              <w:szCs w:val="24"/>
              <w:lang w:eastAsia="en-ZA"/>
              <w14:ligatures w14:val="standardContextual"/>
            </w:rPr>
          </w:pPr>
          <w:hyperlink w:anchor="_Toc191216269" w:history="1">
            <w:r w:rsidRPr="00B44FEE">
              <w:rPr>
                <w:rStyle w:val="Hyperlink"/>
                <w:rFonts w:cs="Arial"/>
                <w:bCs/>
                <w:noProof/>
              </w:rPr>
              <w:t>3.1</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Introduction</w:t>
            </w:r>
            <w:r>
              <w:rPr>
                <w:noProof/>
                <w:webHidden/>
              </w:rPr>
              <w:tab/>
            </w:r>
            <w:r>
              <w:rPr>
                <w:noProof/>
                <w:webHidden/>
              </w:rPr>
              <w:fldChar w:fldCharType="begin"/>
            </w:r>
            <w:r>
              <w:rPr>
                <w:noProof/>
                <w:webHidden/>
              </w:rPr>
              <w:instrText xml:space="preserve"> PAGEREF _Toc191216269 \h </w:instrText>
            </w:r>
            <w:r>
              <w:rPr>
                <w:noProof/>
                <w:webHidden/>
              </w:rPr>
            </w:r>
            <w:r>
              <w:rPr>
                <w:noProof/>
                <w:webHidden/>
              </w:rPr>
              <w:fldChar w:fldCharType="separate"/>
            </w:r>
            <w:r>
              <w:rPr>
                <w:noProof/>
                <w:webHidden/>
              </w:rPr>
              <w:t>17</w:t>
            </w:r>
            <w:r>
              <w:rPr>
                <w:noProof/>
                <w:webHidden/>
              </w:rPr>
              <w:fldChar w:fldCharType="end"/>
            </w:r>
          </w:hyperlink>
        </w:p>
        <w:p w14:paraId="13590B16" w14:textId="0ED84600" w:rsidR="0079362A" w:rsidRDefault="0079362A">
          <w:pPr>
            <w:pStyle w:val="TOC2"/>
            <w:rPr>
              <w:rFonts w:asciiTheme="minorHAnsi" w:eastAsiaTheme="minorEastAsia" w:hAnsiTheme="minorHAnsi"/>
              <w:noProof/>
              <w:kern w:val="2"/>
              <w:szCs w:val="24"/>
              <w:lang w:eastAsia="en-ZA"/>
              <w14:ligatures w14:val="standardContextual"/>
            </w:rPr>
          </w:pPr>
          <w:hyperlink w:anchor="_Toc191216270" w:history="1">
            <w:r w:rsidRPr="00B44FEE">
              <w:rPr>
                <w:rStyle w:val="Hyperlink"/>
                <w:rFonts w:cs="Arial"/>
                <w:bCs/>
                <w:noProof/>
              </w:rPr>
              <w:t>3.2</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 xml:space="preserve">Currently recognised extensions of </w:t>
            </w:r>
            <w:r w:rsidRPr="00B44FEE">
              <w:rPr>
                <w:rStyle w:val="Hyperlink"/>
                <w:rFonts w:cs="Arial"/>
                <w:bCs/>
                <w:i/>
                <w:iCs/>
                <w:noProof/>
              </w:rPr>
              <w:t>de bloedige hand</w:t>
            </w:r>
            <w:r>
              <w:rPr>
                <w:noProof/>
                <w:webHidden/>
              </w:rPr>
              <w:tab/>
            </w:r>
            <w:r>
              <w:rPr>
                <w:noProof/>
                <w:webHidden/>
              </w:rPr>
              <w:fldChar w:fldCharType="begin"/>
            </w:r>
            <w:r>
              <w:rPr>
                <w:noProof/>
                <w:webHidden/>
              </w:rPr>
              <w:instrText xml:space="preserve"> PAGEREF _Toc191216270 \h </w:instrText>
            </w:r>
            <w:r>
              <w:rPr>
                <w:noProof/>
                <w:webHidden/>
              </w:rPr>
            </w:r>
            <w:r>
              <w:rPr>
                <w:noProof/>
                <w:webHidden/>
              </w:rPr>
              <w:fldChar w:fldCharType="separate"/>
            </w:r>
            <w:r>
              <w:rPr>
                <w:noProof/>
                <w:webHidden/>
              </w:rPr>
              <w:t>18</w:t>
            </w:r>
            <w:r>
              <w:rPr>
                <w:noProof/>
                <w:webHidden/>
              </w:rPr>
              <w:fldChar w:fldCharType="end"/>
            </w:r>
          </w:hyperlink>
        </w:p>
        <w:p w14:paraId="5A0B03A3" w14:textId="2E37E67E" w:rsidR="0079362A" w:rsidRDefault="0079362A">
          <w:pPr>
            <w:pStyle w:val="TOC2"/>
            <w:rPr>
              <w:rFonts w:asciiTheme="minorHAnsi" w:eastAsiaTheme="minorEastAsia" w:hAnsiTheme="minorHAnsi"/>
              <w:noProof/>
              <w:kern w:val="2"/>
              <w:szCs w:val="24"/>
              <w:lang w:eastAsia="en-ZA"/>
              <w14:ligatures w14:val="standardContextual"/>
            </w:rPr>
          </w:pPr>
          <w:hyperlink w:anchor="_Toc191216271" w:history="1">
            <w:r w:rsidRPr="00B44FEE">
              <w:rPr>
                <w:rStyle w:val="Hyperlink"/>
                <w:rFonts w:cs="Arial"/>
                <w:bCs/>
                <w:noProof/>
              </w:rPr>
              <w:t>3.3</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 xml:space="preserve">Cases in which </w:t>
            </w:r>
            <w:r w:rsidRPr="00B44FEE">
              <w:rPr>
                <w:rStyle w:val="Hyperlink"/>
                <w:rFonts w:cs="Arial"/>
                <w:bCs/>
                <w:i/>
                <w:iCs/>
                <w:noProof/>
              </w:rPr>
              <w:t>de bloedige hand</w:t>
            </w:r>
            <w:r w:rsidRPr="00B44FEE">
              <w:rPr>
                <w:rStyle w:val="Hyperlink"/>
                <w:rFonts w:cs="Arial"/>
                <w:bCs/>
                <w:noProof/>
              </w:rPr>
              <w:t xml:space="preserve"> was applied</w:t>
            </w:r>
            <w:r>
              <w:rPr>
                <w:noProof/>
                <w:webHidden/>
              </w:rPr>
              <w:tab/>
            </w:r>
            <w:r>
              <w:rPr>
                <w:noProof/>
                <w:webHidden/>
              </w:rPr>
              <w:fldChar w:fldCharType="begin"/>
            </w:r>
            <w:r>
              <w:rPr>
                <w:noProof/>
                <w:webHidden/>
              </w:rPr>
              <w:instrText xml:space="preserve"> PAGEREF _Toc191216271 \h </w:instrText>
            </w:r>
            <w:r>
              <w:rPr>
                <w:noProof/>
                <w:webHidden/>
              </w:rPr>
            </w:r>
            <w:r>
              <w:rPr>
                <w:noProof/>
                <w:webHidden/>
              </w:rPr>
              <w:fldChar w:fldCharType="separate"/>
            </w:r>
            <w:r>
              <w:rPr>
                <w:noProof/>
                <w:webHidden/>
              </w:rPr>
              <w:t>18</w:t>
            </w:r>
            <w:r>
              <w:rPr>
                <w:noProof/>
                <w:webHidden/>
              </w:rPr>
              <w:fldChar w:fldCharType="end"/>
            </w:r>
          </w:hyperlink>
        </w:p>
        <w:p w14:paraId="73976A57" w14:textId="706C1F3C"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2" w:history="1">
            <w:r w:rsidRPr="00B44FEE">
              <w:rPr>
                <w:rStyle w:val="Hyperlink"/>
                <w:rFonts w:cs="Arial"/>
                <w:b/>
                <w:bCs/>
                <w:noProof/>
              </w:rPr>
              <w:t>3.3.1</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Ex parte Steenkamp &amp; Steenkamp</w:t>
            </w:r>
            <w:r w:rsidRPr="00B44FEE">
              <w:rPr>
                <w:rStyle w:val="Hyperlink"/>
                <w:rFonts w:cs="Arial"/>
                <w:b/>
                <w:bCs/>
                <w:noProof/>
              </w:rPr>
              <w:t xml:space="preserve"> 1952 1 SA 744 (T)</w:t>
            </w:r>
            <w:r>
              <w:rPr>
                <w:noProof/>
                <w:webHidden/>
              </w:rPr>
              <w:tab/>
            </w:r>
            <w:r>
              <w:rPr>
                <w:noProof/>
                <w:webHidden/>
              </w:rPr>
              <w:fldChar w:fldCharType="begin"/>
            </w:r>
            <w:r>
              <w:rPr>
                <w:noProof/>
                <w:webHidden/>
              </w:rPr>
              <w:instrText xml:space="preserve"> PAGEREF _Toc191216272 \h </w:instrText>
            </w:r>
            <w:r>
              <w:rPr>
                <w:noProof/>
                <w:webHidden/>
              </w:rPr>
            </w:r>
            <w:r>
              <w:rPr>
                <w:noProof/>
                <w:webHidden/>
              </w:rPr>
              <w:fldChar w:fldCharType="separate"/>
            </w:r>
            <w:r>
              <w:rPr>
                <w:noProof/>
                <w:webHidden/>
              </w:rPr>
              <w:t>18</w:t>
            </w:r>
            <w:r>
              <w:rPr>
                <w:noProof/>
                <w:webHidden/>
              </w:rPr>
              <w:fldChar w:fldCharType="end"/>
            </w:r>
          </w:hyperlink>
        </w:p>
        <w:p w14:paraId="12D77B8D" w14:textId="41968A1B"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3" w:history="1">
            <w:r w:rsidRPr="00B44FEE">
              <w:rPr>
                <w:rStyle w:val="Hyperlink"/>
                <w:rFonts w:cs="Arial"/>
                <w:b/>
                <w:bCs/>
                <w:noProof/>
              </w:rPr>
              <w:t>3.3.2</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Caldwell v Erasmus NO &amp; Another</w:t>
            </w:r>
            <w:r w:rsidRPr="00B44FEE">
              <w:rPr>
                <w:rStyle w:val="Hyperlink"/>
                <w:rFonts w:cs="Arial"/>
                <w:b/>
                <w:bCs/>
                <w:noProof/>
              </w:rPr>
              <w:t xml:space="preserve"> 1952 4 All SA 161 (T)</w:t>
            </w:r>
            <w:r>
              <w:rPr>
                <w:noProof/>
                <w:webHidden/>
              </w:rPr>
              <w:tab/>
            </w:r>
            <w:r>
              <w:rPr>
                <w:noProof/>
                <w:webHidden/>
              </w:rPr>
              <w:fldChar w:fldCharType="begin"/>
            </w:r>
            <w:r>
              <w:rPr>
                <w:noProof/>
                <w:webHidden/>
              </w:rPr>
              <w:instrText xml:space="preserve"> PAGEREF _Toc191216273 \h </w:instrText>
            </w:r>
            <w:r>
              <w:rPr>
                <w:noProof/>
                <w:webHidden/>
              </w:rPr>
            </w:r>
            <w:r>
              <w:rPr>
                <w:noProof/>
                <w:webHidden/>
              </w:rPr>
              <w:fldChar w:fldCharType="separate"/>
            </w:r>
            <w:r>
              <w:rPr>
                <w:noProof/>
                <w:webHidden/>
              </w:rPr>
              <w:t>19</w:t>
            </w:r>
            <w:r>
              <w:rPr>
                <w:noProof/>
                <w:webHidden/>
              </w:rPr>
              <w:fldChar w:fldCharType="end"/>
            </w:r>
          </w:hyperlink>
        </w:p>
        <w:p w14:paraId="6FAB9215" w14:textId="2EEFF704"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4" w:history="1">
            <w:r w:rsidRPr="00B44FEE">
              <w:rPr>
                <w:rStyle w:val="Hyperlink"/>
                <w:rFonts w:cs="Arial"/>
                <w:b/>
                <w:bCs/>
                <w:noProof/>
              </w:rPr>
              <w:t>3.3.3</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 xml:space="preserve">Ex parte Vonzell </w:t>
            </w:r>
            <w:r w:rsidRPr="00B44FEE">
              <w:rPr>
                <w:rStyle w:val="Hyperlink"/>
                <w:rFonts w:cs="Arial"/>
                <w:b/>
                <w:bCs/>
                <w:noProof/>
              </w:rPr>
              <w:t>1953 1 All SA 46 (C)</w:t>
            </w:r>
            <w:r>
              <w:rPr>
                <w:noProof/>
                <w:webHidden/>
              </w:rPr>
              <w:tab/>
            </w:r>
            <w:r>
              <w:rPr>
                <w:noProof/>
                <w:webHidden/>
              </w:rPr>
              <w:fldChar w:fldCharType="begin"/>
            </w:r>
            <w:r>
              <w:rPr>
                <w:noProof/>
                <w:webHidden/>
              </w:rPr>
              <w:instrText xml:space="preserve"> PAGEREF _Toc191216274 \h </w:instrText>
            </w:r>
            <w:r>
              <w:rPr>
                <w:noProof/>
                <w:webHidden/>
              </w:rPr>
            </w:r>
            <w:r>
              <w:rPr>
                <w:noProof/>
                <w:webHidden/>
              </w:rPr>
              <w:fldChar w:fldCharType="separate"/>
            </w:r>
            <w:r>
              <w:rPr>
                <w:noProof/>
                <w:webHidden/>
              </w:rPr>
              <w:t>20</w:t>
            </w:r>
            <w:r>
              <w:rPr>
                <w:noProof/>
                <w:webHidden/>
              </w:rPr>
              <w:fldChar w:fldCharType="end"/>
            </w:r>
          </w:hyperlink>
        </w:p>
        <w:p w14:paraId="241022DF" w14:textId="5698FDC7"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5" w:history="1">
            <w:r w:rsidRPr="00B44FEE">
              <w:rPr>
                <w:rStyle w:val="Hyperlink"/>
                <w:rFonts w:cs="Arial"/>
                <w:b/>
                <w:bCs/>
                <w:noProof/>
              </w:rPr>
              <w:t>3.3.4</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Nell v Nell &amp; ‘n Ander</w:t>
            </w:r>
            <w:r w:rsidRPr="00B44FEE">
              <w:rPr>
                <w:rStyle w:val="Hyperlink"/>
                <w:rFonts w:cs="Arial"/>
                <w:b/>
                <w:bCs/>
                <w:noProof/>
              </w:rPr>
              <w:t xml:space="preserve"> 1976 3 SA 700 (T)</w:t>
            </w:r>
            <w:r>
              <w:rPr>
                <w:noProof/>
                <w:webHidden/>
              </w:rPr>
              <w:tab/>
            </w:r>
            <w:r>
              <w:rPr>
                <w:noProof/>
                <w:webHidden/>
              </w:rPr>
              <w:fldChar w:fldCharType="begin"/>
            </w:r>
            <w:r>
              <w:rPr>
                <w:noProof/>
                <w:webHidden/>
              </w:rPr>
              <w:instrText xml:space="preserve"> PAGEREF _Toc191216275 \h </w:instrText>
            </w:r>
            <w:r>
              <w:rPr>
                <w:noProof/>
                <w:webHidden/>
              </w:rPr>
            </w:r>
            <w:r>
              <w:rPr>
                <w:noProof/>
                <w:webHidden/>
              </w:rPr>
              <w:fldChar w:fldCharType="separate"/>
            </w:r>
            <w:r>
              <w:rPr>
                <w:noProof/>
                <w:webHidden/>
              </w:rPr>
              <w:t>21</w:t>
            </w:r>
            <w:r>
              <w:rPr>
                <w:noProof/>
                <w:webHidden/>
              </w:rPr>
              <w:fldChar w:fldCharType="end"/>
            </w:r>
          </w:hyperlink>
        </w:p>
        <w:p w14:paraId="1A168694" w14:textId="1E2C3E99"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6" w:history="1">
            <w:r w:rsidRPr="00B44FEE">
              <w:rPr>
                <w:rStyle w:val="Hyperlink"/>
                <w:rFonts w:cs="Arial"/>
                <w:b/>
                <w:bCs/>
                <w:noProof/>
              </w:rPr>
              <w:t>3.3.5</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Ex parte Meier &amp; Andere</w:t>
            </w:r>
            <w:r w:rsidRPr="00B44FEE">
              <w:rPr>
                <w:rStyle w:val="Hyperlink"/>
                <w:rFonts w:cs="Arial"/>
                <w:b/>
                <w:bCs/>
                <w:noProof/>
              </w:rPr>
              <w:t xml:space="preserve"> 1980 3 SA 154 (T)</w:t>
            </w:r>
            <w:r>
              <w:rPr>
                <w:noProof/>
                <w:webHidden/>
              </w:rPr>
              <w:tab/>
            </w:r>
            <w:r>
              <w:rPr>
                <w:noProof/>
                <w:webHidden/>
              </w:rPr>
              <w:fldChar w:fldCharType="begin"/>
            </w:r>
            <w:r>
              <w:rPr>
                <w:noProof/>
                <w:webHidden/>
              </w:rPr>
              <w:instrText xml:space="preserve"> PAGEREF _Toc191216276 \h </w:instrText>
            </w:r>
            <w:r>
              <w:rPr>
                <w:noProof/>
                <w:webHidden/>
              </w:rPr>
            </w:r>
            <w:r>
              <w:rPr>
                <w:noProof/>
                <w:webHidden/>
              </w:rPr>
              <w:fldChar w:fldCharType="separate"/>
            </w:r>
            <w:r>
              <w:rPr>
                <w:noProof/>
                <w:webHidden/>
              </w:rPr>
              <w:t>22</w:t>
            </w:r>
            <w:r>
              <w:rPr>
                <w:noProof/>
                <w:webHidden/>
              </w:rPr>
              <w:fldChar w:fldCharType="end"/>
            </w:r>
          </w:hyperlink>
        </w:p>
        <w:p w14:paraId="6D358CC4" w14:textId="1664B613"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7" w:history="1">
            <w:r w:rsidRPr="00B44FEE">
              <w:rPr>
                <w:rStyle w:val="Hyperlink"/>
                <w:rFonts w:cs="Arial"/>
                <w:b/>
                <w:bCs/>
                <w:noProof/>
              </w:rPr>
              <w:t>3.3.6</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Gafin NO v Kavin</w:t>
            </w:r>
            <w:r w:rsidRPr="00B44FEE">
              <w:rPr>
                <w:rStyle w:val="Hyperlink"/>
                <w:rFonts w:cs="Arial"/>
                <w:b/>
                <w:bCs/>
                <w:noProof/>
              </w:rPr>
              <w:t xml:space="preserve"> 1980 4 All SA 354 (W)</w:t>
            </w:r>
            <w:r>
              <w:rPr>
                <w:noProof/>
                <w:webHidden/>
              </w:rPr>
              <w:tab/>
            </w:r>
            <w:r>
              <w:rPr>
                <w:noProof/>
                <w:webHidden/>
              </w:rPr>
              <w:fldChar w:fldCharType="begin"/>
            </w:r>
            <w:r>
              <w:rPr>
                <w:noProof/>
                <w:webHidden/>
              </w:rPr>
              <w:instrText xml:space="preserve"> PAGEREF _Toc191216277 \h </w:instrText>
            </w:r>
            <w:r>
              <w:rPr>
                <w:noProof/>
                <w:webHidden/>
              </w:rPr>
            </w:r>
            <w:r>
              <w:rPr>
                <w:noProof/>
                <w:webHidden/>
              </w:rPr>
              <w:fldChar w:fldCharType="separate"/>
            </w:r>
            <w:r>
              <w:rPr>
                <w:noProof/>
                <w:webHidden/>
              </w:rPr>
              <w:t>23</w:t>
            </w:r>
            <w:r>
              <w:rPr>
                <w:noProof/>
                <w:webHidden/>
              </w:rPr>
              <w:fldChar w:fldCharType="end"/>
            </w:r>
          </w:hyperlink>
        </w:p>
        <w:p w14:paraId="3A663377" w14:textId="33D2C754"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8" w:history="1">
            <w:r w:rsidRPr="00B44FEE">
              <w:rPr>
                <w:rStyle w:val="Hyperlink"/>
                <w:rFonts w:cs="Arial"/>
                <w:b/>
                <w:bCs/>
                <w:noProof/>
              </w:rPr>
              <w:t>3.3.7</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Casey NO v The Master &amp; Others</w:t>
            </w:r>
            <w:r w:rsidRPr="00B44FEE">
              <w:rPr>
                <w:rStyle w:val="Hyperlink"/>
                <w:rFonts w:cs="Arial"/>
                <w:b/>
                <w:bCs/>
                <w:noProof/>
              </w:rPr>
              <w:t xml:space="preserve"> 1992 4 SA 505 (N)</w:t>
            </w:r>
            <w:r>
              <w:rPr>
                <w:noProof/>
                <w:webHidden/>
              </w:rPr>
              <w:tab/>
            </w:r>
            <w:r>
              <w:rPr>
                <w:noProof/>
                <w:webHidden/>
              </w:rPr>
              <w:fldChar w:fldCharType="begin"/>
            </w:r>
            <w:r>
              <w:rPr>
                <w:noProof/>
                <w:webHidden/>
              </w:rPr>
              <w:instrText xml:space="preserve"> PAGEREF _Toc191216278 \h </w:instrText>
            </w:r>
            <w:r>
              <w:rPr>
                <w:noProof/>
                <w:webHidden/>
              </w:rPr>
            </w:r>
            <w:r>
              <w:rPr>
                <w:noProof/>
                <w:webHidden/>
              </w:rPr>
              <w:fldChar w:fldCharType="separate"/>
            </w:r>
            <w:r>
              <w:rPr>
                <w:noProof/>
                <w:webHidden/>
              </w:rPr>
              <w:t>24</w:t>
            </w:r>
            <w:r>
              <w:rPr>
                <w:noProof/>
                <w:webHidden/>
              </w:rPr>
              <w:fldChar w:fldCharType="end"/>
            </w:r>
          </w:hyperlink>
        </w:p>
        <w:p w14:paraId="7DD1243C" w14:textId="6887B5C1"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79" w:history="1">
            <w:r w:rsidRPr="00B44FEE">
              <w:rPr>
                <w:rStyle w:val="Hyperlink"/>
                <w:rFonts w:cs="Arial"/>
                <w:b/>
                <w:bCs/>
                <w:noProof/>
              </w:rPr>
              <w:t>3.3.8</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Leeb &amp; Another v Leeb &amp; Another</w:t>
            </w:r>
            <w:r w:rsidRPr="00B44FEE">
              <w:rPr>
                <w:rStyle w:val="Hyperlink"/>
                <w:rFonts w:cs="Arial"/>
                <w:b/>
                <w:bCs/>
                <w:noProof/>
              </w:rPr>
              <w:t xml:space="preserve"> 1999 2 All SA 588 (N)</w:t>
            </w:r>
            <w:r>
              <w:rPr>
                <w:noProof/>
                <w:webHidden/>
              </w:rPr>
              <w:tab/>
            </w:r>
            <w:r>
              <w:rPr>
                <w:noProof/>
                <w:webHidden/>
              </w:rPr>
              <w:fldChar w:fldCharType="begin"/>
            </w:r>
            <w:r>
              <w:rPr>
                <w:noProof/>
                <w:webHidden/>
              </w:rPr>
              <w:instrText xml:space="preserve"> PAGEREF _Toc191216279 \h </w:instrText>
            </w:r>
            <w:r>
              <w:rPr>
                <w:noProof/>
                <w:webHidden/>
              </w:rPr>
            </w:r>
            <w:r>
              <w:rPr>
                <w:noProof/>
                <w:webHidden/>
              </w:rPr>
              <w:fldChar w:fldCharType="separate"/>
            </w:r>
            <w:r>
              <w:rPr>
                <w:noProof/>
                <w:webHidden/>
              </w:rPr>
              <w:t>25</w:t>
            </w:r>
            <w:r>
              <w:rPr>
                <w:noProof/>
                <w:webHidden/>
              </w:rPr>
              <w:fldChar w:fldCharType="end"/>
            </w:r>
          </w:hyperlink>
        </w:p>
        <w:p w14:paraId="5B6800FD" w14:textId="02A7E082"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0" w:history="1">
            <w:r w:rsidRPr="00B44FEE">
              <w:rPr>
                <w:rStyle w:val="Hyperlink"/>
                <w:rFonts w:cs="Arial"/>
                <w:b/>
                <w:bCs/>
                <w:noProof/>
              </w:rPr>
              <w:t>3.3.9</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Makhanya v Minister of Finance &amp; Others</w:t>
            </w:r>
            <w:r w:rsidRPr="00B44FEE">
              <w:rPr>
                <w:rStyle w:val="Hyperlink"/>
                <w:rFonts w:cs="Arial"/>
                <w:b/>
                <w:bCs/>
                <w:noProof/>
              </w:rPr>
              <w:t xml:space="preserve"> 2001 2 SA 1251 (D)</w:t>
            </w:r>
            <w:r>
              <w:rPr>
                <w:noProof/>
                <w:webHidden/>
              </w:rPr>
              <w:tab/>
            </w:r>
            <w:r>
              <w:rPr>
                <w:noProof/>
                <w:webHidden/>
              </w:rPr>
              <w:fldChar w:fldCharType="begin"/>
            </w:r>
            <w:r>
              <w:rPr>
                <w:noProof/>
                <w:webHidden/>
              </w:rPr>
              <w:instrText xml:space="preserve"> PAGEREF _Toc191216280 \h </w:instrText>
            </w:r>
            <w:r>
              <w:rPr>
                <w:noProof/>
                <w:webHidden/>
              </w:rPr>
            </w:r>
            <w:r>
              <w:rPr>
                <w:noProof/>
                <w:webHidden/>
              </w:rPr>
              <w:fldChar w:fldCharType="separate"/>
            </w:r>
            <w:r>
              <w:rPr>
                <w:noProof/>
                <w:webHidden/>
              </w:rPr>
              <w:t>26</w:t>
            </w:r>
            <w:r>
              <w:rPr>
                <w:noProof/>
                <w:webHidden/>
              </w:rPr>
              <w:fldChar w:fldCharType="end"/>
            </w:r>
          </w:hyperlink>
        </w:p>
        <w:p w14:paraId="3FFAD907" w14:textId="16FFBE7F"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1" w:history="1">
            <w:r w:rsidRPr="00B44FEE">
              <w:rPr>
                <w:rStyle w:val="Hyperlink"/>
                <w:rFonts w:cs="Arial"/>
                <w:b/>
                <w:bCs/>
                <w:noProof/>
              </w:rPr>
              <w:t>3.3.10</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Marais v Botha NO &amp; Others</w:t>
            </w:r>
            <w:r w:rsidRPr="00B44FEE">
              <w:rPr>
                <w:rStyle w:val="Hyperlink"/>
                <w:rFonts w:cs="Arial"/>
                <w:b/>
                <w:bCs/>
                <w:noProof/>
              </w:rPr>
              <w:t xml:space="preserve"> [2008] ZAWCHC 111 (31 October 2008)</w:t>
            </w:r>
            <w:r>
              <w:rPr>
                <w:noProof/>
                <w:webHidden/>
              </w:rPr>
              <w:tab/>
            </w:r>
            <w:r>
              <w:rPr>
                <w:noProof/>
                <w:webHidden/>
              </w:rPr>
              <w:fldChar w:fldCharType="begin"/>
            </w:r>
            <w:r>
              <w:rPr>
                <w:noProof/>
                <w:webHidden/>
              </w:rPr>
              <w:instrText xml:space="preserve"> PAGEREF _Toc191216281 \h </w:instrText>
            </w:r>
            <w:r>
              <w:rPr>
                <w:noProof/>
                <w:webHidden/>
              </w:rPr>
            </w:r>
            <w:r>
              <w:rPr>
                <w:noProof/>
                <w:webHidden/>
              </w:rPr>
              <w:fldChar w:fldCharType="separate"/>
            </w:r>
            <w:r>
              <w:rPr>
                <w:noProof/>
                <w:webHidden/>
              </w:rPr>
              <w:t>27</w:t>
            </w:r>
            <w:r>
              <w:rPr>
                <w:noProof/>
                <w:webHidden/>
              </w:rPr>
              <w:fldChar w:fldCharType="end"/>
            </w:r>
          </w:hyperlink>
        </w:p>
        <w:p w14:paraId="1564C9B2" w14:textId="7BCC61CB"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2" w:history="1">
            <w:r w:rsidRPr="00B44FEE">
              <w:rPr>
                <w:rStyle w:val="Hyperlink"/>
                <w:rFonts w:cs="Arial"/>
                <w:b/>
                <w:bCs/>
                <w:noProof/>
              </w:rPr>
              <w:t>3.3.11</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Danielz NO v De Wet &amp; Another</w:t>
            </w:r>
            <w:r w:rsidRPr="00B44FEE">
              <w:rPr>
                <w:rStyle w:val="Hyperlink"/>
                <w:rFonts w:cs="Arial"/>
                <w:b/>
                <w:bCs/>
                <w:noProof/>
              </w:rPr>
              <w:t xml:space="preserve"> 2009 6 SA 42 (C)</w:t>
            </w:r>
            <w:r>
              <w:rPr>
                <w:noProof/>
                <w:webHidden/>
              </w:rPr>
              <w:tab/>
            </w:r>
            <w:r>
              <w:rPr>
                <w:noProof/>
                <w:webHidden/>
              </w:rPr>
              <w:fldChar w:fldCharType="begin"/>
            </w:r>
            <w:r>
              <w:rPr>
                <w:noProof/>
                <w:webHidden/>
              </w:rPr>
              <w:instrText xml:space="preserve"> PAGEREF _Toc191216282 \h </w:instrText>
            </w:r>
            <w:r>
              <w:rPr>
                <w:noProof/>
                <w:webHidden/>
              </w:rPr>
            </w:r>
            <w:r>
              <w:rPr>
                <w:noProof/>
                <w:webHidden/>
              </w:rPr>
              <w:fldChar w:fldCharType="separate"/>
            </w:r>
            <w:r>
              <w:rPr>
                <w:noProof/>
                <w:webHidden/>
              </w:rPr>
              <w:t>28</w:t>
            </w:r>
            <w:r>
              <w:rPr>
                <w:noProof/>
                <w:webHidden/>
              </w:rPr>
              <w:fldChar w:fldCharType="end"/>
            </w:r>
          </w:hyperlink>
        </w:p>
        <w:p w14:paraId="569A7792" w14:textId="7F863B24"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3" w:history="1">
            <w:r w:rsidRPr="00B44FEE">
              <w:rPr>
                <w:rStyle w:val="Hyperlink"/>
                <w:rFonts w:cs="Arial"/>
                <w:b/>
                <w:bCs/>
                <w:noProof/>
              </w:rPr>
              <w:t>3.3.12</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Smit v The Master of the High Court, Western Cape &amp; Others</w:t>
            </w:r>
            <w:r w:rsidRPr="00B44FEE">
              <w:rPr>
                <w:rStyle w:val="Hyperlink"/>
                <w:rFonts w:cs="Arial"/>
                <w:b/>
                <w:bCs/>
                <w:noProof/>
              </w:rPr>
              <w:t xml:space="preserve"> [2022] ZAWCHC 56 (26 April 2022)</w:t>
            </w:r>
            <w:r>
              <w:rPr>
                <w:noProof/>
                <w:webHidden/>
              </w:rPr>
              <w:tab/>
            </w:r>
            <w:r>
              <w:rPr>
                <w:noProof/>
                <w:webHidden/>
              </w:rPr>
              <w:fldChar w:fldCharType="begin"/>
            </w:r>
            <w:r>
              <w:rPr>
                <w:noProof/>
                <w:webHidden/>
              </w:rPr>
              <w:instrText xml:space="preserve"> PAGEREF _Toc191216283 \h </w:instrText>
            </w:r>
            <w:r>
              <w:rPr>
                <w:noProof/>
                <w:webHidden/>
              </w:rPr>
            </w:r>
            <w:r>
              <w:rPr>
                <w:noProof/>
                <w:webHidden/>
              </w:rPr>
              <w:fldChar w:fldCharType="separate"/>
            </w:r>
            <w:r>
              <w:rPr>
                <w:noProof/>
                <w:webHidden/>
              </w:rPr>
              <w:t>29</w:t>
            </w:r>
            <w:r>
              <w:rPr>
                <w:noProof/>
                <w:webHidden/>
              </w:rPr>
              <w:fldChar w:fldCharType="end"/>
            </w:r>
          </w:hyperlink>
        </w:p>
        <w:p w14:paraId="7EEA07EF" w14:textId="6EB7B74F"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4" w:history="1">
            <w:r w:rsidRPr="00B44FEE">
              <w:rPr>
                <w:rStyle w:val="Hyperlink"/>
                <w:rFonts w:cs="Arial"/>
                <w:b/>
                <w:bCs/>
                <w:noProof/>
              </w:rPr>
              <w:t>3.3.13</w:t>
            </w:r>
            <w:r>
              <w:rPr>
                <w:rFonts w:asciiTheme="minorHAnsi" w:eastAsiaTheme="minorEastAsia" w:hAnsiTheme="minorHAnsi"/>
                <w:noProof/>
                <w:kern w:val="2"/>
                <w:szCs w:val="24"/>
                <w:lang w:eastAsia="en-ZA"/>
                <w14:ligatures w14:val="standardContextual"/>
              </w:rPr>
              <w:tab/>
            </w:r>
            <w:r w:rsidRPr="00B44FEE">
              <w:rPr>
                <w:rStyle w:val="Hyperlink"/>
                <w:rFonts w:cs="Arial"/>
                <w:b/>
                <w:bCs/>
                <w:i/>
                <w:iCs/>
                <w:noProof/>
              </w:rPr>
              <w:t>Maqubela &amp; Another v The Master and Others</w:t>
            </w:r>
            <w:r w:rsidRPr="00B44FEE">
              <w:rPr>
                <w:rStyle w:val="Hyperlink"/>
                <w:rFonts w:cs="Arial"/>
                <w:b/>
                <w:bCs/>
                <w:noProof/>
              </w:rPr>
              <w:t xml:space="preserve"> 2022 6 SA 408 (GJ)</w:t>
            </w:r>
            <w:r>
              <w:rPr>
                <w:noProof/>
                <w:webHidden/>
              </w:rPr>
              <w:tab/>
            </w:r>
            <w:r>
              <w:rPr>
                <w:noProof/>
                <w:webHidden/>
              </w:rPr>
              <w:fldChar w:fldCharType="begin"/>
            </w:r>
            <w:r>
              <w:rPr>
                <w:noProof/>
                <w:webHidden/>
              </w:rPr>
              <w:instrText xml:space="preserve"> PAGEREF _Toc191216284 \h </w:instrText>
            </w:r>
            <w:r>
              <w:rPr>
                <w:noProof/>
                <w:webHidden/>
              </w:rPr>
            </w:r>
            <w:r>
              <w:rPr>
                <w:noProof/>
                <w:webHidden/>
              </w:rPr>
              <w:fldChar w:fldCharType="separate"/>
            </w:r>
            <w:r>
              <w:rPr>
                <w:noProof/>
                <w:webHidden/>
              </w:rPr>
              <w:t>31</w:t>
            </w:r>
            <w:r>
              <w:rPr>
                <w:noProof/>
                <w:webHidden/>
              </w:rPr>
              <w:fldChar w:fldCharType="end"/>
            </w:r>
          </w:hyperlink>
        </w:p>
        <w:p w14:paraId="733F4B3D" w14:textId="46BD27F2" w:rsidR="0079362A" w:rsidRDefault="0079362A">
          <w:pPr>
            <w:pStyle w:val="TOC2"/>
            <w:rPr>
              <w:rFonts w:asciiTheme="minorHAnsi" w:eastAsiaTheme="minorEastAsia" w:hAnsiTheme="minorHAnsi"/>
              <w:noProof/>
              <w:kern w:val="2"/>
              <w:szCs w:val="24"/>
              <w:lang w:eastAsia="en-ZA"/>
              <w14:ligatures w14:val="standardContextual"/>
            </w:rPr>
          </w:pPr>
          <w:hyperlink w:anchor="_Toc191216285" w:history="1">
            <w:r w:rsidRPr="00B44FEE">
              <w:rPr>
                <w:rStyle w:val="Hyperlink"/>
                <w:rFonts w:cs="Arial"/>
                <w:bCs/>
                <w:noProof/>
              </w:rPr>
              <w:t>3.4</w:t>
            </w:r>
            <w:r>
              <w:rPr>
                <w:rFonts w:asciiTheme="minorHAnsi" w:eastAsiaTheme="minorEastAsia" w:hAnsiTheme="minorHAnsi"/>
                <w:noProof/>
                <w:kern w:val="2"/>
                <w:szCs w:val="24"/>
                <w:lang w:eastAsia="en-ZA"/>
                <w14:ligatures w14:val="standardContextual"/>
              </w:rPr>
              <w:tab/>
            </w:r>
            <w:r w:rsidRPr="00B44FEE">
              <w:rPr>
                <w:rStyle w:val="Hyperlink"/>
                <w:rFonts w:cs="Arial"/>
                <w:bCs/>
                <w:noProof/>
              </w:rPr>
              <w:t>Areas of law where these cases find application</w:t>
            </w:r>
            <w:r>
              <w:rPr>
                <w:noProof/>
                <w:webHidden/>
              </w:rPr>
              <w:tab/>
            </w:r>
            <w:r>
              <w:rPr>
                <w:noProof/>
                <w:webHidden/>
              </w:rPr>
              <w:fldChar w:fldCharType="begin"/>
            </w:r>
            <w:r>
              <w:rPr>
                <w:noProof/>
                <w:webHidden/>
              </w:rPr>
              <w:instrText xml:space="preserve"> PAGEREF _Toc191216285 \h </w:instrText>
            </w:r>
            <w:r>
              <w:rPr>
                <w:noProof/>
                <w:webHidden/>
              </w:rPr>
            </w:r>
            <w:r>
              <w:rPr>
                <w:noProof/>
                <w:webHidden/>
              </w:rPr>
              <w:fldChar w:fldCharType="separate"/>
            </w:r>
            <w:r>
              <w:rPr>
                <w:noProof/>
                <w:webHidden/>
              </w:rPr>
              <w:t>33</w:t>
            </w:r>
            <w:r>
              <w:rPr>
                <w:noProof/>
                <w:webHidden/>
              </w:rPr>
              <w:fldChar w:fldCharType="end"/>
            </w:r>
          </w:hyperlink>
        </w:p>
        <w:p w14:paraId="5E366742" w14:textId="3D39D59A"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6" w:history="1">
            <w:r w:rsidRPr="00B44FEE">
              <w:rPr>
                <w:rStyle w:val="Hyperlink"/>
                <w:rFonts w:cs="Arial"/>
                <w:b/>
                <w:bCs/>
                <w:noProof/>
              </w:rPr>
              <w:t>3.4.1</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Insurance benefits</w:t>
            </w:r>
            <w:r>
              <w:rPr>
                <w:noProof/>
                <w:webHidden/>
              </w:rPr>
              <w:tab/>
            </w:r>
            <w:r>
              <w:rPr>
                <w:noProof/>
                <w:webHidden/>
              </w:rPr>
              <w:fldChar w:fldCharType="begin"/>
            </w:r>
            <w:r>
              <w:rPr>
                <w:noProof/>
                <w:webHidden/>
              </w:rPr>
              <w:instrText xml:space="preserve"> PAGEREF _Toc191216286 \h </w:instrText>
            </w:r>
            <w:r>
              <w:rPr>
                <w:noProof/>
                <w:webHidden/>
              </w:rPr>
            </w:r>
            <w:r>
              <w:rPr>
                <w:noProof/>
                <w:webHidden/>
              </w:rPr>
              <w:fldChar w:fldCharType="separate"/>
            </w:r>
            <w:r>
              <w:rPr>
                <w:noProof/>
                <w:webHidden/>
              </w:rPr>
              <w:t>33</w:t>
            </w:r>
            <w:r>
              <w:rPr>
                <w:noProof/>
                <w:webHidden/>
              </w:rPr>
              <w:fldChar w:fldCharType="end"/>
            </w:r>
          </w:hyperlink>
        </w:p>
        <w:p w14:paraId="682431CE" w14:textId="3C2945A7"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7" w:history="1">
            <w:r w:rsidRPr="00B44FEE">
              <w:rPr>
                <w:rStyle w:val="Hyperlink"/>
                <w:rFonts w:cs="Arial"/>
                <w:b/>
                <w:bCs/>
                <w:noProof/>
              </w:rPr>
              <w:t>3.4.2</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Legal costs</w:t>
            </w:r>
            <w:r>
              <w:rPr>
                <w:noProof/>
                <w:webHidden/>
              </w:rPr>
              <w:tab/>
            </w:r>
            <w:r>
              <w:rPr>
                <w:noProof/>
                <w:webHidden/>
              </w:rPr>
              <w:fldChar w:fldCharType="begin"/>
            </w:r>
            <w:r>
              <w:rPr>
                <w:noProof/>
                <w:webHidden/>
              </w:rPr>
              <w:instrText xml:space="preserve"> PAGEREF _Toc191216287 \h </w:instrText>
            </w:r>
            <w:r>
              <w:rPr>
                <w:noProof/>
                <w:webHidden/>
              </w:rPr>
            </w:r>
            <w:r>
              <w:rPr>
                <w:noProof/>
                <w:webHidden/>
              </w:rPr>
              <w:fldChar w:fldCharType="separate"/>
            </w:r>
            <w:r>
              <w:rPr>
                <w:noProof/>
                <w:webHidden/>
              </w:rPr>
              <w:t>34</w:t>
            </w:r>
            <w:r>
              <w:rPr>
                <w:noProof/>
                <w:webHidden/>
              </w:rPr>
              <w:fldChar w:fldCharType="end"/>
            </w:r>
          </w:hyperlink>
        </w:p>
        <w:p w14:paraId="4F979C14" w14:textId="2F6A0A10"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8" w:history="1">
            <w:r w:rsidRPr="00B44FEE">
              <w:rPr>
                <w:rStyle w:val="Hyperlink"/>
                <w:rFonts w:cs="Arial"/>
                <w:b/>
                <w:bCs/>
                <w:noProof/>
              </w:rPr>
              <w:t>3.4.3</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Maintenance</w:t>
            </w:r>
            <w:r>
              <w:rPr>
                <w:noProof/>
                <w:webHidden/>
              </w:rPr>
              <w:tab/>
            </w:r>
            <w:r>
              <w:rPr>
                <w:noProof/>
                <w:webHidden/>
              </w:rPr>
              <w:fldChar w:fldCharType="begin"/>
            </w:r>
            <w:r>
              <w:rPr>
                <w:noProof/>
                <w:webHidden/>
              </w:rPr>
              <w:instrText xml:space="preserve"> PAGEREF _Toc191216288 \h </w:instrText>
            </w:r>
            <w:r>
              <w:rPr>
                <w:noProof/>
                <w:webHidden/>
              </w:rPr>
            </w:r>
            <w:r>
              <w:rPr>
                <w:noProof/>
                <w:webHidden/>
              </w:rPr>
              <w:fldChar w:fldCharType="separate"/>
            </w:r>
            <w:r>
              <w:rPr>
                <w:noProof/>
                <w:webHidden/>
              </w:rPr>
              <w:t>35</w:t>
            </w:r>
            <w:r>
              <w:rPr>
                <w:noProof/>
                <w:webHidden/>
              </w:rPr>
              <w:fldChar w:fldCharType="end"/>
            </w:r>
          </w:hyperlink>
        </w:p>
        <w:p w14:paraId="064B88DB" w14:textId="223FEB93"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89" w:history="1">
            <w:r w:rsidRPr="00B44FEE">
              <w:rPr>
                <w:rStyle w:val="Hyperlink"/>
                <w:rFonts w:cs="Arial"/>
                <w:b/>
                <w:bCs/>
                <w:noProof/>
              </w:rPr>
              <w:t>3.4.4</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Matrimonial property benefits</w:t>
            </w:r>
            <w:r>
              <w:rPr>
                <w:noProof/>
                <w:webHidden/>
              </w:rPr>
              <w:tab/>
            </w:r>
            <w:r>
              <w:rPr>
                <w:noProof/>
                <w:webHidden/>
              </w:rPr>
              <w:fldChar w:fldCharType="begin"/>
            </w:r>
            <w:r>
              <w:rPr>
                <w:noProof/>
                <w:webHidden/>
              </w:rPr>
              <w:instrText xml:space="preserve"> PAGEREF _Toc191216289 \h </w:instrText>
            </w:r>
            <w:r>
              <w:rPr>
                <w:noProof/>
                <w:webHidden/>
              </w:rPr>
            </w:r>
            <w:r>
              <w:rPr>
                <w:noProof/>
                <w:webHidden/>
              </w:rPr>
              <w:fldChar w:fldCharType="separate"/>
            </w:r>
            <w:r>
              <w:rPr>
                <w:noProof/>
                <w:webHidden/>
              </w:rPr>
              <w:t>36</w:t>
            </w:r>
            <w:r>
              <w:rPr>
                <w:noProof/>
                <w:webHidden/>
              </w:rPr>
              <w:fldChar w:fldCharType="end"/>
            </w:r>
          </w:hyperlink>
        </w:p>
        <w:p w14:paraId="1ACDE804" w14:textId="56D62C61" w:rsidR="0079362A" w:rsidRDefault="0079362A">
          <w:pPr>
            <w:pStyle w:val="TOC3"/>
            <w:tabs>
              <w:tab w:val="left" w:pos="1440"/>
              <w:tab w:val="right" w:leader="dot" w:pos="9628"/>
            </w:tabs>
            <w:rPr>
              <w:rFonts w:asciiTheme="minorHAnsi" w:eastAsiaTheme="minorEastAsia" w:hAnsiTheme="minorHAnsi"/>
              <w:noProof/>
              <w:kern w:val="2"/>
              <w:szCs w:val="24"/>
              <w:lang w:eastAsia="en-ZA"/>
              <w14:ligatures w14:val="standardContextual"/>
            </w:rPr>
          </w:pPr>
          <w:hyperlink w:anchor="_Toc191216290" w:history="1">
            <w:r w:rsidRPr="00B44FEE">
              <w:rPr>
                <w:rStyle w:val="Hyperlink"/>
                <w:rFonts w:cs="Arial"/>
                <w:b/>
                <w:bCs/>
                <w:noProof/>
              </w:rPr>
              <w:t>3.4.5</w:t>
            </w:r>
            <w:r>
              <w:rPr>
                <w:rFonts w:asciiTheme="minorHAnsi" w:eastAsiaTheme="minorEastAsia" w:hAnsiTheme="minorHAnsi"/>
                <w:noProof/>
                <w:kern w:val="2"/>
                <w:szCs w:val="24"/>
                <w:lang w:eastAsia="en-ZA"/>
                <w14:ligatures w14:val="standardContextual"/>
              </w:rPr>
              <w:tab/>
            </w:r>
            <w:r w:rsidRPr="00B44FEE">
              <w:rPr>
                <w:rStyle w:val="Hyperlink"/>
                <w:rFonts w:cs="Arial"/>
                <w:b/>
                <w:bCs/>
                <w:noProof/>
              </w:rPr>
              <w:t>Pension benefits</w:t>
            </w:r>
            <w:r>
              <w:rPr>
                <w:noProof/>
                <w:webHidden/>
              </w:rPr>
              <w:tab/>
            </w:r>
            <w:r>
              <w:rPr>
                <w:noProof/>
                <w:webHidden/>
              </w:rPr>
              <w:fldChar w:fldCharType="begin"/>
            </w:r>
            <w:r>
              <w:rPr>
                <w:noProof/>
                <w:webHidden/>
              </w:rPr>
              <w:instrText xml:space="preserve"> PAGEREF _Toc191216290 \h </w:instrText>
            </w:r>
            <w:r>
              <w:rPr>
                <w:noProof/>
                <w:webHidden/>
              </w:rPr>
            </w:r>
            <w:r>
              <w:rPr>
                <w:noProof/>
                <w:webHidden/>
              </w:rPr>
              <w:fldChar w:fldCharType="separate"/>
            </w:r>
            <w:r>
              <w:rPr>
                <w:noProof/>
                <w:webHidden/>
              </w:rPr>
              <w:t>38</w:t>
            </w:r>
            <w:r>
              <w:rPr>
                <w:noProof/>
                <w:webHidden/>
              </w:rPr>
              <w:fldChar w:fldCharType="end"/>
            </w:r>
          </w:hyperlink>
        </w:p>
        <w:p w14:paraId="684AAC9B" w14:textId="5A9ACED6" w:rsidR="0079362A" w:rsidRDefault="0079362A">
          <w:pPr>
            <w:pStyle w:val="TOC2"/>
            <w:rPr>
              <w:rFonts w:asciiTheme="minorHAnsi" w:eastAsiaTheme="minorEastAsia" w:hAnsiTheme="minorHAnsi"/>
              <w:noProof/>
              <w:kern w:val="2"/>
              <w:szCs w:val="24"/>
              <w:lang w:eastAsia="en-ZA"/>
              <w14:ligatures w14:val="standardContextual"/>
            </w:rPr>
          </w:pPr>
          <w:hyperlink w:anchor="_Toc191216291" w:history="1">
            <w:r w:rsidRPr="00B44FEE">
              <w:rPr>
                <w:rStyle w:val="Hyperlink"/>
                <w:bCs/>
                <w:noProof/>
              </w:rPr>
              <w:t>3.5</w:t>
            </w:r>
            <w:r>
              <w:rPr>
                <w:rFonts w:asciiTheme="minorHAnsi" w:eastAsiaTheme="minorEastAsia" w:hAnsiTheme="minorHAnsi"/>
                <w:noProof/>
                <w:kern w:val="2"/>
                <w:szCs w:val="24"/>
                <w:lang w:eastAsia="en-ZA"/>
                <w14:ligatures w14:val="standardContextual"/>
              </w:rPr>
              <w:tab/>
            </w:r>
            <w:r w:rsidRPr="00B44FEE">
              <w:rPr>
                <w:rStyle w:val="Hyperlink"/>
                <w:bCs/>
                <w:noProof/>
              </w:rPr>
              <w:t xml:space="preserve">Instances where </w:t>
            </w:r>
            <w:r w:rsidRPr="00B44FEE">
              <w:rPr>
                <w:rStyle w:val="Hyperlink"/>
                <w:bCs/>
                <w:i/>
                <w:iCs/>
                <w:noProof/>
              </w:rPr>
              <w:t>de bloedige hand</w:t>
            </w:r>
            <w:r w:rsidRPr="00B44FEE">
              <w:rPr>
                <w:rStyle w:val="Hyperlink"/>
                <w:bCs/>
                <w:noProof/>
              </w:rPr>
              <w:t xml:space="preserve"> did not find application</w:t>
            </w:r>
            <w:r>
              <w:rPr>
                <w:noProof/>
                <w:webHidden/>
              </w:rPr>
              <w:tab/>
            </w:r>
            <w:r>
              <w:rPr>
                <w:noProof/>
                <w:webHidden/>
              </w:rPr>
              <w:fldChar w:fldCharType="begin"/>
            </w:r>
            <w:r>
              <w:rPr>
                <w:noProof/>
                <w:webHidden/>
              </w:rPr>
              <w:instrText xml:space="preserve"> PAGEREF _Toc191216291 \h </w:instrText>
            </w:r>
            <w:r>
              <w:rPr>
                <w:noProof/>
                <w:webHidden/>
              </w:rPr>
            </w:r>
            <w:r>
              <w:rPr>
                <w:noProof/>
                <w:webHidden/>
              </w:rPr>
              <w:fldChar w:fldCharType="separate"/>
            </w:r>
            <w:r>
              <w:rPr>
                <w:noProof/>
                <w:webHidden/>
              </w:rPr>
              <w:t>39</w:t>
            </w:r>
            <w:r>
              <w:rPr>
                <w:noProof/>
                <w:webHidden/>
              </w:rPr>
              <w:fldChar w:fldCharType="end"/>
            </w:r>
          </w:hyperlink>
        </w:p>
        <w:p w14:paraId="13CC9745" w14:textId="41D6C296" w:rsidR="0079362A" w:rsidRDefault="0079362A">
          <w:pPr>
            <w:pStyle w:val="TOC2"/>
            <w:rPr>
              <w:rFonts w:asciiTheme="minorHAnsi" w:eastAsiaTheme="minorEastAsia" w:hAnsiTheme="minorHAnsi"/>
              <w:noProof/>
              <w:kern w:val="2"/>
              <w:szCs w:val="24"/>
              <w:lang w:eastAsia="en-ZA"/>
              <w14:ligatures w14:val="standardContextual"/>
            </w:rPr>
          </w:pPr>
          <w:hyperlink w:anchor="_Toc191216292" w:history="1">
            <w:r w:rsidRPr="00B44FEE">
              <w:rPr>
                <w:rStyle w:val="Hyperlink"/>
                <w:bCs/>
                <w:noProof/>
              </w:rPr>
              <w:t>3.6</w:t>
            </w:r>
            <w:r>
              <w:rPr>
                <w:rFonts w:asciiTheme="minorHAnsi" w:eastAsiaTheme="minorEastAsia" w:hAnsiTheme="minorHAnsi"/>
                <w:noProof/>
                <w:kern w:val="2"/>
                <w:szCs w:val="24"/>
                <w:lang w:eastAsia="en-ZA"/>
                <w14:ligatures w14:val="standardContextual"/>
              </w:rPr>
              <w:tab/>
            </w:r>
            <w:r w:rsidRPr="00B44FEE">
              <w:rPr>
                <w:rStyle w:val="Hyperlink"/>
                <w:bCs/>
                <w:noProof/>
              </w:rPr>
              <w:t>Conclusion</w:t>
            </w:r>
            <w:r>
              <w:rPr>
                <w:noProof/>
                <w:webHidden/>
              </w:rPr>
              <w:tab/>
            </w:r>
            <w:r>
              <w:rPr>
                <w:noProof/>
                <w:webHidden/>
              </w:rPr>
              <w:fldChar w:fldCharType="begin"/>
            </w:r>
            <w:r>
              <w:rPr>
                <w:noProof/>
                <w:webHidden/>
              </w:rPr>
              <w:instrText xml:space="preserve"> PAGEREF _Toc191216292 \h </w:instrText>
            </w:r>
            <w:r>
              <w:rPr>
                <w:noProof/>
                <w:webHidden/>
              </w:rPr>
            </w:r>
            <w:r>
              <w:rPr>
                <w:noProof/>
                <w:webHidden/>
              </w:rPr>
              <w:fldChar w:fldCharType="separate"/>
            </w:r>
            <w:r>
              <w:rPr>
                <w:noProof/>
                <w:webHidden/>
              </w:rPr>
              <w:t>41</w:t>
            </w:r>
            <w:r>
              <w:rPr>
                <w:noProof/>
                <w:webHidden/>
              </w:rPr>
              <w:fldChar w:fldCharType="end"/>
            </w:r>
          </w:hyperlink>
        </w:p>
        <w:p w14:paraId="2AD3E731" w14:textId="2FB82A97" w:rsidR="0079362A" w:rsidRDefault="0079362A">
          <w:pPr>
            <w:pStyle w:val="TOC1"/>
            <w:rPr>
              <w:rFonts w:asciiTheme="minorHAnsi" w:eastAsiaTheme="minorEastAsia" w:hAnsiTheme="minorHAnsi"/>
              <w:b w:val="0"/>
              <w:bCs w:val="0"/>
              <w:kern w:val="2"/>
              <w:szCs w:val="24"/>
              <w:lang w:eastAsia="en-ZA"/>
              <w14:ligatures w14:val="standardContextual"/>
            </w:rPr>
          </w:pPr>
          <w:hyperlink w:anchor="_Toc191216293" w:history="1">
            <w:r w:rsidRPr="00B44FEE">
              <w:rPr>
                <w:rStyle w:val="Hyperlink"/>
              </w:rPr>
              <w:t>CHAPTER IV : THE POTENTIAL TO EXTEND THE APPLICATION OF DE BLOEDIGE HAND IN FUTURE</w:t>
            </w:r>
            <w:r>
              <w:rPr>
                <w:webHidden/>
              </w:rPr>
              <w:tab/>
            </w:r>
            <w:r>
              <w:rPr>
                <w:webHidden/>
              </w:rPr>
              <w:fldChar w:fldCharType="begin"/>
            </w:r>
            <w:r>
              <w:rPr>
                <w:webHidden/>
              </w:rPr>
              <w:instrText xml:space="preserve"> PAGEREF _Toc191216293 \h </w:instrText>
            </w:r>
            <w:r>
              <w:rPr>
                <w:webHidden/>
              </w:rPr>
            </w:r>
            <w:r>
              <w:rPr>
                <w:webHidden/>
              </w:rPr>
              <w:fldChar w:fldCharType="separate"/>
            </w:r>
            <w:r>
              <w:rPr>
                <w:webHidden/>
              </w:rPr>
              <w:t>43</w:t>
            </w:r>
            <w:r>
              <w:rPr>
                <w:webHidden/>
              </w:rPr>
              <w:fldChar w:fldCharType="end"/>
            </w:r>
          </w:hyperlink>
        </w:p>
        <w:p w14:paraId="1E591453" w14:textId="3313DD81" w:rsidR="0079362A" w:rsidRDefault="0079362A">
          <w:pPr>
            <w:pStyle w:val="TOC2"/>
            <w:rPr>
              <w:rFonts w:asciiTheme="minorHAnsi" w:eastAsiaTheme="minorEastAsia" w:hAnsiTheme="minorHAnsi"/>
              <w:noProof/>
              <w:kern w:val="2"/>
              <w:szCs w:val="24"/>
              <w:lang w:eastAsia="en-ZA"/>
              <w14:ligatures w14:val="standardContextual"/>
            </w:rPr>
          </w:pPr>
          <w:hyperlink w:anchor="_Toc191216294" w:history="1">
            <w:r w:rsidRPr="00B44FEE">
              <w:rPr>
                <w:rStyle w:val="Hyperlink"/>
                <w:noProof/>
              </w:rPr>
              <w:t>4.1</w:t>
            </w:r>
            <w:r>
              <w:rPr>
                <w:rFonts w:asciiTheme="minorHAnsi" w:eastAsiaTheme="minorEastAsia" w:hAnsiTheme="minorHAnsi"/>
                <w:noProof/>
                <w:kern w:val="2"/>
                <w:szCs w:val="24"/>
                <w:lang w:eastAsia="en-ZA"/>
                <w14:ligatures w14:val="standardContextual"/>
              </w:rPr>
              <w:tab/>
            </w:r>
            <w:r w:rsidRPr="00B44FEE">
              <w:rPr>
                <w:rStyle w:val="Hyperlink"/>
                <w:bCs/>
                <w:noProof/>
              </w:rPr>
              <w:t>Introduction</w:t>
            </w:r>
            <w:r>
              <w:rPr>
                <w:noProof/>
                <w:webHidden/>
              </w:rPr>
              <w:tab/>
            </w:r>
            <w:r>
              <w:rPr>
                <w:noProof/>
                <w:webHidden/>
              </w:rPr>
              <w:fldChar w:fldCharType="begin"/>
            </w:r>
            <w:r>
              <w:rPr>
                <w:noProof/>
                <w:webHidden/>
              </w:rPr>
              <w:instrText xml:space="preserve"> PAGEREF _Toc191216294 \h </w:instrText>
            </w:r>
            <w:r>
              <w:rPr>
                <w:noProof/>
                <w:webHidden/>
              </w:rPr>
            </w:r>
            <w:r>
              <w:rPr>
                <w:noProof/>
                <w:webHidden/>
              </w:rPr>
              <w:fldChar w:fldCharType="separate"/>
            </w:r>
            <w:r>
              <w:rPr>
                <w:noProof/>
                <w:webHidden/>
              </w:rPr>
              <w:t>43</w:t>
            </w:r>
            <w:r>
              <w:rPr>
                <w:noProof/>
                <w:webHidden/>
              </w:rPr>
              <w:fldChar w:fldCharType="end"/>
            </w:r>
          </w:hyperlink>
        </w:p>
        <w:p w14:paraId="5A6D7F9B" w14:textId="375A3C69" w:rsidR="0079362A" w:rsidRDefault="0079362A">
          <w:pPr>
            <w:pStyle w:val="TOC2"/>
            <w:rPr>
              <w:rFonts w:asciiTheme="minorHAnsi" w:eastAsiaTheme="minorEastAsia" w:hAnsiTheme="minorHAnsi"/>
              <w:noProof/>
              <w:kern w:val="2"/>
              <w:szCs w:val="24"/>
              <w:lang w:eastAsia="en-ZA"/>
              <w14:ligatures w14:val="standardContextual"/>
            </w:rPr>
          </w:pPr>
          <w:hyperlink w:anchor="_Toc191216295" w:history="1">
            <w:r w:rsidRPr="00B44FEE">
              <w:rPr>
                <w:rStyle w:val="Hyperlink"/>
                <w:noProof/>
              </w:rPr>
              <w:t>4.2</w:t>
            </w:r>
            <w:r>
              <w:rPr>
                <w:rFonts w:asciiTheme="minorHAnsi" w:eastAsiaTheme="minorEastAsia" w:hAnsiTheme="minorHAnsi"/>
                <w:noProof/>
                <w:kern w:val="2"/>
                <w:szCs w:val="24"/>
                <w:lang w:eastAsia="en-ZA"/>
                <w14:ligatures w14:val="standardContextual"/>
              </w:rPr>
              <w:tab/>
            </w:r>
            <w:r w:rsidRPr="00B44FEE">
              <w:rPr>
                <w:rStyle w:val="Hyperlink"/>
                <w:bCs/>
                <w:noProof/>
              </w:rPr>
              <w:t>Overview of delictual claims</w:t>
            </w:r>
            <w:r>
              <w:rPr>
                <w:noProof/>
                <w:webHidden/>
              </w:rPr>
              <w:tab/>
            </w:r>
            <w:r>
              <w:rPr>
                <w:noProof/>
                <w:webHidden/>
              </w:rPr>
              <w:fldChar w:fldCharType="begin"/>
            </w:r>
            <w:r>
              <w:rPr>
                <w:noProof/>
                <w:webHidden/>
              </w:rPr>
              <w:instrText xml:space="preserve"> PAGEREF _Toc191216295 \h </w:instrText>
            </w:r>
            <w:r>
              <w:rPr>
                <w:noProof/>
                <w:webHidden/>
              </w:rPr>
            </w:r>
            <w:r>
              <w:rPr>
                <w:noProof/>
                <w:webHidden/>
              </w:rPr>
              <w:fldChar w:fldCharType="separate"/>
            </w:r>
            <w:r>
              <w:rPr>
                <w:noProof/>
                <w:webHidden/>
              </w:rPr>
              <w:t>44</w:t>
            </w:r>
            <w:r>
              <w:rPr>
                <w:noProof/>
                <w:webHidden/>
              </w:rPr>
              <w:fldChar w:fldCharType="end"/>
            </w:r>
          </w:hyperlink>
        </w:p>
        <w:p w14:paraId="35C533C7" w14:textId="6FABCEC5" w:rsidR="0079362A" w:rsidRDefault="0079362A">
          <w:pPr>
            <w:pStyle w:val="TOC2"/>
            <w:rPr>
              <w:rFonts w:asciiTheme="minorHAnsi" w:eastAsiaTheme="minorEastAsia" w:hAnsiTheme="minorHAnsi"/>
              <w:noProof/>
              <w:kern w:val="2"/>
              <w:szCs w:val="24"/>
              <w:lang w:eastAsia="en-ZA"/>
              <w14:ligatures w14:val="standardContextual"/>
            </w:rPr>
          </w:pPr>
          <w:hyperlink w:anchor="_Toc191216296" w:history="1">
            <w:r w:rsidRPr="00B44FEE">
              <w:rPr>
                <w:rStyle w:val="Hyperlink"/>
                <w:noProof/>
              </w:rPr>
              <w:t>4.3</w:t>
            </w:r>
            <w:r>
              <w:rPr>
                <w:rFonts w:asciiTheme="minorHAnsi" w:eastAsiaTheme="minorEastAsia" w:hAnsiTheme="minorHAnsi"/>
                <w:noProof/>
                <w:kern w:val="2"/>
                <w:szCs w:val="24"/>
                <w:lang w:eastAsia="en-ZA"/>
                <w14:ligatures w14:val="standardContextual"/>
              </w:rPr>
              <w:tab/>
            </w:r>
            <w:r w:rsidRPr="00B44FEE">
              <w:rPr>
                <w:rStyle w:val="Hyperlink"/>
                <w:bCs/>
                <w:noProof/>
              </w:rPr>
              <w:t>Limiting factors: “once-and-for-all” rule and prescription</w:t>
            </w:r>
            <w:r>
              <w:rPr>
                <w:noProof/>
                <w:webHidden/>
              </w:rPr>
              <w:tab/>
            </w:r>
            <w:r>
              <w:rPr>
                <w:noProof/>
                <w:webHidden/>
              </w:rPr>
              <w:fldChar w:fldCharType="begin"/>
            </w:r>
            <w:r>
              <w:rPr>
                <w:noProof/>
                <w:webHidden/>
              </w:rPr>
              <w:instrText xml:space="preserve"> PAGEREF _Toc191216296 \h </w:instrText>
            </w:r>
            <w:r>
              <w:rPr>
                <w:noProof/>
                <w:webHidden/>
              </w:rPr>
            </w:r>
            <w:r>
              <w:rPr>
                <w:noProof/>
                <w:webHidden/>
              </w:rPr>
              <w:fldChar w:fldCharType="separate"/>
            </w:r>
            <w:r>
              <w:rPr>
                <w:noProof/>
                <w:webHidden/>
              </w:rPr>
              <w:t>45</w:t>
            </w:r>
            <w:r>
              <w:rPr>
                <w:noProof/>
                <w:webHidden/>
              </w:rPr>
              <w:fldChar w:fldCharType="end"/>
            </w:r>
          </w:hyperlink>
        </w:p>
        <w:p w14:paraId="6960244B" w14:textId="0358C19A" w:rsidR="0079362A" w:rsidRDefault="0079362A">
          <w:pPr>
            <w:pStyle w:val="TOC2"/>
            <w:rPr>
              <w:rFonts w:asciiTheme="minorHAnsi" w:eastAsiaTheme="minorEastAsia" w:hAnsiTheme="minorHAnsi"/>
              <w:noProof/>
              <w:kern w:val="2"/>
              <w:szCs w:val="24"/>
              <w:lang w:eastAsia="en-ZA"/>
              <w14:ligatures w14:val="standardContextual"/>
            </w:rPr>
          </w:pPr>
          <w:hyperlink w:anchor="_Toc191216297" w:history="1">
            <w:r w:rsidRPr="00B44FEE">
              <w:rPr>
                <w:rStyle w:val="Hyperlink"/>
                <w:noProof/>
              </w:rPr>
              <w:t>4.4</w:t>
            </w:r>
            <w:r>
              <w:rPr>
                <w:rFonts w:asciiTheme="minorHAnsi" w:eastAsiaTheme="minorEastAsia" w:hAnsiTheme="minorHAnsi"/>
                <w:noProof/>
                <w:kern w:val="2"/>
                <w:szCs w:val="24"/>
                <w:lang w:eastAsia="en-ZA"/>
                <w14:ligatures w14:val="standardContextual"/>
              </w:rPr>
              <w:tab/>
            </w:r>
            <w:r w:rsidRPr="00B44FEE">
              <w:rPr>
                <w:rStyle w:val="Hyperlink"/>
                <w:bCs/>
                <w:noProof/>
              </w:rPr>
              <w:t>Who may claim delictual damages?</w:t>
            </w:r>
            <w:r>
              <w:rPr>
                <w:noProof/>
                <w:webHidden/>
              </w:rPr>
              <w:tab/>
            </w:r>
            <w:r>
              <w:rPr>
                <w:noProof/>
                <w:webHidden/>
              </w:rPr>
              <w:fldChar w:fldCharType="begin"/>
            </w:r>
            <w:r>
              <w:rPr>
                <w:noProof/>
                <w:webHidden/>
              </w:rPr>
              <w:instrText xml:space="preserve"> PAGEREF _Toc191216297 \h </w:instrText>
            </w:r>
            <w:r>
              <w:rPr>
                <w:noProof/>
                <w:webHidden/>
              </w:rPr>
            </w:r>
            <w:r>
              <w:rPr>
                <w:noProof/>
                <w:webHidden/>
              </w:rPr>
              <w:fldChar w:fldCharType="separate"/>
            </w:r>
            <w:r>
              <w:rPr>
                <w:noProof/>
                <w:webHidden/>
              </w:rPr>
              <w:t>46</w:t>
            </w:r>
            <w:r>
              <w:rPr>
                <w:noProof/>
                <w:webHidden/>
              </w:rPr>
              <w:fldChar w:fldCharType="end"/>
            </w:r>
          </w:hyperlink>
        </w:p>
        <w:p w14:paraId="285D4AA2" w14:textId="08F11F83" w:rsidR="0079362A" w:rsidRDefault="0079362A">
          <w:pPr>
            <w:pStyle w:val="TOC2"/>
            <w:rPr>
              <w:rFonts w:asciiTheme="minorHAnsi" w:eastAsiaTheme="minorEastAsia" w:hAnsiTheme="minorHAnsi"/>
              <w:noProof/>
              <w:kern w:val="2"/>
              <w:szCs w:val="24"/>
              <w:lang w:eastAsia="en-ZA"/>
              <w14:ligatures w14:val="standardContextual"/>
            </w:rPr>
          </w:pPr>
          <w:hyperlink w:anchor="_Toc191216298" w:history="1">
            <w:r w:rsidRPr="00B44FEE">
              <w:rPr>
                <w:rStyle w:val="Hyperlink"/>
                <w:noProof/>
              </w:rPr>
              <w:t>4.5</w:t>
            </w:r>
            <w:r>
              <w:rPr>
                <w:rFonts w:asciiTheme="minorHAnsi" w:eastAsiaTheme="minorEastAsia" w:hAnsiTheme="minorHAnsi"/>
                <w:noProof/>
                <w:kern w:val="2"/>
                <w:szCs w:val="24"/>
                <w:lang w:eastAsia="en-ZA"/>
                <w14:ligatures w14:val="standardContextual"/>
              </w:rPr>
              <w:tab/>
            </w:r>
            <w:r w:rsidRPr="00B44FEE">
              <w:rPr>
                <w:rStyle w:val="Hyperlink"/>
                <w:bCs/>
                <w:noProof/>
              </w:rPr>
              <w:t>What is emotional shock?</w:t>
            </w:r>
            <w:r>
              <w:rPr>
                <w:noProof/>
                <w:webHidden/>
              </w:rPr>
              <w:tab/>
            </w:r>
            <w:r>
              <w:rPr>
                <w:noProof/>
                <w:webHidden/>
              </w:rPr>
              <w:fldChar w:fldCharType="begin"/>
            </w:r>
            <w:r>
              <w:rPr>
                <w:noProof/>
                <w:webHidden/>
              </w:rPr>
              <w:instrText xml:space="preserve"> PAGEREF _Toc191216298 \h </w:instrText>
            </w:r>
            <w:r>
              <w:rPr>
                <w:noProof/>
                <w:webHidden/>
              </w:rPr>
            </w:r>
            <w:r>
              <w:rPr>
                <w:noProof/>
                <w:webHidden/>
              </w:rPr>
              <w:fldChar w:fldCharType="separate"/>
            </w:r>
            <w:r>
              <w:rPr>
                <w:noProof/>
                <w:webHidden/>
              </w:rPr>
              <w:t>47</w:t>
            </w:r>
            <w:r>
              <w:rPr>
                <w:noProof/>
                <w:webHidden/>
              </w:rPr>
              <w:fldChar w:fldCharType="end"/>
            </w:r>
          </w:hyperlink>
        </w:p>
        <w:p w14:paraId="1E04E638" w14:textId="30EB3027" w:rsidR="0079362A" w:rsidRDefault="0079362A">
          <w:pPr>
            <w:pStyle w:val="TOC2"/>
            <w:rPr>
              <w:rFonts w:asciiTheme="minorHAnsi" w:eastAsiaTheme="minorEastAsia" w:hAnsiTheme="minorHAnsi"/>
              <w:noProof/>
              <w:kern w:val="2"/>
              <w:szCs w:val="24"/>
              <w:lang w:eastAsia="en-ZA"/>
              <w14:ligatures w14:val="standardContextual"/>
            </w:rPr>
          </w:pPr>
          <w:hyperlink w:anchor="_Toc191216299" w:history="1">
            <w:r w:rsidRPr="00B44FEE">
              <w:rPr>
                <w:rStyle w:val="Hyperlink"/>
                <w:noProof/>
              </w:rPr>
              <w:t>4.6</w:t>
            </w:r>
            <w:r>
              <w:rPr>
                <w:rFonts w:asciiTheme="minorHAnsi" w:eastAsiaTheme="minorEastAsia" w:hAnsiTheme="minorHAnsi"/>
                <w:noProof/>
                <w:kern w:val="2"/>
                <w:szCs w:val="24"/>
                <w:lang w:eastAsia="en-ZA"/>
                <w14:ligatures w14:val="standardContextual"/>
              </w:rPr>
              <w:tab/>
            </w:r>
            <w:r w:rsidRPr="00B44FEE">
              <w:rPr>
                <w:rStyle w:val="Hyperlink"/>
                <w:bCs/>
                <w:noProof/>
              </w:rPr>
              <w:t>What are the requirements for emotional shock?</w:t>
            </w:r>
            <w:r>
              <w:rPr>
                <w:noProof/>
                <w:webHidden/>
              </w:rPr>
              <w:tab/>
            </w:r>
            <w:r>
              <w:rPr>
                <w:noProof/>
                <w:webHidden/>
              </w:rPr>
              <w:fldChar w:fldCharType="begin"/>
            </w:r>
            <w:r>
              <w:rPr>
                <w:noProof/>
                <w:webHidden/>
              </w:rPr>
              <w:instrText xml:space="preserve"> PAGEREF _Toc191216299 \h </w:instrText>
            </w:r>
            <w:r>
              <w:rPr>
                <w:noProof/>
                <w:webHidden/>
              </w:rPr>
            </w:r>
            <w:r>
              <w:rPr>
                <w:noProof/>
                <w:webHidden/>
              </w:rPr>
              <w:fldChar w:fldCharType="separate"/>
            </w:r>
            <w:r>
              <w:rPr>
                <w:noProof/>
                <w:webHidden/>
              </w:rPr>
              <w:t>48</w:t>
            </w:r>
            <w:r>
              <w:rPr>
                <w:noProof/>
                <w:webHidden/>
              </w:rPr>
              <w:fldChar w:fldCharType="end"/>
            </w:r>
          </w:hyperlink>
        </w:p>
        <w:p w14:paraId="3D00C31E" w14:textId="43F9A213" w:rsidR="0079362A" w:rsidRDefault="0079362A">
          <w:pPr>
            <w:pStyle w:val="TOC2"/>
            <w:rPr>
              <w:rFonts w:asciiTheme="minorHAnsi" w:eastAsiaTheme="minorEastAsia" w:hAnsiTheme="minorHAnsi"/>
              <w:noProof/>
              <w:kern w:val="2"/>
              <w:szCs w:val="24"/>
              <w:lang w:eastAsia="en-ZA"/>
              <w14:ligatures w14:val="standardContextual"/>
            </w:rPr>
          </w:pPr>
          <w:hyperlink w:anchor="_Toc191216300" w:history="1">
            <w:r w:rsidRPr="00B44FEE">
              <w:rPr>
                <w:rStyle w:val="Hyperlink"/>
                <w:noProof/>
              </w:rPr>
              <w:t>4.7</w:t>
            </w:r>
            <w:r>
              <w:rPr>
                <w:rFonts w:asciiTheme="minorHAnsi" w:eastAsiaTheme="minorEastAsia" w:hAnsiTheme="minorHAnsi"/>
                <w:noProof/>
                <w:kern w:val="2"/>
                <w:szCs w:val="24"/>
                <w:lang w:eastAsia="en-ZA"/>
                <w14:ligatures w14:val="standardContextual"/>
              </w:rPr>
              <w:tab/>
            </w:r>
            <w:r w:rsidRPr="00B44FEE">
              <w:rPr>
                <w:rStyle w:val="Hyperlink"/>
                <w:bCs/>
                <w:noProof/>
              </w:rPr>
              <w:t>Delictual claims for emotional shock in practice</w:t>
            </w:r>
            <w:r>
              <w:rPr>
                <w:noProof/>
                <w:webHidden/>
              </w:rPr>
              <w:tab/>
            </w:r>
            <w:r>
              <w:rPr>
                <w:noProof/>
                <w:webHidden/>
              </w:rPr>
              <w:fldChar w:fldCharType="begin"/>
            </w:r>
            <w:r>
              <w:rPr>
                <w:noProof/>
                <w:webHidden/>
              </w:rPr>
              <w:instrText xml:space="preserve"> PAGEREF _Toc191216300 \h </w:instrText>
            </w:r>
            <w:r>
              <w:rPr>
                <w:noProof/>
                <w:webHidden/>
              </w:rPr>
            </w:r>
            <w:r>
              <w:rPr>
                <w:noProof/>
                <w:webHidden/>
              </w:rPr>
              <w:fldChar w:fldCharType="separate"/>
            </w:r>
            <w:r>
              <w:rPr>
                <w:noProof/>
                <w:webHidden/>
              </w:rPr>
              <w:t>49</w:t>
            </w:r>
            <w:r>
              <w:rPr>
                <w:noProof/>
                <w:webHidden/>
              </w:rPr>
              <w:fldChar w:fldCharType="end"/>
            </w:r>
          </w:hyperlink>
        </w:p>
        <w:p w14:paraId="614A2865" w14:textId="51771536" w:rsidR="0079362A" w:rsidRDefault="0079362A">
          <w:pPr>
            <w:pStyle w:val="TOC2"/>
            <w:rPr>
              <w:rFonts w:asciiTheme="minorHAnsi" w:eastAsiaTheme="minorEastAsia" w:hAnsiTheme="minorHAnsi"/>
              <w:noProof/>
              <w:kern w:val="2"/>
              <w:szCs w:val="24"/>
              <w:lang w:eastAsia="en-ZA"/>
              <w14:ligatures w14:val="standardContextual"/>
            </w:rPr>
          </w:pPr>
          <w:hyperlink w:anchor="_Toc191216301" w:history="1">
            <w:r w:rsidRPr="00B44FEE">
              <w:rPr>
                <w:rStyle w:val="Hyperlink"/>
                <w:rFonts w:cs="Arial"/>
                <w:noProof/>
              </w:rPr>
              <w:t>4.7.1</w:t>
            </w:r>
            <w:r>
              <w:rPr>
                <w:rFonts w:asciiTheme="minorHAnsi" w:eastAsiaTheme="minorEastAsia" w:hAnsiTheme="minorHAnsi"/>
                <w:noProof/>
                <w:kern w:val="2"/>
                <w:szCs w:val="24"/>
                <w:lang w:eastAsia="en-ZA"/>
                <w14:ligatures w14:val="standardContextual"/>
              </w:rPr>
              <w:tab/>
            </w:r>
            <w:r w:rsidRPr="00B44FEE">
              <w:rPr>
                <w:rStyle w:val="Hyperlink"/>
                <w:rFonts w:cs="Arial"/>
                <w:i/>
                <w:iCs/>
                <w:noProof/>
              </w:rPr>
              <w:t>Cases in which damages were not awarded</w:t>
            </w:r>
            <w:r>
              <w:rPr>
                <w:noProof/>
                <w:webHidden/>
              </w:rPr>
              <w:tab/>
            </w:r>
            <w:r>
              <w:rPr>
                <w:noProof/>
                <w:webHidden/>
              </w:rPr>
              <w:fldChar w:fldCharType="begin"/>
            </w:r>
            <w:r>
              <w:rPr>
                <w:noProof/>
                <w:webHidden/>
              </w:rPr>
              <w:instrText xml:space="preserve"> PAGEREF _Toc191216301 \h </w:instrText>
            </w:r>
            <w:r>
              <w:rPr>
                <w:noProof/>
                <w:webHidden/>
              </w:rPr>
            </w:r>
            <w:r>
              <w:rPr>
                <w:noProof/>
                <w:webHidden/>
              </w:rPr>
              <w:fldChar w:fldCharType="separate"/>
            </w:r>
            <w:r>
              <w:rPr>
                <w:noProof/>
                <w:webHidden/>
              </w:rPr>
              <w:t>50</w:t>
            </w:r>
            <w:r>
              <w:rPr>
                <w:noProof/>
                <w:webHidden/>
              </w:rPr>
              <w:fldChar w:fldCharType="end"/>
            </w:r>
          </w:hyperlink>
        </w:p>
        <w:p w14:paraId="74FC8401" w14:textId="28AF9479" w:rsidR="0079362A" w:rsidRDefault="0079362A">
          <w:pPr>
            <w:pStyle w:val="TOC2"/>
            <w:rPr>
              <w:rFonts w:asciiTheme="minorHAnsi" w:eastAsiaTheme="minorEastAsia" w:hAnsiTheme="minorHAnsi"/>
              <w:noProof/>
              <w:kern w:val="2"/>
              <w:szCs w:val="24"/>
              <w:lang w:eastAsia="en-ZA"/>
              <w14:ligatures w14:val="standardContextual"/>
            </w:rPr>
          </w:pPr>
          <w:hyperlink w:anchor="_Toc191216302" w:history="1">
            <w:r w:rsidRPr="00B44FEE">
              <w:rPr>
                <w:rStyle w:val="Hyperlink"/>
                <w:noProof/>
              </w:rPr>
              <w:t>4.7.2</w:t>
            </w:r>
            <w:r>
              <w:rPr>
                <w:rFonts w:asciiTheme="minorHAnsi" w:eastAsiaTheme="minorEastAsia" w:hAnsiTheme="minorHAnsi"/>
                <w:noProof/>
                <w:kern w:val="2"/>
                <w:szCs w:val="24"/>
                <w:lang w:eastAsia="en-ZA"/>
                <w14:ligatures w14:val="standardContextual"/>
              </w:rPr>
              <w:tab/>
            </w:r>
            <w:r w:rsidRPr="00B44FEE">
              <w:rPr>
                <w:rStyle w:val="Hyperlink"/>
                <w:noProof/>
              </w:rPr>
              <w:t>Cases in which damages were awarded</w:t>
            </w:r>
            <w:r>
              <w:rPr>
                <w:noProof/>
                <w:webHidden/>
              </w:rPr>
              <w:tab/>
            </w:r>
            <w:r>
              <w:rPr>
                <w:noProof/>
                <w:webHidden/>
              </w:rPr>
              <w:fldChar w:fldCharType="begin"/>
            </w:r>
            <w:r>
              <w:rPr>
                <w:noProof/>
                <w:webHidden/>
              </w:rPr>
              <w:instrText xml:space="preserve"> PAGEREF _Toc191216302 \h </w:instrText>
            </w:r>
            <w:r>
              <w:rPr>
                <w:noProof/>
                <w:webHidden/>
              </w:rPr>
            </w:r>
            <w:r>
              <w:rPr>
                <w:noProof/>
                <w:webHidden/>
              </w:rPr>
              <w:fldChar w:fldCharType="separate"/>
            </w:r>
            <w:r>
              <w:rPr>
                <w:noProof/>
                <w:webHidden/>
              </w:rPr>
              <w:t>50</w:t>
            </w:r>
            <w:r>
              <w:rPr>
                <w:noProof/>
                <w:webHidden/>
              </w:rPr>
              <w:fldChar w:fldCharType="end"/>
            </w:r>
          </w:hyperlink>
        </w:p>
        <w:p w14:paraId="166107FC" w14:textId="304BEED0" w:rsidR="0079362A" w:rsidRDefault="0079362A">
          <w:pPr>
            <w:pStyle w:val="TOC2"/>
            <w:rPr>
              <w:rFonts w:asciiTheme="minorHAnsi" w:eastAsiaTheme="minorEastAsia" w:hAnsiTheme="minorHAnsi"/>
              <w:noProof/>
              <w:kern w:val="2"/>
              <w:szCs w:val="24"/>
              <w:lang w:eastAsia="en-ZA"/>
              <w14:ligatures w14:val="standardContextual"/>
            </w:rPr>
          </w:pPr>
          <w:hyperlink w:anchor="_Toc191216303" w:history="1">
            <w:r w:rsidRPr="00B44FEE">
              <w:rPr>
                <w:rStyle w:val="Hyperlink"/>
                <w:noProof/>
              </w:rPr>
              <w:t>4.8</w:t>
            </w:r>
            <w:r>
              <w:rPr>
                <w:rFonts w:asciiTheme="minorHAnsi" w:eastAsiaTheme="minorEastAsia" w:hAnsiTheme="minorHAnsi"/>
                <w:noProof/>
                <w:kern w:val="2"/>
                <w:szCs w:val="24"/>
                <w:lang w:eastAsia="en-ZA"/>
                <w14:ligatures w14:val="standardContextual"/>
              </w:rPr>
              <w:tab/>
            </w:r>
            <w:r w:rsidRPr="00B44FEE">
              <w:rPr>
                <w:rStyle w:val="Hyperlink"/>
                <w:bCs/>
                <w:noProof/>
              </w:rPr>
              <w:t xml:space="preserve">The potential effect of </w:t>
            </w:r>
            <w:r w:rsidRPr="00B44FEE">
              <w:rPr>
                <w:rStyle w:val="Hyperlink"/>
                <w:bCs/>
                <w:i/>
                <w:iCs/>
                <w:noProof/>
              </w:rPr>
              <w:t>de bloedige hand</w:t>
            </w:r>
            <w:r w:rsidRPr="00B44FEE">
              <w:rPr>
                <w:rStyle w:val="Hyperlink"/>
                <w:bCs/>
                <w:noProof/>
              </w:rPr>
              <w:t xml:space="preserve"> in the law of delict</w:t>
            </w:r>
            <w:r>
              <w:rPr>
                <w:noProof/>
                <w:webHidden/>
              </w:rPr>
              <w:tab/>
            </w:r>
            <w:r>
              <w:rPr>
                <w:noProof/>
                <w:webHidden/>
              </w:rPr>
              <w:fldChar w:fldCharType="begin"/>
            </w:r>
            <w:r>
              <w:rPr>
                <w:noProof/>
                <w:webHidden/>
              </w:rPr>
              <w:instrText xml:space="preserve"> PAGEREF _Toc191216303 \h </w:instrText>
            </w:r>
            <w:r>
              <w:rPr>
                <w:noProof/>
                <w:webHidden/>
              </w:rPr>
            </w:r>
            <w:r>
              <w:rPr>
                <w:noProof/>
                <w:webHidden/>
              </w:rPr>
              <w:fldChar w:fldCharType="separate"/>
            </w:r>
            <w:r>
              <w:rPr>
                <w:noProof/>
                <w:webHidden/>
              </w:rPr>
              <w:t>53</w:t>
            </w:r>
            <w:r>
              <w:rPr>
                <w:noProof/>
                <w:webHidden/>
              </w:rPr>
              <w:fldChar w:fldCharType="end"/>
            </w:r>
          </w:hyperlink>
        </w:p>
        <w:p w14:paraId="237C1E7F" w14:textId="06C1C78B" w:rsidR="0079362A" w:rsidRDefault="0079362A">
          <w:pPr>
            <w:pStyle w:val="TOC2"/>
            <w:rPr>
              <w:rFonts w:asciiTheme="minorHAnsi" w:eastAsiaTheme="minorEastAsia" w:hAnsiTheme="minorHAnsi"/>
              <w:noProof/>
              <w:kern w:val="2"/>
              <w:szCs w:val="24"/>
              <w:lang w:eastAsia="en-ZA"/>
              <w14:ligatures w14:val="standardContextual"/>
            </w:rPr>
          </w:pPr>
          <w:hyperlink w:anchor="_Toc191216304" w:history="1">
            <w:r w:rsidRPr="00B44FEE">
              <w:rPr>
                <w:rStyle w:val="Hyperlink"/>
                <w:noProof/>
              </w:rPr>
              <w:t>4.9</w:t>
            </w:r>
            <w:r>
              <w:rPr>
                <w:rFonts w:asciiTheme="minorHAnsi" w:eastAsiaTheme="minorEastAsia" w:hAnsiTheme="minorHAnsi"/>
                <w:noProof/>
                <w:kern w:val="2"/>
                <w:szCs w:val="24"/>
                <w:lang w:eastAsia="en-ZA"/>
                <w14:ligatures w14:val="standardContextual"/>
              </w:rPr>
              <w:tab/>
            </w:r>
            <w:r w:rsidRPr="00B44FEE">
              <w:rPr>
                <w:rStyle w:val="Hyperlink"/>
                <w:noProof/>
              </w:rPr>
              <w:t>Conclusion</w:t>
            </w:r>
            <w:r>
              <w:rPr>
                <w:noProof/>
                <w:webHidden/>
              </w:rPr>
              <w:tab/>
            </w:r>
            <w:r>
              <w:rPr>
                <w:noProof/>
                <w:webHidden/>
              </w:rPr>
              <w:fldChar w:fldCharType="begin"/>
            </w:r>
            <w:r>
              <w:rPr>
                <w:noProof/>
                <w:webHidden/>
              </w:rPr>
              <w:instrText xml:space="preserve"> PAGEREF _Toc191216304 \h </w:instrText>
            </w:r>
            <w:r>
              <w:rPr>
                <w:noProof/>
                <w:webHidden/>
              </w:rPr>
            </w:r>
            <w:r>
              <w:rPr>
                <w:noProof/>
                <w:webHidden/>
              </w:rPr>
              <w:fldChar w:fldCharType="separate"/>
            </w:r>
            <w:r>
              <w:rPr>
                <w:noProof/>
                <w:webHidden/>
              </w:rPr>
              <w:t>55</w:t>
            </w:r>
            <w:r>
              <w:rPr>
                <w:noProof/>
                <w:webHidden/>
              </w:rPr>
              <w:fldChar w:fldCharType="end"/>
            </w:r>
          </w:hyperlink>
        </w:p>
        <w:p w14:paraId="6BAAC0B5" w14:textId="2C5CFCD8" w:rsidR="0079362A" w:rsidRDefault="0079362A">
          <w:pPr>
            <w:pStyle w:val="TOC1"/>
            <w:rPr>
              <w:rFonts w:asciiTheme="minorHAnsi" w:eastAsiaTheme="minorEastAsia" w:hAnsiTheme="minorHAnsi"/>
              <w:b w:val="0"/>
              <w:bCs w:val="0"/>
              <w:kern w:val="2"/>
              <w:szCs w:val="24"/>
              <w:lang w:eastAsia="en-ZA"/>
              <w14:ligatures w14:val="standardContextual"/>
            </w:rPr>
          </w:pPr>
          <w:hyperlink w:anchor="_Toc191216305" w:history="1">
            <w:r w:rsidRPr="00B44FEE">
              <w:rPr>
                <w:rStyle w:val="Hyperlink"/>
              </w:rPr>
              <w:t>CHAPTER V : CONCLUSION AND RECOMMENDATIONS</w:t>
            </w:r>
            <w:r>
              <w:rPr>
                <w:webHidden/>
              </w:rPr>
              <w:tab/>
            </w:r>
            <w:r>
              <w:rPr>
                <w:webHidden/>
              </w:rPr>
              <w:fldChar w:fldCharType="begin"/>
            </w:r>
            <w:r>
              <w:rPr>
                <w:webHidden/>
              </w:rPr>
              <w:instrText xml:space="preserve"> PAGEREF _Toc191216305 \h </w:instrText>
            </w:r>
            <w:r>
              <w:rPr>
                <w:webHidden/>
              </w:rPr>
            </w:r>
            <w:r>
              <w:rPr>
                <w:webHidden/>
              </w:rPr>
              <w:fldChar w:fldCharType="separate"/>
            </w:r>
            <w:r>
              <w:rPr>
                <w:webHidden/>
              </w:rPr>
              <w:t>56</w:t>
            </w:r>
            <w:r>
              <w:rPr>
                <w:webHidden/>
              </w:rPr>
              <w:fldChar w:fldCharType="end"/>
            </w:r>
          </w:hyperlink>
        </w:p>
        <w:p w14:paraId="10AFC00A" w14:textId="0D5E581C" w:rsidR="0079362A" w:rsidRDefault="0079362A">
          <w:pPr>
            <w:pStyle w:val="TOC1"/>
            <w:rPr>
              <w:rFonts w:asciiTheme="minorHAnsi" w:eastAsiaTheme="minorEastAsia" w:hAnsiTheme="minorHAnsi"/>
              <w:b w:val="0"/>
              <w:bCs w:val="0"/>
              <w:kern w:val="2"/>
              <w:szCs w:val="24"/>
              <w:lang w:eastAsia="en-ZA"/>
              <w14:ligatures w14:val="standardContextual"/>
            </w:rPr>
          </w:pPr>
          <w:hyperlink w:anchor="_Toc191216306" w:history="1">
            <w:r w:rsidRPr="00B44FEE">
              <w:rPr>
                <w:rStyle w:val="Hyperlink"/>
              </w:rPr>
              <w:t>BIBLIOGRAPHY</w:t>
            </w:r>
            <w:r>
              <w:rPr>
                <w:webHidden/>
              </w:rPr>
              <w:tab/>
            </w:r>
            <w:r>
              <w:rPr>
                <w:webHidden/>
              </w:rPr>
              <w:fldChar w:fldCharType="begin"/>
            </w:r>
            <w:r>
              <w:rPr>
                <w:webHidden/>
              </w:rPr>
              <w:instrText xml:space="preserve"> PAGEREF _Toc191216306 \h </w:instrText>
            </w:r>
            <w:r>
              <w:rPr>
                <w:webHidden/>
              </w:rPr>
            </w:r>
            <w:r>
              <w:rPr>
                <w:webHidden/>
              </w:rPr>
              <w:fldChar w:fldCharType="separate"/>
            </w:r>
            <w:r>
              <w:rPr>
                <w:webHidden/>
              </w:rPr>
              <w:t>61</w:t>
            </w:r>
            <w:r>
              <w:rPr>
                <w:webHidden/>
              </w:rPr>
              <w:fldChar w:fldCharType="end"/>
            </w:r>
          </w:hyperlink>
        </w:p>
        <w:p w14:paraId="416702D8" w14:textId="33E8D455" w:rsidR="0079362A" w:rsidRDefault="0079362A">
          <w:pPr>
            <w:pStyle w:val="TOC2"/>
            <w:rPr>
              <w:rFonts w:asciiTheme="minorHAnsi" w:eastAsiaTheme="minorEastAsia" w:hAnsiTheme="minorHAnsi"/>
              <w:noProof/>
              <w:kern w:val="2"/>
              <w:szCs w:val="24"/>
              <w:lang w:eastAsia="en-ZA"/>
              <w14:ligatures w14:val="standardContextual"/>
            </w:rPr>
          </w:pPr>
          <w:hyperlink w:anchor="_Toc191216307" w:history="1">
            <w:r w:rsidRPr="00B44FEE">
              <w:rPr>
                <w:rStyle w:val="Hyperlink"/>
                <w:noProof/>
              </w:rPr>
              <w:t>Books</w:t>
            </w:r>
            <w:r>
              <w:rPr>
                <w:noProof/>
                <w:webHidden/>
              </w:rPr>
              <w:tab/>
            </w:r>
            <w:r>
              <w:rPr>
                <w:noProof/>
                <w:webHidden/>
              </w:rPr>
              <w:fldChar w:fldCharType="begin"/>
            </w:r>
            <w:r>
              <w:rPr>
                <w:noProof/>
                <w:webHidden/>
              </w:rPr>
              <w:instrText xml:space="preserve"> PAGEREF _Toc191216307 \h </w:instrText>
            </w:r>
            <w:r>
              <w:rPr>
                <w:noProof/>
                <w:webHidden/>
              </w:rPr>
            </w:r>
            <w:r>
              <w:rPr>
                <w:noProof/>
                <w:webHidden/>
              </w:rPr>
              <w:fldChar w:fldCharType="separate"/>
            </w:r>
            <w:r>
              <w:rPr>
                <w:noProof/>
                <w:webHidden/>
              </w:rPr>
              <w:t>61</w:t>
            </w:r>
            <w:r>
              <w:rPr>
                <w:noProof/>
                <w:webHidden/>
              </w:rPr>
              <w:fldChar w:fldCharType="end"/>
            </w:r>
          </w:hyperlink>
        </w:p>
        <w:p w14:paraId="27E4EFB0" w14:textId="4BB5B459" w:rsidR="0079362A" w:rsidRDefault="0079362A">
          <w:pPr>
            <w:pStyle w:val="TOC2"/>
            <w:rPr>
              <w:rFonts w:asciiTheme="minorHAnsi" w:eastAsiaTheme="minorEastAsia" w:hAnsiTheme="minorHAnsi"/>
              <w:noProof/>
              <w:kern w:val="2"/>
              <w:szCs w:val="24"/>
              <w:lang w:eastAsia="en-ZA"/>
              <w14:ligatures w14:val="standardContextual"/>
            </w:rPr>
          </w:pPr>
          <w:hyperlink w:anchor="_Toc191216308" w:history="1">
            <w:r w:rsidRPr="00B44FEE">
              <w:rPr>
                <w:rStyle w:val="Hyperlink"/>
                <w:noProof/>
              </w:rPr>
              <w:t>Case law</w:t>
            </w:r>
            <w:r>
              <w:rPr>
                <w:noProof/>
                <w:webHidden/>
              </w:rPr>
              <w:tab/>
            </w:r>
            <w:r>
              <w:rPr>
                <w:noProof/>
                <w:webHidden/>
              </w:rPr>
              <w:fldChar w:fldCharType="begin"/>
            </w:r>
            <w:r>
              <w:rPr>
                <w:noProof/>
                <w:webHidden/>
              </w:rPr>
              <w:instrText xml:space="preserve"> PAGEREF _Toc191216308 \h </w:instrText>
            </w:r>
            <w:r>
              <w:rPr>
                <w:noProof/>
                <w:webHidden/>
              </w:rPr>
            </w:r>
            <w:r>
              <w:rPr>
                <w:noProof/>
                <w:webHidden/>
              </w:rPr>
              <w:fldChar w:fldCharType="separate"/>
            </w:r>
            <w:r>
              <w:rPr>
                <w:noProof/>
                <w:webHidden/>
              </w:rPr>
              <w:t>62</w:t>
            </w:r>
            <w:r>
              <w:rPr>
                <w:noProof/>
                <w:webHidden/>
              </w:rPr>
              <w:fldChar w:fldCharType="end"/>
            </w:r>
          </w:hyperlink>
        </w:p>
        <w:p w14:paraId="14CBF6E7" w14:textId="6F1DC374" w:rsidR="0079362A" w:rsidRDefault="0079362A">
          <w:pPr>
            <w:pStyle w:val="TOC2"/>
            <w:rPr>
              <w:rFonts w:asciiTheme="minorHAnsi" w:eastAsiaTheme="minorEastAsia" w:hAnsiTheme="minorHAnsi"/>
              <w:noProof/>
              <w:kern w:val="2"/>
              <w:szCs w:val="24"/>
              <w:lang w:eastAsia="en-ZA"/>
              <w14:ligatures w14:val="standardContextual"/>
            </w:rPr>
          </w:pPr>
          <w:hyperlink w:anchor="_Toc191216309" w:history="1">
            <w:r w:rsidRPr="00B44FEE">
              <w:rPr>
                <w:rStyle w:val="Hyperlink"/>
                <w:noProof/>
              </w:rPr>
              <w:t>Dissertations</w:t>
            </w:r>
            <w:r>
              <w:rPr>
                <w:noProof/>
                <w:webHidden/>
              </w:rPr>
              <w:tab/>
            </w:r>
            <w:r>
              <w:rPr>
                <w:noProof/>
                <w:webHidden/>
              </w:rPr>
              <w:fldChar w:fldCharType="begin"/>
            </w:r>
            <w:r>
              <w:rPr>
                <w:noProof/>
                <w:webHidden/>
              </w:rPr>
              <w:instrText xml:space="preserve"> PAGEREF _Toc191216309 \h </w:instrText>
            </w:r>
            <w:r>
              <w:rPr>
                <w:noProof/>
                <w:webHidden/>
              </w:rPr>
            </w:r>
            <w:r>
              <w:rPr>
                <w:noProof/>
                <w:webHidden/>
              </w:rPr>
              <w:fldChar w:fldCharType="separate"/>
            </w:r>
            <w:r>
              <w:rPr>
                <w:noProof/>
                <w:webHidden/>
              </w:rPr>
              <w:t>63</w:t>
            </w:r>
            <w:r>
              <w:rPr>
                <w:noProof/>
                <w:webHidden/>
              </w:rPr>
              <w:fldChar w:fldCharType="end"/>
            </w:r>
          </w:hyperlink>
        </w:p>
        <w:p w14:paraId="6FCBA5BA" w14:textId="6F3959D1" w:rsidR="0079362A" w:rsidRDefault="0079362A">
          <w:pPr>
            <w:pStyle w:val="TOC2"/>
            <w:rPr>
              <w:rFonts w:asciiTheme="minorHAnsi" w:eastAsiaTheme="minorEastAsia" w:hAnsiTheme="minorHAnsi"/>
              <w:noProof/>
              <w:kern w:val="2"/>
              <w:szCs w:val="24"/>
              <w:lang w:eastAsia="en-ZA"/>
              <w14:ligatures w14:val="standardContextual"/>
            </w:rPr>
          </w:pPr>
          <w:hyperlink w:anchor="_Toc191216310" w:history="1">
            <w:r w:rsidRPr="00B44FEE">
              <w:rPr>
                <w:rStyle w:val="Hyperlink"/>
                <w:noProof/>
              </w:rPr>
              <w:t>Internet sources</w:t>
            </w:r>
            <w:r>
              <w:rPr>
                <w:noProof/>
                <w:webHidden/>
              </w:rPr>
              <w:tab/>
            </w:r>
            <w:r>
              <w:rPr>
                <w:noProof/>
                <w:webHidden/>
              </w:rPr>
              <w:fldChar w:fldCharType="begin"/>
            </w:r>
            <w:r>
              <w:rPr>
                <w:noProof/>
                <w:webHidden/>
              </w:rPr>
              <w:instrText xml:space="preserve"> PAGEREF _Toc191216310 \h </w:instrText>
            </w:r>
            <w:r>
              <w:rPr>
                <w:noProof/>
                <w:webHidden/>
              </w:rPr>
            </w:r>
            <w:r>
              <w:rPr>
                <w:noProof/>
                <w:webHidden/>
              </w:rPr>
              <w:fldChar w:fldCharType="separate"/>
            </w:r>
            <w:r>
              <w:rPr>
                <w:noProof/>
                <w:webHidden/>
              </w:rPr>
              <w:t>63</w:t>
            </w:r>
            <w:r>
              <w:rPr>
                <w:noProof/>
                <w:webHidden/>
              </w:rPr>
              <w:fldChar w:fldCharType="end"/>
            </w:r>
          </w:hyperlink>
        </w:p>
        <w:p w14:paraId="72A1B80B" w14:textId="2E4CB130" w:rsidR="0079362A" w:rsidRDefault="0079362A">
          <w:pPr>
            <w:pStyle w:val="TOC2"/>
            <w:rPr>
              <w:rFonts w:asciiTheme="minorHAnsi" w:eastAsiaTheme="minorEastAsia" w:hAnsiTheme="minorHAnsi"/>
              <w:noProof/>
              <w:kern w:val="2"/>
              <w:szCs w:val="24"/>
              <w:lang w:eastAsia="en-ZA"/>
              <w14:ligatures w14:val="standardContextual"/>
            </w:rPr>
          </w:pPr>
          <w:hyperlink w:anchor="_Toc191216311" w:history="1">
            <w:r w:rsidRPr="00B44FEE">
              <w:rPr>
                <w:rStyle w:val="Hyperlink"/>
                <w:noProof/>
              </w:rPr>
              <w:t>Journal articles</w:t>
            </w:r>
            <w:r>
              <w:rPr>
                <w:noProof/>
                <w:webHidden/>
              </w:rPr>
              <w:tab/>
            </w:r>
            <w:r>
              <w:rPr>
                <w:noProof/>
                <w:webHidden/>
              </w:rPr>
              <w:fldChar w:fldCharType="begin"/>
            </w:r>
            <w:r>
              <w:rPr>
                <w:noProof/>
                <w:webHidden/>
              </w:rPr>
              <w:instrText xml:space="preserve"> PAGEREF _Toc191216311 \h </w:instrText>
            </w:r>
            <w:r>
              <w:rPr>
                <w:noProof/>
                <w:webHidden/>
              </w:rPr>
            </w:r>
            <w:r>
              <w:rPr>
                <w:noProof/>
                <w:webHidden/>
              </w:rPr>
              <w:fldChar w:fldCharType="separate"/>
            </w:r>
            <w:r>
              <w:rPr>
                <w:noProof/>
                <w:webHidden/>
              </w:rPr>
              <w:t>64</w:t>
            </w:r>
            <w:r>
              <w:rPr>
                <w:noProof/>
                <w:webHidden/>
              </w:rPr>
              <w:fldChar w:fldCharType="end"/>
            </w:r>
          </w:hyperlink>
        </w:p>
        <w:p w14:paraId="411E785B" w14:textId="21A5D340" w:rsidR="0079362A" w:rsidRDefault="0079362A">
          <w:pPr>
            <w:pStyle w:val="TOC2"/>
            <w:rPr>
              <w:rFonts w:asciiTheme="minorHAnsi" w:eastAsiaTheme="minorEastAsia" w:hAnsiTheme="minorHAnsi"/>
              <w:noProof/>
              <w:kern w:val="2"/>
              <w:szCs w:val="24"/>
              <w:lang w:eastAsia="en-ZA"/>
              <w14:ligatures w14:val="standardContextual"/>
            </w:rPr>
          </w:pPr>
          <w:hyperlink w:anchor="_Toc191216312" w:history="1">
            <w:r w:rsidRPr="00B44FEE">
              <w:rPr>
                <w:rStyle w:val="Hyperlink"/>
                <w:noProof/>
              </w:rPr>
              <w:t>Legislation</w:t>
            </w:r>
            <w:r>
              <w:rPr>
                <w:noProof/>
                <w:webHidden/>
              </w:rPr>
              <w:tab/>
            </w:r>
            <w:r>
              <w:rPr>
                <w:noProof/>
                <w:webHidden/>
              </w:rPr>
              <w:fldChar w:fldCharType="begin"/>
            </w:r>
            <w:r>
              <w:rPr>
                <w:noProof/>
                <w:webHidden/>
              </w:rPr>
              <w:instrText xml:space="preserve"> PAGEREF _Toc191216312 \h </w:instrText>
            </w:r>
            <w:r>
              <w:rPr>
                <w:noProof/>
                <w:webHidden/>
              </w:rPr>
            </w:r>
            <w:r>
              <w:rPr>
                <w:noProof/>
                <w:webHidden/>
              </w:rPr>
              <w:fldChar w:fldCharType="separate"/>
            </w:r>
            <w:r>
              <w:rPr>
                <w:noProof/>
                <w:webHidden/>
              </w:rPr>
              <w:t>66</w:t>
            </w:r>
            <w:r>
              <w:rPr>
                <w:noProof/>
                <w:webHidden/>
              </w:rPr>
              <w:fldChar w:fldCharType="end"/>
            </w:r>
          </w:hyperlink>
        </w:p>
        <w:p w14:paraId="7F49E544" w14:textId="48FC065C" w:rsidR="00497C55" w:rsidRDefault="00497C55">
          <w:r>
            <w:rPr>
              <w:b/>
              <w:bCs/>
              <w:noProof/>
            </w:rPr>
            <w:fldChar w:fldCharType="end"/>
          </w:r>
        </w:p>
      </w:sdtContent>
    </w:sdt>
    <w:p w14:paraId="49561534" w14:textId="77777777" w:rsidR="00497C55" w:rsidRDefault="00497C55" w:rsidP="00C5627E">
      <w:pPr>
        <w:pStyle w:val="Heading1"/>
        <w:sectPr w:rsidR="00497C55" w:rsidSect="007B2F57">
          <w:footerReference w:type="default" r:id="rId8"/>
          <w:footerReference w:type="first" r:id="rId9"/>
          <w:pgSz w:w="11906" w:h="16838"/>
          <w:pgMar w:top="1134" w:right="1134" w:bottom="1134" w:left="1134" w:header="708" w:footer="708" w:gutter="0"/>
          <w:pgNumType w:start="1"/>
          <w:cols w:space="708"/>
          <w:titlePg/>
          <w:docGrid w:linePitch="360"/>
        </w:sectPr>
      </w:pPr>
    </w:p>
    <w:p w14:paraId="578D75E5" w14:textId="68F0BBEA" w:rsidR="004A36CD" w:rsidRDefault="002977D8" w:rsidP="00C5627E">
      <w:pPr>
        <w:pStyle w:val="Heading1"/>
      </w:pPr>
      <w:bookmarkStart w:id="1" w:name="_Toc191216249"/>
      <w:r w:rsidRPr="00D61DCF">
        <w:lastRenderedPageBreak/>
        <w:t>CHAPTER I : INTRODUCTION</w:t>
      </w:r>
      <w:bookmarkEnd w:id="1"/>
    </w:p>
    <w:p w14:paraId="480833F9" w14:textId="0807DBB5" w:rsidR="00382A35" w:rsidRPr="00977269" w:rsidRDefault="00092A3A" w:rsidP="00C5627E">
      <w:pPr>
        <w:pStyle w:val="Heading2"/>
        <w:numPr>
          <w:ilvl w:val="1"/>
          <w:numId w:val="26"/>
        </w:numPr>
        <w:ind w:left="567" w:hanging="567"/>
        <w:rPr>
          <w:b w:val="0"/>
          <w:bCs/>
        </w:rPr>
      </w:pPr>
      <w:bookmarkStart w:id="2" w:name="_Toc191216250"/>
      <w:r w:rsidRPr="00977269">
        <w:rPr>
          <w:bCs/>
        </w:rPr>
        <w:t>Overview</w:t>
      </w:r>
      <w:bookmarkEnd w:id="2"/>
    </w:p>
    <w:p w14:paraId="4E82AAC0" w14:textId="0A845688" w:rsidR="00162144" w:rsidRPr="00162144" w:rsidRDefault="00162144" w:rsidP="00C5627E">
      <w:pPr>
        <w:rPr>
          <w:rFonts w:cs="Arial"/>
          <w:szCs w:val="24"/>
        </w:rPr>
      </w:pPr>
      <w:r w:rsidRPr="00162144">
        <w:rPr>
          <w:rFonts w:cs="Arial"/>
          <w:szCs w:val="24"/>
        </w:rPr>
        <w:t>Murder, and in particular family slaying, has reached unprecedented levels in South Africa. These acts are presumably fuelled by a variety of factors, ranging from adverse economic conditions, substance dependency and drug abuse,</w:t>
      </w:r>
      <w:r w:rsidRPr="00D61DCF">
        <w:rPr>
          <w:rStyle w:val="FootnoteReference"/>
          <w:rFonts w:cs="Arial"/>
          <w:szCs w:val="24"/>
        </w:rPr>
        <w:footnoteReference w:id="1"/>
      </w:r>
      <w:r w:rsidRPr="00162144">
        <w:rPr>
          <w:rFonts w:cs="Arial"/>
          <w:szCs w:val="24"/>
        </w:rPr>
        <w:t xml:space="preserve"> to greed and revenge.</w:t>
      </w:r>
      <w:r w:rsidRPr="00D61DCF">
        <w:rPr>
          <w:rStyle w:val="FootnoteReference"/>
          <w:rFonts w:cs="Arial"/>
          <w:szCs w:val="24"/>
        </w:rPr>
        <w:footnoteReference w:id="2"/>
      </w:r>
      <w:r w:rsidRPr="00162144">
        <w:rPr>
          <w:rFonts w:cs="Arial"/>
          <w:szCs w:val="24"/>
        </w:rPr>
        <w:t xml:space="preserve"> </w:t>
      </w:r>
      <w:r w:rsidR="0004547F" w:rsidRPr="00162144">
        <w:rPr>
          <w:rFonts w:cs="Arial"/>
          <w:szCs w:val="24"/>
        </w:rPr>
        <w:t>A representative of the National Prosecuting Authority</w:t>
      </w:r>
      <w:r w:rsidR="00D13124">
        <w:rPr>
          <w:rStyle w:val="FootnoteReference"/>
          <w:rFonts w:cs="Arial"/>
          <w:szCs w:val="24"/>
        </w:rPr>
        <w:footnoteReference w:id="3"/>
      </w:r>
      <w:r w:rsidR="0004547F" w:rsidRPr="00162144">
        <w:rPr>
          <w:rFonts w:cs="Arial"/>
          <w:szCs w:val="24"/>
        </w:rPr>
        <w:t xml:space="preserve"> recently stated that murder for benefit is “getting out of control”</w:t>
      </w:r>
      <w:r w:rsidR="00076EE5">
        <w:rPr>
          <w:rFonts w:cs="Arial"/>
          <w:szCs w:val="24"/>
        </w:rPr>
        <w:t>,</w:t>
      </w:r>
      <w:r w:rsidR="0004547F">
        <w:rPr>
          <w:rFonts w:cs="Arial"/>
          <w:szCs w:val="24"/>
        </w:rPr>
        <w:t xml:space="preserve"> </w:t>
      </w:r>
      <w:r w:rsidR="00076EE5">
        <w:rPr>
          <w:rFonts w:cs="Arial"/>
          <w:szCs w:val="24"/>
        </w:rPr>
        <w:t>and</w:t>
      </w:r>
      <w:r w:rsidR="00A85EDD">
        <w:rPr>
          <w:rFonts w:cs="Arial"/>
          <w:szCs w:val="24"/>
        </w:rPr>
        <w:t xml:space="preserve"> it</w:t>
      </w:r>
      <w:r w:rsidRPr="00162144">
        <w:rPr>
          <w:rFonts w:cs="Arial"/>
          <w:szCs w:val="24"/>
        </w:rPr>
        <w:t xml:space="preserve"> </w:t>
      </w:r>
      <w:r w:rsidR="0004547F">
        <w:rPr>
          <w:rFonts w:cs="Arial"/>
          <w:szCs w:val="24"/>
        </w:rPr>
        <w:t xml:space="preserve">is thus understandable </w:t>
      </w:r>
      <w:r w:rsidRPr="00162144">
        <w:rPr>
          <w:rFonts w:cs="Arial"/>
          <w:szCs w:val="24"/>
        </w:rPr>
        <w:t xml:space="preserve">that these actions leave the community </w:t>
      </w:r>
      <w:r w:rsidR="0004547F" w:rsidRPr="00162144">
        <w:rPr>
          <w:rFonts w:cs="Arial"/>
          <w:szCs w:val="24"/>
        </w:rPr>
        <w:t>speechless</w:t>
      </w:r>
      <w:r w:rsidR="0004547F">
        <w:rPr>
          <w:rFonts w:cs="Arial"/>
          <w:szCs w:val="24"/>
        </w:rPr>
        <w:t xml:space="preserve"> and shocked</w:t>
      </w:r>
      <w:r w:rsidRPr="00162144">
        <w:rPr>
          <w:rFonts w:cs="Arial"/>
          <w:szCs w:val="24"/>
        </w:rPr>
        <w:t>.</w:t>
      </w:r>
      <w:r>
        <w:rPr>
          <w:rStyle w:val="FootnoteReference"/>
          <w:rFonts w:cs="Arial"/>
          <w:szCs w:val="24"/>
        </w:rPr>
        <w:footnoteReference w:id="4"/>
      </w:r>
    </w:p>
    <w:p w14:paraId="22F57C39" w14:textId="28ABA488" w:rsidR="00AD6016" w:rsidRDefault="00162144" w:rsidP="00C5627E">
      <w:pPr>
        <w:rPr>
          <w:rFonts w:cs="Arial"/>
          <w:szCs w:val="24"/>
        </w:rPr>
      </w:pPr>
      <w:r w:rsidRPr="00162144">
        <w:rPr>
          <w:rFonts w:cs="Arial"/>
          <w:szCs w:val="24"/>
        </w:rPr>
        <w:t xml:space="preserve">A few of the cases that have enjoyed wide media coverage are that of Talib Peterson whose wife was convicted for his murder (along with her accomplices); Anni Dewani whose husband </w:t>
      </w:r>
      <w:r w:rsidR="008E4205">
        <w:rPr>
          <w:rFonts w:cs="Arial"/>
          <w:szCs w:val="24"/>
        </w:rPr>
        <w:t xml:space="preserve">allegedly </w:t>
      </w:r>
      <w:r w:rsidRPr="00162144">
        <w:rPr>
          <w:rFonts w:cs="Arial"/>
          <w:szCs w:val="24"/>
        </w:rPr>
        <w:t>orchestrated that she be kidnapped and murdered on their honeymoon; Reveren</w:t>
      </w:r>
      <w:r w:rsidR="006605E2">
        <w:rPr>
          <w:rFonts w:cs="Arial"/>
          <w:szCs w:val="24"/>
        </w:rPr>
        <w:t>d</w:t>
      </w:r>
      <w:r w:rsidRPr="00162144">
        <w:rPr>
          <w:rFonts w:cs="Arial"/>
          <w:szCs w:val="24"/>
        </w:rPr>
        <w:t xml:space="preserve"> Brits who was killed, and Mrs Brits who was gruesomely attacked by their adoptive son; the so-called Modimolle Monster, who assaulted, mutilated and raped his ex-wife and killed her son; the Gri</w:t>
      </w:r>
      <w:r w:rsidR="004A6DDE">
        <w:rPr>
          <w:rFonts w:cs="Arial"/>
          <w:szCs w:val="24"/>
        </w:rPr>
        <w:t>e</w:t>
      </w:r>
      <w:r w:rsidRPr="00162144">
        <w:rPr>
          <w:rFonts w:cs="Arial"/>
          <w:szCs w:val="24"/>
        </w:rPr>
        <w:t>kwastad murders where a minor shot and killed his parents and his sister, allegedly to hide the fact that he had raped his sister;</w:t>
      </w:r>
      <w:r w:rsidRPr="00D61DCF">
        <w:rPr>
          <w:rStyle w:val="FootnoteReference"/>
          <w:rFonts w:cs="Arial"/>
          <w:szCs w:val="24"/>
        </w:rPr>
        <w:footnoteReference w:id="5"/>
      </w:r>
      <w:r w:rsidRPr="00162144">
        <w:rPr>
          <w:rFonts w:cs="Arial"/>
          <w:szCs w:val="24"/>
        </w:rPr>
        <w:t xml:space="preserve"> </w:t>
      </w:r>
      <w:r w:rsidR="00AF617A">
        <w:rPr>
          <w:rFonts w:cs="Arial"/>
          <w:szCs w:val="24"/>
        </w:rPr>
        <w:t xml:space="preserve">Mr </w:t>
      </w:r>
      <w:r w:rsidR="00AF617A" w:rsidRPr="00162144">
        <w:rPr>
          <w:rFonts w:cs="Arial"/>
          <w:szCs w:val="24"/>
        </w:rPr>
        <w:t>and Mrs Lotter whose children respectively strangled and stabbed them to death after attempts to poison Mr Lotter were unsuccessful;</w:t>
      </w:r>
      <w:r w:rsidR="00AF617A">
        <w:rPr>
          <w:rStyle w:val="FootnoteReference"/>
          <w:rFonts w:cs="Arial"/>
          <w:szCs w:val="24"/>
        </w:rPr>
        <w:footnoteReference w:id="6"/>
      </w:r>
      <w:r w:rsidR="00AF617A">
        <w:rPr>
          <w:rFonts w:cs="Arial"/>
          <w:szCs w:val="24"/>
        </w:rPr>
        <w:t xml:space="preserve"> </w:t>
      </w:r>
      <w:r w:rsidRPr="00162144">
        <w:rPr>
          <w:rFonts w:cs="Arial"/>
          <w:szCs w:val="24"/>
        </w:rPr>
        <w:t>the so-called axe-murderer of Stellenbosch who brutally slaughtered three of his family members and seriously injured another;</w:t>
      </w:r>
      <w:r>
        <w:rPr>
          <w:rStyle w:val="FootnoteReference"/>
          <w:rFonts w:cs="Arial"/>
          <w:szCs w:val="24"/>
        </w:rPr>
        <w:footnoteReference w:id="7"/>
      </w:r>
      <w:r w:rsidRPr="00162144">
        <w:rPr>
          <w:rFonts w:cs="Arial"/>
          <w:szCs w:val="24"/>
        </w:rPr>
        <w:t xml:space="preserve"> Mrs Maqubela who was accused of murdering her husband by suffocating him with clingwrap, thereafter leaving his body in a heated room allegedly to increase the rate of decomposition;</w:t>
      </w:r>
      <w:r>
        <w:rPr>
          <w:rStyle w:val="FootnoteReference"/>
          <w:rFonts w:cs="Arial"/>
          <w:szCs w:val="24"/>
        </w:rPr>
        <w:footnoteReference w:id="8"/>
      </w:r>
      <w:r w:rsidRPr="00162144">
        <w:rPr>
          <w:rFonts w:cs="Arial"/>
          <w:szCs w:val="24"/>
        </w:rPr>
        <w:t xml:space="preserve"> and Reveren</w:t>
      </w:r>
      <w:r w:rsidR="006605E2">
        <w:rPr>
          <w:rFonts w:cs="Arial"/>
          <w:szCs w:val="24"/>
        </w:rPr>
        <w:t>d</w:t>
      </w:r>
      <w:r w:rsidRPr="00162144">
        <w:rPr>
          <w:rFonts w:cs="Arial"/>
          <w:szCs w:val="24"/>
        </w:rPr>
        <w:t xml:space="preserve"> Liezel de Jager, whose husband allegedly beat </w:t>
      </w:r>
      <w:r w:rsidR="006605E2">
        <w:rPr>
          <w:rFonts w:cs="Arial"/>
          <w:szCs w:val="24"/>
        </w:rPr>
        <w:t xml:space="preserve">her </w:t>
      </w:r>
      <w:r w:rsidRPr="00162144">
        <w:rPr>
          <w:rFonts w:cs="Arial"/>
          <w:szCs w:val="24"/>
        </w:rPr>
        <w:t>and cut her throat.</w:t>
      </w:r>
      <w:r>
        <w:rPr>
          <w:rStyle w:val="FootnoteReference"/>
          <w:rFonts w:cs="Arial"/>
          <w:szCs w:val="24"/>
        </w:rPr>
        <w:footnoteReference w:id="9"/>
      </w:r>
      <w:r w:rsidRPr="00162144">
        <w:rPr>
          <w:rFonts w:cs="Arial"/>
          <w:szCs w:val="24"/>
        </w:rPr>
        <w:t xml:space="preserve"> Cases that did not receive </w:t>
      </w:r>
      <w:r w:rsidR="00D13124">
        <w:rPr>
          <w:rFonts w:cs="Arial"/>
          <w:szCs w:val="24"/>
        </w:rPr>
        <w:t xml:space="preserve">as much </w:t>
      </w:r>
      <w:r w:rsidRPr="00162144">
        <w:rPr>
          <w:rFonts w:cs="Arial"/>
          <w:szCs w:val="24"/>
        </w:rPr>
        <w:t xml:space="preserve">media attention, </w:t>
      </w:r>
      <w:r w:rsidR="005358F7">
        <w:rPr>
          <w:rFonts w:cs="Arial"/>
          <w:szCs w:val="24"/>
        </w:rPr>
        <w:t xml:space="preserve">but that were just as brutal, </w:t>
      </w:r>
      <w:r w:rsidRPr="00162144">
        <w:rPr>
          <w:rFonts w:cs="Arial"/>
          <w:szCs w:val="24"/>
        </w:rPr>
        <w:t xml:space="preserve">include the case of Steinmetz </w:t>
      </w:r>
      <w:r w:rsidR="006605E2">
        <w:rPr>
          <w:rFonts w:cs="Arial"/>
          <w:szCs w:val="24"/>
        </w:rPr>
        <w:t>whose</w:t>
      </w:r>
      <w:r w:rsidRPr="00162144">
        <w:rPr>
          <w:rFonts w:cs="Arial"/>
          <w:szCs w:val="24"/>
        </w:rPr>
        <w:t xml:space="preserve"> foul mood made him kill his wife during dinner; Viljoen who murdered his wife in a “barbaric” </w:t>
      </w:r>
      <w:r w:rsidRPr="00162144">
        <w:rPr>
          <w:rFonts w:cs="Arial"/>
          <w:szCs w:val="24"/>
        </w:rPr>
        <w:lastRenderedPageBreak/>
        <w:t>manner; Van der Westhuizen who executed his three frail children in their sleep; and Leslie Abrahams who beat his mother to death and shot his father three times.</w:t>
      </w:r>
      <w:r>
        <w:rPr>
          <w:rStyle w:val="FootnoteReference"/>
          <w:rFonts w:cs="Arial"/>
          <w:szCs w:val="24"/>
        </w:rPr>
        <w:footnoteReference w:id="10"/>
      </w:r>
      <w:r w:rsidRPr="00162144">
        <w:rPr>
          <w:rFonts w:cs="Arial"/>
          <w:szCs w:val="24"/>
        </w:rPr>
        <w:t xml:space="preserve"> </w:t>
      </w:r>
    </w:p>
    <w:p w14:paraId="0DA4A154" w14:textId="1FD829A8" w:rsidR="00DC6262" w:rsidRDefault="00B82366" w:rsidP="00DC6262">
      <w:pPr>
        <w:rPr>
          <w:rFonts w:cs="Arial"/>
          <w:szCs w:val="24"/>
        </w:rPr>
      </w:pPr>
      <w:r>
        <w:rPr>
          <w:rFonts w:cs="Arial"/>
          <w:szCs w:val="24"/>
        </w:rPr>
        <w:t xml:space="preserve">Reading about these brutal attacks </w:t>
      </w:r>
      <w:r w:rsidR="00A0301B">
        <w:rPr>
          <w:rFonts w:cs="Arial"/>
          <w:szCs w:val="24"/>
        </w:rPr>
        <w:t xml:space="preserve">invariably </w:t>
      </w:r>
      <w:r>
        <w:rPr>
          <w:rFonts w:cs="Arial"/>
          <w:szCs w:val="24"/>
        </w:rPr>
        <w:t>fill</w:t>
      </w:r>
      <w:r w:rsidR="00A0301B">
        <w:rPr>
          <w:rFonts w:cs="Arial"/>
          <w:szCs w:val="24"/>
        </w:rPr>
        <w:t>s</w:t>
      </w:r>
      <w:r>
        <w:rPr>
          <w:rFonts w:cs="Arial"/>
          <w:szCs w:val="24"/>
        </w:rPr>
        <w:t xml:space="preserve"> the reader with disgust and leave</w:t>
      </w:r>
      <w:r w:rsidR="00A0301B">
        <w:rPr>
          <w:rFonts w:cs="Arial"/>
          <w:szCs w:val="24"/>
        </w:rPr>
        <w:t>s</w:t>
      </w:r>
      <w:r>
        <w:rPr>
          <w:rFonts w:cs="Arial"/>
          <w:szCs w:val="24"/>
        </w:rPr>
        <w:t xml:space="preserve"> a stale taste in one’s mouth. </w:t>
      </w:r>
      <w:r w:rsidR="00A0301B">
        <w:rPr>
          <w:rFonts w:cs="Arial"/>
          <w:szCs w:val="24"/>
        </w:rPr>
        <w:t xml:space="preserve">It is near impossible to fathom a world in which these acts should go unpunished. </w:t>
      </w:r>
      <w:r w:rsidR="00D13124">
        <w:rPr>
          <w:rFonts w:cs="Arial"/>
          <w:szCs w:val="24"/>
        </w:rPr>
        <w:t>There is an expe</w:t>
      </w:r>
      <w:r w:rsidR="007E06D5">
        <w:rPr>
          <w:rFonts w:cs="Arial"/>
          <w:szCs w:val="24"/>
        </w:rPr>
        <w:t>ctation</w:t>
      </w:r>
      <w:r w:rsidR="00D13124">
        <w:rPr>
          <w:rFonts w:cs="Arial"/>
          <w:szCs w:val="24"/>
        </w:rPr>
        <w:t xml:space="preserve"> that each </w:t>
      </w:r>
      <w:r w:rsidR="00A0301B">
        <w:rPr>
          <w:rFonts w:cs="Arial"/>
          <w:szCs w:val="24"/>
        </w:rPr>
        <w:t>murder</w:t>
      </w:r>
      <w:r w:rsidR="00D13124">
        <w:rPr>
          <w:rFonts w:cs="Arial"/>
          <w:szCs w:val="24"/>
        </w:rPr>
        <w:t xml:space="preserve"> must be properly investigated</w:t>
      </w:r>
      <w:r w:rsidR="009A2E37">
        <w:rPr>
          <w:rFonts w:cs="Arial"/>
          <w:szCs w:val="24"/>
        </w:rPr>
        <w:t xml:space="preserve">, </w:t>
      </w:r>
      <w:r w:rsidR="00D1476F">
        <w:rPr>
          <w:rFonts w:cs="Arial"/>
          <w:szCs w:val="24"/>
        </w:rPr>
        <w:t>ultimately</w:t>
      </w:r>
      <w:r w:rsidR="009A2E37">
        <w:rPr>
          <w:rFonts w:cs="Arial"/>
          <w:szCs w:val="24"/>
        </w:rPr>
        <w:t xml:space="preserve"> bringing the </w:t>
      </w:r>
      <w:r w:rsidR="007E06D5">
        <w:rPr>
          <w:rFonts w:cs="Arial"/>
          <w:szCs w:val="24"/>
        </w:rPr>
        <w:t xml:space="preserve">responsible </w:t>
      </w:r>
      <w:r w:rsidR="00D13124">
        <w:rPr>
          <w:rFonts w:cs="Arial"/>
          <w:szCs w:val="24"/>
        </w:rPr>
        <w:t>party or parties to justice</w:t>
      </w:r>
      <w:r w:rsidR="00A0301B">
        <w:rPr>
          <w:rFonts w:cs="Arial"/>
          <w:szCs w:val="24"/>
        </w:rPr>
        <w:t xml:space="preserve">. </w:t>
      </w:r>
      <w:r>
        <w:rPr>
          <w:rFonts w:cs="Arial"/>
          <w:szCs w:val="24"/>
        </w:rPr>
        <w:t xml:space="preserve">In addition to the criminal </w:t>
      </w:r>
      <w:r w:rsidR="004C493B">
        <w:rPr>
          <w:rFonts w:cs="Arial"/>
          <w:szCs w:val="24"/>
        </w:rPr>
        <w:t>consequences</w:t>
      </w:r>
      <w:r w:rsidR="00DC6262">
        <w:rPr>
          <w:rFonts w:cs="Arial"/>
          <w:szCs w:val="24"/>
        </w:rPr>
        <w:t>,</w:t>
      </w:r>
      <w:r>
        <w:rPr>
          <w:rFonts w:cs="Arial"/>
          <w:szCs w:val="24"/>
        </w:rPr>
        <w:t xml:space="preserve"> </w:t>
      </w:r>
      <w:r w:rsidR="009A2E37">
        <w:rPr>
          <w:rFonts w:cs="Arial"/>
          <w:szCs w:val="24"/>
        </w:rPr>
        <w:t xml:space="preserve">these </w:t>
      </w:r>
      <w:r>
        <w:rPr>
          <w:rFonts w:cs="Arial"/>
          <w:szCs w:val="24"/>
        </w:rPr>
        <w:t xml:space="preserve">barbaric </w:t>
      </w:r>
      <w:r w:rsidR="009A2E37">
        <w:rPr>
          <w:rFonts w:cs="Arial"/>
          <w:szCs w:val="24"/>
        </w:rPr>
        <w:t>acts</w:t>
      </w:r>
      <w:r w:rsidR="00DC6262">
        <w:rPr>
          <w:rFonts w:cs="Arial"/>
          <w:szCs w:val="24"/>
        </w:rPr>
        <w:t xml:space="preserve"> prompt certain civil law consequences,</w:t>
      </w:r>
      <w:r w:rsidR="00A0301B">
        <w:rPr>
          <w:rFonts w:cs="Arial"/>
          <w:szCs w:val="24"/>
        </w:rPr>
        <w:t xml:space="preserve"> particular</w:t>
      </w:r>
      <w:r w:rsidR="00DC6262">
        <w:rPr>
          <w:rFonts w:cs="Arial"/>
          <w:szCs w:val="24"/>
        </w:rPr>
        <w:t>ly in the</w:t>
      </w:r>
      <w:r w:rsidR="00A0301B">
        <w:rPr>
          <w:rFonts w:cs="Arial"/>
          <w:szCs w:val="24"/>
        </w:rPr>
        <w:t xml:space="preserve"> law of succession.</w:t>
      </w:r>
      <w:r w:rsidR="00D1476F">
        <w:rPr>
          <w:rFonts w:cs="Arial"/>
          <w:szCs w:val="24"/>
        </w:rPr>
        <w:t xml:space="preserve"> Proper care should be taken to not conflate the criminal and civil spheres of law – the law of succession comes into operation at the death of the deceased, irrespective of the manner in which he died.</w:t>
      </w:r>
    </w:p>
    <w:p w14:paraId="18323853" w14:textId="47BA46CD" w:rsidR="00162144" w:rsidRPr="00162144" w:rsidRDefault="00D1476F" w:rsidP="00C5627E">
      <w:pPr>
        <w:rPr>
          <w:rFonts w:cs="Arial"/>
          <w:szCs w:val="24"/>
        </w:rPr>
      </w:pPr>
      <w:r>
        <w:rPr>
          <w:rFonts w:cs="Arial"/>
          <w:szCs w:val="24"/>
        </w:rPr>
        <w:t xml:space="preserve">In keeping with the above, </w:t>
      </w:r>
      <w:r w:rsidR="009A2E37">
        <w:rPr>
          <w:rFonts w:cs="Arial"/>
          <w:szCs w:val="24"/>
        </w:rPr>
        <w:t>t</w:t>
      </w:r>
      <w:r w:rsidR="00162144" w:rsidRPr="00162144">
        <w:rPr>
          <w:rFonts w:cs="Arial"/>
          <w:szCs w:val="24"/>
        </w:rPr>
        <w:t>he law of succession</w:t>
      </w:r>
      <w:r w:rsidR="009A2E37">
        <w:rPr>
          <w:rFonts w:cs="Arial"/>
          <w:szCs w:val="24"/>
        </w:rPr>
        <w:t xml:space="preserve"> itself </w:t>
      </w:r>
      <w:r w:rsidR="006A7ADF">
        <w:rPr>
          <w:rFonts w:cs="Arial"/>
          <w:szCs w:val="24"/>
        </w:rPr>
        <w:t xml:space="preserve">is also </w:t>
      </w:r>
      <w:r w:rsidR="009A2E37">
        <w:rPr>
          <w:rFonts w:cs="Arial"/>
          <w:szCs w:val="24"/>
        </w:rPr>
        <w:t>tasked with taking proper</w:t>
      </w:r>
      <w:r w:rsidR="00162144" w:rsidRPr="00162144">
        <w:rPr>
          <w:rFonts w:cs="Arial"/>
          <w:szCs w:val="24"/>
        </w:rPr>
        <w:t xml:space="preserve"> cognisance of conduct which may be deemed shameful, loathsome or even “vile”.</w:t>
      </w:r>
      <w:r w:rsidR="00162144" w:rsidRPr="00D61DCF">
        <w:rPr>
          <w:rStyle w:val="FootnoteReference"/>
          <w:rFonts w:cs="Arial"/>
          <w:szCs w:val="24"/>
        </w:rPr>
        <w:footnoteReference w:id="11"/>
      </w:r>
      <w:r w:rsidR="00162144" w:rsidRPr="00162144">
        <w:rPr>
          <w:rFonts w:cs="Arial"/>
          <w:szCs w:val="24"/>
        </w:rPr>
        <w:t xml:space="preserve"> As time progresses and the views on what constitutes reprehensible conduct changes, the community tends to view certain behaviour less critically</w:t>
      </w:r>
      <w:r w:rsidR="00F827D4">
        <w:rPr>
          <w:rFonts w:cs="Arial"/>
          <w:szCs w:val="24"/>
        </w:rPr>
        <w:t>.</w:t>
      </w:r>
      <w:r w:rsidR="00F827D4">
        <w:rPr>
          <w:rStyle w:val="FootnoteReference"/>
          <w:rFonts w:cs="Arial"/>
          <w:szCs w:val="24"/>
        </w:rPr>
        <w:footnoteReference w:id="12"/>
      </w:r>
      <w:r w:rsidR="00FB7F3A">
        <w:rPr>
          <w:rFonts w:cs="Arial"/>
          <w:szCs w:val="24"/>
        </w:rPr>
        <w:t xml:space="preserve"> </w:t>
      </w:r>
      <w:r w:rsidR="00162144" w:rsidRPr="00162144">
        <w:rPr>
          <w:rFonts w:cs="Arial"/>
          <w:szCs w:val="24"/>
        </w:rPr>
        <w:t>Behaviour that was once considered to be questionable, could now be viewed socially acceptable</w:t>
      </w:r>
      <w:r w:rsidR="000870B0">
        <w:rPr>
          <w:rFonts w:cs="Arial"/>
          <w:szCs w:val="24"/>
        </w:rPr>
        <w:t>, resulting in certain grounds of disqualification b</w:t>
      </w:r>
      <w:r w:rsidR="009A2E37">
        <w:rPr>
          <w:rFonts w:cs="Arial"/>
          <w:szCs w:val="24"/>
        </w:rPr>
        <w:t>ecoming</w:t>
      </w:r>
      <w:r w:rsidR="000870B0">
        <w:rPr>
          <w:rFonts w:cs="Arial"/>
          <w:szCs w:val="24"/>
        </w:rPr>
        <w:t xml:space="preserve"> obsolete</w:t>
      </w:r>
      <w:r w:rsidR="00162144" w:rsidRPr="00162144">
        <w:rPr>
          <w:rFonts w:cs="Arial"/>
          <w:szCs w:val="24"/>
        </w:rPr>
        <w:t>.</w:t>
      </w:r>
      <w:r w:rsidR="00FD65DC">
        <w:rPr>
          <w:rFonts w:cs="Arial"/>
          <w:szCs w:val="24"/>
        </w:rPr>
        <w:t xml:space="preserve"> Notwithstanding the aforesaid, c</w:t>
      </w:r>
      <w:r w:rsidR="00FD65DC" w:rsidRPr="00162144">
        <w:rPr>
          <w:rFonts w:cs="Arial"/>
          <w:szCs w:val="24"/>
        </w:rPr>
        <w:t>ertain behaviour</w:t>
      </w:r>
      <w:r w:rsidR="00FD65DC">
        <w:rPr>
          <w:rFonts w:cs="Arial"/>
          <w:szCs w:val="24"/>
        </w:rPr>
        <w:t>s</w:t>
      </w:r>
      <w:r w:rsidR="00FD65DC" w:rsidRPr="00162144">
        <w:rPr>
          <w:rFonts w:cs="Arial"/>
          <w:szCs w:val="24"/>
        </w:rPr>
        <w:t xml:space="preserve"> and conduct </w:t>
      </w:r>
      <w:r w:rsidR="00FD65DC">
        <w:rPr>
          <w:rFonts w:cs="Arial"/>
          <w:szCs w:val="24"/>
        </w:rPr>
        <w:t xml:space="preserve">will </w:t>
      </w:r>
      <w:r w:rsidR="00FD65DC" w:rsidRPr="00162144">
        <w:rPr>
          <w:rFonts w:cs="Arial"/>
          <w:szCs w:val="24"/>
        </w:rPr>
        <w:t>remain shameful and unacceptable</w:t>
      </w:r>
      <w:r w:rsidR="00162144" w:rsidRPr="00162144">
        <w:rPr>
          <w:rFonts w:cs="Arial"/>
          <w:szCs w:val="24"/>
        </w:rPr>
        <w:t>.</w:t>
      </w:r>
      <w:r w:rsidR="00162144" w:rsidRPr="00D61DCF">
        <w:rPr>
          <w:rStyle w:val="FootnoteReference"/>
          <w:rFonts w:cs="Arial"/>
          <w:szCs w:val="24"/>
        </w:rPr>
        <w:footnoteReference w:id="13"/>
      </w:r>
    </w:p>
    <w:p w14:paraId="7F82A17E" w14:textId="6CEA297D" w:rsidR="003E690B" w:rsidRPr="00131BB8" w:rsidRDefault="00C04F40" w:rsidP="00C5627E">
      <w:r>
        <w:rPr>
          <w:rFonts w:cs="Arial"/>
          <w:szCs w:val="24"/>
        </w:rPr>
        <w:t>T</w:t>
      </w:r>
      <w:r w:rsidR="003E690B">
        <w:rPr>
          <w:rFonts w:cs="Arial"/>
          <w:szCs w:val="24"/>
        </w:rPr>
        <w:t>he</w:t>
      </w:r>
      <w:r w:rsidR="003E690B" w:rsidRPr="00993C2E">
        <w:rPr>
          <w:rFonts w:cs="Arial"/>
          <w:szCs w:val="24"/>
        </w:rPr>
        <w:t xml:space="preserve"> </w:t>
      </w:r>
      <w:r>
        <w:rPr>
          <w:rFonts w:cs="Arial"/>
          <w:szCs w:val="24"/>
        </w:rPr>
        <w:t xml:space="preserve">two </w:t>
      </w:r>
      <w:r w:rsidR="003E690B" w:rsidRPr="00993C2E">
        <w:rPr>
          <w:rFonts w:cs="Arial"/>
          <w:szCs w:val="24"/>
        </w:rPr>
        <w:t xml:space="preserve">grounds of prohibition are disqualification, as provided for in the </w:t>
      </w:r>
      <w:r w:rsidR="003E690B" w:rsidRPr="00993C2E">
        <w:rPr>
          <w:rFonts w:cs="Arial"/>
          <w:i/>
          <w:iCs/>
          <w:szCs w:val="24"/>
        </w:rPr>
        <w:t>Wills Act</w:t>
      </w:r>
      <w:r w:rsidR="003E690B" w:rsidRPr="001D5A0C">
        <w:rPr>
          <w:rFonts w:cs="Arial"/>
          <w:szCs w:val="24"/>
        </w:rPr>
        <w:t>,</w:t>
      </w:r>
      <w:r w:rsidR="003E690B" w:rsidRPr="001D5A0C">
        <w:rPr>
          <w:rStyle w:val="FootnoteReference"/>
          <w:rFonts w:cs="Arial"/>
          <w:szCs w:val="24"/>
        </w:rPr>
        <w:footnoteReference w:id="14"/>
      </w:r>
      <w:r w:rsidR="003E690B" w:rsidRPr="00993C2E">
        <w:rPr>
          <w:rFonts w:cs="Arial"/>
          <w:szCs w:val="24"/>
        </w:rPr>
        <w:t xml:space="preserve"> and unworthiness, in accordance with common </w:t>
      </w:r>
      <w:r w:rsidR="003E690B" w:rsidRPr="00F02DE5">
        <w:rPr>
          <w:rFonts w:cs="Arial"/>
          <w:szCs w:val="24"/>
        </w:rPr>
        <w:t>law</w:t>
      </w:r>
      <w:r w:rsidR="003E690B">
        <w:rPr>
          <w:rFonts w:cs="Arial"/>
          <w:szCs w:val="24"/>
        </w:rPr>
        <w:t>.</w:t>
      </w:r>
      <w:r w:rsidR="003E690B" w:rsidRPr="00F02DE5">
        <w:rPr>
          <w:rStyle w:val="FootnoteReference"/>
          <w:rFonts w:cs="Arial"/>
          <w:szCs w:val="24"/>
        </w:rPr>
        <w:footnoteReference w:id="15"/>
      </w:r>
      <w:r w:rsidR="00A92277">
        <w:rPr>
          <w:rFonts w:cs="Arial"/>
          <w:szCs w:val="24"/>
        </w:rPr>
        <w:t xml:space="preserve"> </w:t>
      </w:r>
      <w:r w:rsidR="00AA2694">
        <w:rPr>
          <w:rFonts w:cs="Arial"/>
          <w:szCs w:val="24"/>
        </w:rPr>
        <w:t>According to Steyn,</w:t>
      </w:r>
      <w:r>
        <w:rPr>
          <w:rStyle w:val="FootnoteReference"/>
          <w:rFonts w:cs="Arial"/>
          <w:szCs w:val="24"/>
        </w:rPr>
        <w:footnoteReference w:id="16"/>
      </w:r>
      <w:r w:rsidR="00AA2694">
        <w:rPr>
          <w:rFonts w:cs="Arial"/>
          <w:szCs w:val="24"/>
        </w:rPr>
        <w:t xml:space="preserve"> unworthiness under common law</w:t>
      </w:r>
      <w:r w:rsidR="00575A4A">
        <w:rPr>
          <w:rStyle w:val="FootnoteReference"/>
          <w:rFonts w:cs="Arial"/>
          <w:szCs w:val="24"/>
        </w:rPr>
        <w:footnoteReference w:id="17"/>
      </w:r>
      <w:r w:rsidR="00AA2694">
        <w:rPr>
          <w:rFonts w:cs="Arial"/>
          <w:szCs w:val="24"/>
        </w:rPr>
        <w:t xml:space="preserve"> is determined on the grounds of generalised unworthiness to inherit, </w:t>
      </w:r>
      <w:r w:rsidR="00575A4A">
        <w:rPr>
          <w:rFonts w:cs="Arial"/>
          <w:szCs w:val="24"/>
        </w:rPr>
        <w:t>spe</w:t>
      </w:r>
      <w:r w:rsidR="002E7091">
        <w:rPr>
          <w:rFonts w:cs="Arial"/>
          <w:szCs w:val="24"/>
        </w:rPr>
        <w:t>ci</w:t>
      </w:r>
      <w:r w:rsidR="00575A4A">
        <w:rPr>
          <w:rFonts w:cs="Arial"/>
          <w:szCs w:val="24"/>
        </w:rPr>
        <w:t xml:space="preserve">fic unworthiness </w:t>
      </w:r>
      <w:r w:rsidR="00C545B0">
        <w:rPr>
          <w:rFonts w:cs="Arial"/>
          <w:szCs w:val="24"/>
        </w:rPr>
        <w:t xml:space="preserve">in the form of </w:t>
      </w:r>
      <w:r w:rsidR="00AA2694">
        <w:rPr>
          <w:rFonts w:cs="Arial"/>
          <w:i/>
          <w:iCs/>
          <w:szCs w:val="24"/>
        </w:rPr>
        <w:t>de bloedige hand</w:t>
      </w:r>
      <w:r w:rsidR="00AA2694">
        <w:rPr>
          <w:rFonts w:cs="Arial"/>
          <w:szCs w:val="24"/>
        </w:rPr>
        <w:t xml:space="preserve">, and public policy. </w:t>
      </w:r>
      <w:r w:rsidR="00720CEA">
        <w:rPr>
          <w:rFonts w:cs="Arial"/>
          <w:szCs w:val="24"/>
        </w:rPr>
        <w:t xml:space="preserve">While some authors refer only to </w:t>
      </w:r>
      <w:r w:rsidR="00720CEA" w:rsidRPr="007425DA">
        <w:rPr>
          <w:rFonts w:cs="Arial"/>
          <w:i/>
          <w:iCs/>
          <w:szCs w:val="24"/>
        </w:rPr>
        <w:t xml:space="preserve">de bloedige </w:t>
      </w:r>
      <w:r w:rsidR="00720CEA" w:rsidRPr="00742F42">
        <w:rPr>
          <w:rFonts w:cs="Arial"/>
          <w:i/>
          <w:iCs/>
          <w:szCs w:val="24"/>
        </w:rPr>
        <w:t xml:space="preserve">hand </w:t>
      </w:r>
      <w:r w:rsidR="00720CEA" w:rsidRPr="00742F42">
        <w:rPr>
          <w:rFonts w:cs="Arial"/>
          <w:szCs w:val="24"/>
        </w:rPr>
        <w:t>and public policy</w:t>
      </w:r>
      <w:r w:rsidR="00720CEA">
        <w:rPr>
          <w:rFonts w:cs="Arial"/>
          <w:szCs w:val="24"/>
        </w:rPr>
        <w:t>,</w:t>
      </w:r>
      <w:r w:rsidR="00720CEA" w:rsidRPr="00742F42">
        <w:rPr>
          <w:rStyle w:val="FootnoteReference"/>
          <w:rFonts w:cs="Arial"/>
          <w:szCs w:val="24"/>
        </w:rPr>
        <w:footnoteReference w:id="18"/>
      </w:r>
      <w:r w:rsidR="00AF29F7">
        <w:rPr>
          <w:rFonts w:cs="Arial"/>
          <w:szCs w:val="24"/>
        </w:rPr>
        <w:t xml:space="preserve"> </w:t>
      </w:r>
      <w:r w:rsidR="00720CEA">
        <w:rPr>
          <w:rFonts w:cs="Arial"/>
          <w:szCs w:val="24"/>
        </w:rPr>
        <w:t xml:space="preserve">others favour </w:t>
      </w:r>
      <w:r w:rsidR="0072487D">
        <w:rPr>
          <w:rFonts w:cs="Arial"/>
          <w:szCs w:val="24"/>
        </w:rPr>
        <w:t>generalised unworthiness and public policy</w:t>
      </w:r>
      <w:r w:rsidR="00131BB8" w:rsidRPr="00F311D4">
        <w:rPr>
          <w:rFonts w:cs="Arial"/>
          <w:szCs w:val="24"/>
        </w:rPr>
        <w:t>.</w:t>
      </w:r>
      <w:r w:rsidR="00131BB8" w:rsidRPr="00F311D4">
        <w:rPr>
          <w:rStyle w:val="FootnoteReference"/>
          <w:rFonts w:cs="Arial"/>
          <w:szCs w:val="24"/>
        </w:rPr>
        <w:footnoteReference w:id="19"/>
      </w:r>
    </w:p>
    <w:p w14:paraId="4F975256" w14:textId="77777777" w:rsidR="00162144" w:rsidRPr="00162144" w:rsidRDefault="00162144" w:rsidP="00C5627E"/>
    <w:p w14:paraId="096A5F8B" w14:textId="50F6B23E" w:rsidR="00162144" w:rsidRPr="00977269" w:rsidRDefault="00092A3A" w:rsidP="00C5627E">
      <w:pPr>
        <w:pStyle w:val="Heading2"/>
        <w:numPr>
          <w:ilvl w:val="1"/>
          <w:numId w:val="26"/>
        </w:numPr>
        <w:ind w:left="567" w:hanging="567"/>
        <w:rPr>
          <w:b w:val="0"/>
          <w:bCs/>
        </w:rPr>
      </w:pPr>
      <w:bookmarkStart w:id="3" w:name="_Toc191216251"/>
      <w:r>
        <w:rPr>
          <w:bCs/>
        </w:rPr>
        <w:lastRenderedPageBreak/>
        <w:t>Unworthiness</w:t>
      </w:r>
      <w:bookmarkEnd w:id="3"/>
    </w:p>
    <w:p w14:paraId="4BA7338A" w14:textId="0BC973AB" w:rsidR="00865273" w:rsidRDefault="00050BE5" w:rsidP="00C5627E">
      <w:pPr>
        <w:rPr>
          <w:rFonts w:cs="Arial"/>
          <w:szCs w:val="24"/>
        </w:rPr>
      </w:pPr>
      <w:r>
        <w:rPr>
          <w:rFonts w:cs="Arial"/>
          <w:szCs w:val="24"/>
        </w:rPr>
        <w:t>Since the introduction of democracy, t</w:t>
      </w:r>
      <w:r w:rsidR="00B747E2" w:rsidRPr="00B747E2">
        <w:rPr>
          <w:rFonts w:cs="Arial"/>
          <w:szCs w:val="24"/>
        </w:rPr>
        <w:t xml:space="preserve">he </w:t>
      </w:r>
      <w:r w:rsidR="00B747E2" w:rsidRPr="00B747E2">
        <w:rPr>
          <w:rFonts w:cs="Arial"/>
          <w:i/>
          <w:iCs/>
          <w:szCs w:val="24"/>
        </w:rPr>
        <w:t>Constitution</w:t>
      </w:r>
      <w:r w:rsidR="00865273">
        <w:rPr>
          <w:rStyle w:val="FootnoteReference"/>
          <w:rFonts w:cs="Arial"/>
          <w:szCs w:val="24"/>
        </w:rPr>
        <w:footnoteReference w:id="20"/>
      </w:r>
      <w:r w:rsidR="00B747E2" w:rsidRPr="00B747E2">
        <w:rPr>
          <w:rFonts w:cs="Arial"/>
          <w:szCs w:val="24"/>
        </w:rPr>
        <w:t xml:space="preserve"> clothes each person with the right to life </w:t>
      </w:r>
      <w:r w:rsidR="00AF617A">
        <w:rPr>
          <w:rFonts w:cs="Arial"/>
          <w:szCs w:val="24"/>
        </w:rPr>
        <w:t>and “murder … remains the single most serious criminal invasion of that person’s constitutional rights”.</w:t>
      </w:r>
      <w:r w:rsidR="00AF617A">
        <w:rPr>
          <w:rStyle w:val="FootnoteReference"/>
          <w:rFonts w:cs="Arial"/>
          <w:szCs w:val="24"/>
        </w:rPr>
        <w:footnoteReference w:id="21"/>
      </w:r>
      <w:r w:rsidR="00E30EF0">
        <w:rPr>
          <w:rFonts w:cs="Arial"/>
          <w:szCs w:val="24"/>
        </w:rPr>
        <w:t xml:space="preserve"> </w:t>
      </w:r>
      <w:r w:rsidR="00AB581E">
        <w:rPr>
          <w:rFonts w:cs="Arial"/>
          <w:szCs w:val="24"/>
        </w:rPr>
        <w:t>L</w:t>
      </w:r>
      <w:r w:rsidR="00AB581E" w:rsidRPr="00B747E2">
        <w:rPr>
          <w:rFonts w:cs="Arial"/>
          <w:szCs w:val="24"/>
        </w:rPr>
        <w:t>ogic dictate</w:t>
      </w:r>
      <w:r w:rsidR="00AB581E">
        <w:rPr>
          <w:rFonts w:cs="Arial"/>
          <w:szCs w:val="24"/>
        </w:rPr>
        <w:t>s</w:t>
      </w:r>
      <w:r w:rsidR="00AB581E" w:rsidRPr="00B747E2">
        <w:rPr>
          <w:rFonts w:cs="Arial"/>
          <w:szCs w:val="24"/>
        </w:rPr>
        <w:t xml:space="preserve"> that a person who deprives another of his</w:t>
      </w:r>
      <w:r w:rsidR="00490019">
        <w:rPr>
          <w:rStyle w:val="FootnoteReference"/>
          <w:rFonts w:cs="Arial"/>
          <w:szCs w:val="24"/>
        </w:rPr>
        <w:footnoteReference w:id="22"/>
      </w:r>
      <w:r w:rsidR="00AB581E" w:rsidRPr="00B747E2">
        <w:rPr>
          <w:rFonts w:cs="Arial"/>
          <w:szCs w:val="24"/>
        </w:rPr>
        <w:t xml:space="preserve"> right to life cannot </w:t>
      </w:r>
      <w:r w:rsidR="00865273">
        <w:rPr>
          <w:rFonts w:cs="Arial"/>
          <w:szCs w:val="24"/>
        </w:rPr>
        <w:t xml:space="preserve">profit </w:t>
      </w:r>
      <w:r w:rsidR="00AB581E" w:rsidRPr="00B747E2">
        <w:rPr>
          <w:rFonts w:cs="Arial"/>
          <w:szCs w:val="24"/>
        </w:rPr>
        <w:t>from the wrongful causing of the victim’s death</w:t>
      </w:r>
      <w:r w:rsidR="00AB581E">
        <w:rPr>
          <w:rFonts w:cs="Arial"/>
          <w:szCs w:val="24"/>
        </w:rPr>
        <w:t>.</w:t>
      </w:r>
      <w:r w:rsidR="00AB581E" w:rsidRPr="00D61DCF">
        <w:rPr>
          <w:rStyle w:val="FootnoteReference"/>
          <w:rFonts w:cs="Arial"/>
          <w:szCs w:val="24"/>
        </w:rPr>
        <w:footnoteReference w:id="23"/>
      </w:r>
      <w:r w:rsidR="00AB581E">
        <w:rPr>
          <w:rFonts w:cs="Arial"/>
          <w:szCs w:val="24"/>
        </w:rPr>
        <w:t xml:space="preserve"> </w:t>
      </w:r>
    </w:p>
    <w:p w14:paraId="452A3405" w14:textId="44CCF75A" w:rsidR="003C2772" w:rsidRDefault="00B747E2" w:rsidP="00C5627E">
      <w:pPr>
        <w:rPr>
          <w:rFonts w:cs="Arial"/>
          <w:szCs w:val="24"/>
        </w:rPr>
      </w:pPr>
      <w:r w:rsidRPr="005358F7">
        <w:rPr>
          <w:rFonts w:cs="Arial"/>
          <w:szCs w:val="24"/>
        </w:rPr>
        <w:t xml:space="preserve">Civil law aims to </w:t>
      </w:r>
      <w:r w:rsidR="00865273" w:rsidRPr="005358F7">
        <w:rPr>
          <w:rFonts w:cs="Arial"/>
          <w:szCs w:val="24"/>
        </w:rPr>
        <w:t>shield</w:t>
      </w:r>
      <w:r w:rsidRPr="005358F7">
        <w:rPr>
          <w:rFonts w:cs="Arial"/>
          <w:szCs w:val="24"/>
        </w:rPr>
        <w:t xml:space="preserve"> the</w:t>
      </w:r>
      <w:r w:rsidR="0059501C" w:rsidRPr="005358F7">
        <w:rPr>
          <w:rFonts w:cs="Arial"/>
          <w:szCs w:val="24"/>
        </w:rPr>
        <w:t>se</w:t>
      </w:r>
      <w:r w:rsidRPr="005358F7">
        <w:rPr>
          <w:rFonts w:cs="Arial"/>
          <w:szCs w:val="24"/>
        </w:rPr>
        <w:t xml:space="preserve"> victims</w:t>
      </w:r>
      <w:r w:rsidR="0059501C" w:rsidRPr="005358F7">
        <w:rPr>
          <w:rFonts w:cs="Arial"/>
          <w:szCs w:val="24"/>
        </w:rPr>
        <w:t>’</w:t>
      </w:r>
      <w:r w:rsidRPr="005358F7">
        <w:rPr>
          <w:rFonts w:cs="Arial"/>
          <w:szCs w:val="24"/>
        </w:rPr>
        <w:t xml:space="preserve"> proprietary </w:t>
      </w:r>
      <w:r w:rsidR="00865273" w:rsidRPr="005358F7">
        <w:rPr>
          <w:rFonts w:cs="Arial"/>
          <w:szCs w:val="24"/>
        </w:rPr>
        <w:t>interests</w:t>
      </w:r>
      <w:r w:rsidRPr="005358F7">
        <w:rPr>
          <w:rFonts w:cs="Arial"/>
          <w:szCs w:val="24"/>
        </w:rPr>
        <w:t xml:space="preserve"> from the murderer</w:t>
      </w:r>
      <w:r w:rsidR="00865273" w:rsidRPr="005358F7">
        <w:rPr>
          <w:rFonts w:cs="Arial"/>
          <w:szCs w:val="24"/>
        </w:rPr>
        <w:t xml:space="preserve"> by virtue of </w:t>
      </w:r>
      <w:r w:rsidRPr="005358F7">
        <w:rPr>
          <w:rFonts w:cs="Arial"/>
          <w:szCs w:val="24"/>
        </w:rPr>
        <w:t xml:space="preserve">unworthiness </w:t>
      </w:r>
      <w:r w:rsidR="00865273" w:rsidRPr="005358F7">
        <w:rPr>
          <w:rFonts w:cs="Arial"/>
          <w:szCs w:val="24"/>
        </w:rPr>
        <w:t>to benefit from the victim financially</w:t>
      </w:r>
      <w:r w:rsidR="00AB581E" w:rsidRPr="005358F7">
        <w:rPr>
          <w:rFonts w:cs="Arial"/>
          <w:szCs w:val="24"/>
        </w:rPr>
        <w:t>.</w:t>
      </w:r>
      <w:r w:rsidRPr="005358F7">
        <w:rPr>
          <w:rFonts w:cs="Arial"/>
          <w:szCs w:val="24"/>
        </w:rPr>
        <w:t xml:space="preserve"> According to Schoeman-Malan,</w:t>
      </w:r>
      <w:r w:rsidR="00865273" w:rsidRPr="005358F7">
        <w:rPr>
          <w:rStyle w:val="FootnoteReference"/>
          <w:rFonts w:cs="Arial"/>
          <w:szCs w:val="24"/>
        </w:rPr>
        <w:footnoteReference w:id="24"/>
      </w:r>
      <w:r w:rsidRPr="005358F7">
        <w:rPr>
          <w:rFonts w:cs="Arial"/>
          <w:szCs w:val="24"/>
        </w:rPr>
        <w:t xml:space="preserve"> </w:t>
      </w:r>
      <w:r w:rsidR="00E85D03" w:rsidRPr="005358F7">
        <w:rPr>
          <w:rFonts w:cs="Arial"/>
          <w:szCs w:val="24"/>
        </w:rPr>
        <w:t xml:space="preserve">a </w:t>
      </w:r>
      <w:r w:rsidRPr="005358F7">
        <w:rPr>
          <w:rFonts w:cs="Arial"/>
          <w:szCs w:val="24"/>
        </w:rPr>
        <w:t>conviction serves to protect the community at large against criminals guilty of intentional</w:t>
      </w:r>
      <w:r w:rsidR="00AB581E" w:rsidRPr="005358F7">
        <w:rPr>
          <w:rFonts w:cs="Arial"/>
          <w:szCs w:val="24"/>
        </w:rPr>
        <w:t>, as well as negligent,</w:t>
      </w:r>
      <w:r w:rsidRPr="005358F7">
        <w:rPr>
          <w:rFonts w:cs="Arial"/>
          <w:szCs w:val="24"/>
        </w:rPr>
        <w:t xml:space="preserve"> unlawful killing</w:t>
      </w:r>
      <w:r w:rsidR="007A31D8" w:rsidRPr="005358F7">
        <w:rPr>
          <w:rFonts w:cs="Arial"/>
          <w:szCs w:val="24"/>
        </w:rPr>
        <w:t>.</w:t>
      </w:r>
    </w:p>
    <w:p w14:paraId="248650B8" w14:textId="77777777" w:rsidR="00E85D03" w:rsidRPr="007D12A3" w:rsidRDefault="00E85D03" w:rsidP="00C5627E">
      <w:pPr>
        <w:rPr>
          <w:rFonts w:cs="Arial"/>
          <w:szCs w:val="24"/>
        </w:rPr>
      </w:pPr>
    </w:p>
    <w:p w14:paraId="2E983C9C" w14:textId="3CB9E9D8" w:rsidR="0004547F" w:rsidRPr="00977269" w:rsidRDefault="00092A3A" w:rsidP="00C5627E">
      <w:pPr>
        <w:pStyle w:val="Heading2"/>
        <w:numPr>
          <w:ilvl w:val="1"/>
          <w:numId w:val="26"/>
        </w:numPr>
        <w:ind w:left="567" w:hanging="567"/>
        <w:rPr>
          <w:b w:val="0"/>
          <w:bCs/>
        </w:rPr>
      </w:pPr>
      <w:bookmarkStart w:id="4" w:name="_Toc191216252"/>
      <w:r w:rsidRPr="00977269">
        <w:rPr>
          <w:bCs/>
        </w:rPr>
        <w:t xml:space="preserve">Historical </w:t>
      </w:r>
      <w:r>
        <w:rPr>
          <w:bCs/>
        </w:rPr>
        <w:t>o</w:t>
      </w:r>
      <w:r w:rsidRPr="00977269">
        <w:rPr>
          <w:bCs/>
        </w:rPr>
        <w:t xml:space="preserve">verview </w:t>
      </w:r>
      <w:r>
        <w:rPr>
          <w:bCs/>
        </w:rPr>
        <w:t>o</w:t>
      </w:r>
      <w:r w:rsidRPr="00977269">
        <w:rPr>
          <w:bCs/>
        </w:rPr>
        <w:t xml:space="preserve">f </w:t>
      </w:r>
      <w:r>
        <w:rPr>
          <w:bCs/>
          <w:i/>
          <w:iCs/>
        </w:rPr>
        <w:t>d</w:t>
      </w:r>
      <w:r w:rsidRPr="00977269">
        <w:rPr>
          <w:bCs/>
          <w:i/>
          <w:iCs/>
        </w:rPr>
        <w:t xml:space="preserve">e </w:t>
      </w:r>
      <w:r>
        <w:rPr>
          <w:bCs/>
          <w:i/>
          <w:iCs/>
        </w:rPr>
        <w:t>b</w:t>
      </w:r>
      <w:r w:rsidRPr="00977269">
        <w:rPr>
          <w:bCs/>
          <w:i/>
          <w:iCs/>
        </w:rPr>
        <w:t xml:space="preserve">loedige </w:t>
      </w:r>
      <w:r>
        <w:rPr>
          <w:bCs/>
          <w:i/>
          <w:iCs/>
        </w:rPr>
        <w:t>h</w:t>
      </w:r>
      <w:r w:rsidRPr="00977269">
        <w:rPr>
          <w:bCs/>
          <w:i/>
          <w:iCs/>
        </w:rPr>
        <w:t>and</w:t>
      </w:r>
      <w:bookmarkEnd w:id="4"/>
    </w:p>
    <w:p w14:paraId="3D75FD6B" w14:textId="1E9CA4D0" w:rsidR="003E690B" w:rsidRDefault="00B9749F" w:rsidP="00C5627E">
      <w:r w:rsidRPr="00B9749F">
        <w:rPr>
          <w:rFonts w:cs="Arial"/>
          <w:szCs w:val="24"/>
        </w:rPr>
        <w:t xml:space="preserve">The generalised common law maxim </w:t>
      </w:r>
      <w:r w:rsidR="007D2A0F">
        <w:rPr>
          <w:rFonts w:cs="Arial"/>
          <w:szCs w:val="24"/>
        </w:rPr>
        <w:t>“</w:t>
      </w:r>
      <w:r w:rsidRPr="00B9749F">
        <w:rPr>
          <w:rFonts w:cs="Arial"/>
          <w:i/>
          <w:iCs/>
          <w:szCs w:val="24"/>
        </w:rPr>
        <w:t>nemo ex suo delicto meliorem suam conditionem facere potest</w:t>
      </w:r>
      <w:r w:rsidR="007D2A0F">
        <w:rPr>
          <w:rFonts w:cs="Arial"/>
          <w:szCs w:val="24"/>
        </w:rPr>
        <w:t>”</w:t>
      </w:r>
      <w:r w:rsidRPr="00B9749F">
        <w:rPr>
          <w:rFonts w:cs="Arial"/>
          <w:szCs w:val="24"/>
        </w:rPr>
        <w:t xml:space="preserve"> states that a wrongdoer </w:t>
      </w:r>
      <w:r w:rsidR="006A7ADF">
        <w:rPr>
          <w:rFonts w:cs="Arial"/>
          <w:szCs w:val="24"/>
        </w:rPr>
        <w:t xml:space="preserve">is prohibited from deriving </w:t>
      </w:r>
      <w:r w:rsidRPr="00B9749F">
        <w:rPr>
          <w:rFonts w:cs="Arial"/>
          <w:szCs w:val="24"/>
        </w:rPr>
        <w:t>any benefit from his criminal or wrongful conduct</w:t>
      </w:r>
      <w:r w:rsidRPr="00696C54">
        <w:rPr>
          <w:rFonts w:cs="Arial"/>
          <w:szCs w:val="24"/>
        </w:rPr>
        <w:t>.</w:t>
      </w:r>
      <w:r w:rsidRPr="00696C54">
        <w:rPr>
          <w:rStyle w:val="FootnoteReference"/>
          <w:rFonts w:cs="Arial"/>
          <w:szCs w:val="24"/>
        </w:rPr>
        <w:footnoteReference w:id="25"/>
      </w:r>
      <w:r w:rsidRPr="00696C54">
        <w:rPr>
          <w:rFonts w:cs="Arial"/>
          <w:szCs w:val="24"/>
        </w:rPr>
        <w:t xml:space="preserve"> </w:t>
      </w:r>
      <w:r w:rsidR="000440E6" w:rsidRPr="00696C54">
        <w:rPr>
          <w:rFonts w:cs="Arial"/>
          <w:szCs w:val="24"/>
        </w:rPr>
        <w:t>F</w:t>
      </w:r>
      <w:r w:rsidRPr="00696C54">
        <w:rPr>
          <w:rFonts w:cs="Arial"/>
          <w:szCs w:val="24"/>
        </w:rPr>
        <w:t xml:space="preserve">orthcoming from this maxim, is the </w:t>
      </w:r>
      <w:r w:rsidRPr="00696C54">
        <w:t xml:space="preserve">Roman-Dutch principle </w:t>
      </w:r>
      <w:r w:rsidR="0079362A">
        <w:t>“</w:t>
      </w:r>
      <w:r w:rsidRPr="00696C54">
        <w:rPr>
          <w:i/>
          <w:iCs/>
        </w:rPr>
        <w:t>de bloedige hand neemt geen erffenis</w:t>
      </w:r>
      <w:r w:rsidR="0079362A">
        <w:t>”</w:t>
      </w:r>
      <w:r w:rsidRPr="00696C54">
        <w:t xml:space="preserve"> [hereinafter referred to as </w:t>
      </w:r>
      <w:r w:rsidRPr="00696C54">
        <w:rPr>
          <w:i/>
          <w:iCs/>
        </w:rPr>
        <w:t>de</w:t>
      </w:r>
      <w:r w:rsidRPr="00696C54">
        <w:t xml:space="preserve"> </w:t>
      </w:r>
      <w:r w:rsidRPr="00696C54">
        <w:rPr>
          <w:i/>
          <w:iCs/>
        </w:rPr>
        <w:t>bloedige hand</w:t>
      </w:r>
      <w:r w:rsidRPr="00696C54">
        <w:t>], (literally</w:t>
      </w:r>
      <w:r w:rsidRPr="007425DA">
        <w:t xml:space="preserve"> meaning the bloody </w:t>
      </w:r>
      <w:r w:rsidRPr="0086329E">
        <w:t>hand takes no inheritance)</w:t>
      </w:r>
      <w:r>
        <w:t xml:space="preserve"> in terms whereof </w:t>
      </w:r>
      <w:r w:rsidRPr="00D61DCF">
        <w:t>no person who causes the death of another</w:t>
      </w:r>
      <w:r>
        <w:t>,</w:t>
      </w:r>
      <w:r w:rsidRPr="00D61DCF">
        <w:t xml:space="preserve"> or their </w:t>
      </w:r>
      <w:r w:rsidRPr="00B9749F">
        <w:rPr>
          <w:i/>
          <w:iCs/>
        </w:rPr>
        <w:t>conjunctissimi</w:t>
      </w:r>
      <w:r>
        <w:t>,</w:t>
      </w:r>
      <w:r w:rsidRPr="00D61DCF">
        <w:t xml:space="preserve"> may </w:t>
      </w:r>
      <w:r>
        <w:t xml:space="preserve">benefit </w:t>
      </w:r>
      <w:r w:rsidRPr="00D61DCF">
        <w:t>from the deceased</w:t>
      </w:r>
      <w:r>
        <w:t>.</w:t>
      </w:r>
      <w:r w:rsidRPr="00D61DCF">
        <w:rPr>
          <w:rStyle w:val="FootnoteReference"/>
          <w:rFonts w:cs="Arial"/>
          <w:szCs w:val="24"/>
        </w:rPr>
        <w:footnoteReference w:id="26"/>
      </w:r>
      <w:r w:rsidR="007A31D8">
        <w:t xml:space="preserve"> </w:t>
      </w:r>
      <w:r w:rsidR="0059501C">
        <w:t>While t</w:t>
      </w:r>
      <w:r w:rsidR="007A31D8">
        <w:t>he application of this principle is absolute</w:t>
      </w:r>
      <w:r w:rsidR="003E690B">
        <w:t>,</w:t>
      </w:r>
      <w:r w:rsidR="007A31D8" w:rsidRPr="00D61DCF">
        <w:rPr>
          <w:rStyle w:val="FootnoteReference"/>
          <w:rFonts w:cs="Arial"/>
          <w:szCs w:val="24"/>
        </w:rPr>
        <w:footnoteReference w:id="27"/>
      </w:r>
      <w:r w:rsidR="0059501C">
        <w:t xml:space="preserve"> </w:t>
      </w:r>
      <w:r w:rsidR="003E690B">
        <w:t>statute prohibits the extension of such deprivation to the descendants of the wrongdoer.</w:t>
      </w:r>
      <w:r w:rsidR="003E690B">
        <w:rPr>
          <w:rStyle w:val="FootnoteReference"/>
        </w:rPr>
        <w:footnoteReference w:id="28"/>
      </w:r>
      <w:r w:rsidR="003E690B" w:rsidRPr="00D61DCF">
        <w:t xml:space="preserve"> </w:t>
      </w:r>
    </w:p>
    <w:p w14:paraId="7542A1C5" w14:textId="7CAC7EE8" w:rsidR="0004547F" w:rsidRDefault="00701AB6" w:rsidP="00C5627E">
      <w:pPr>
        <w:rPr>
          <w:rFonts w:cs="Arial"/>
          <w:szCs w:val="24"/>
        </w:rPr>
      </w:pPr>
      <w:r>
        <w:rPr>
          <w:rFonts w:cs="Arial"/>
          <w:szCs w:val="24"/>
        </w:rPr>
        <w:t xml:space="preserve">An example of the application of </w:t>
      </w:r>
      <w:r>
        <w:rPr>
          <w:rFonts w:cs="Arial"/>
          <w:i/>
          <w:iCs/>
          <w:szCs w:val="24"/>
        </w:rPr>
        <w:t xml:space="preserve">de bloedige </w:t>
      </w:r>
      <w:r w:rsidRPr="00701AB6">
        <w:rPr>
          <w:rFonts w:cs="Arial"/>
          <w:i/>
          <w:iCs/>
          <w:szCs w:val="24"/>
        </w:rPr>
        <w:t>hand</w:t>
      </w:r>
      <w:r>
        <w:rPr>
          <w:rFonts w:cs="Arial"/>
          <w:szCs w:val="24"/>
        </w:rPr>
        <w:t xml:space="preserve"> would be the following: T</w:t>
      </w:r>
      <w:r w:rsidRPr="00696C54">
        <w:rPr>
          <w:rFonts w:cs="Arial"/>
          <w:szCs w:val="24"/>
        </w:rPr>
        <w:t>estator (T) bequeaths his entire estate to his two sons (A and B) in equal shares. B thinks that eliminating A would result in him being the sole and exclusive heir of T’s entire estate, and proceeds to kill A. In reality, however, B is not only disqualified from inheriting from A, as murder victim, but also from T due to the close familial relationship between A and T. Instead of being the sole heir, B forfeits the right to inherit altogether.</w:t>
      </w:r>
      <w:r w:rsidRPr="00696C54">
        <w:rPr>
          <w:rStyle w:val="FootnoteReference"/>
          <w:rFonts w:cs="Arial"/>
          <w:szCs w:val="24"/>
        </w:rPr>
        <w:footnoteReference w:id="29"/>
      </w:r>
      <w:r w:rsidRPr="00696C54">
        <w:rPr>
          <w:rFonts w:cs="Arial"/>
          <w:szCs w:val="24"/>
        </w:rPr>
        <w:t xml:space="preserve"> If B were to kill T, he would </w:t>
      </w:r>
      <w:r w:rsidRPr="00696C54">
        <w:rPr>
          <w:rFonts w:cs="Arial"/>
          <w:szCs w:val="24"/>
        </w:rPr>
        <w:lastRenderedPageBreak/>
        <w:t>be prohibited from inheriting from T, from T's spouse, from T’s parents, if they are still alive, and from all of T’s children (B’s brothers and sisters).</w:t>
      </w:r>
      <w:r w:rsidRPr="00696C54">
        <w:rPr>
          <w:rStyle w:val="FootnoteReference"/>
          <w:rFonts w:cs="Arial"/>
          <w:szCs w:val="24"/>
        </w:rPr>
        <w:footnoteReference w:id="30"/>
      </w:r>
    </w:p>
    <w:p w14:paraId="29C2E4CE" w14:textId="77777777" w:rsidR="00701AB6" w:rsidRPr="0004547F" w:rsidRDefault="00701AB6" w:rsidP="00C5627E"/>
    <w:p w14:paraId="3C106791" w14:textId="773C9E05" w:rsidR="001B635C" w:rsidRPr="00977269" w:rsidRDefault="00092A3A" w:rsidP="00C5627E">
      <w:pPr>
        <w:pStyle w:val="Heading2"/>
        <w:numPr>
          <w:ilvl w:val="1"/>
          <w:numId w:val="26"/>
        </w:numPr>
        <w:ind w:left="567" w:hanging="567"/>
        <w:rPr>
          <w:b w:val="0"/>
          <w:bCs/>
        </w:rPr>
      </w:pPr>
      <w:bookmarkStart w:id="5" w:name="_Toc191216253"/>
      <w:r w:rsidRPr="00977269">
        <w:rPr>
          <w:bCs/>
        </w:rPr>
        <w:t>Present</w:t>
      </w:r>
      <w:r>
        <w:rPr>
          <w:bCs/>
        </w:rPr>
        <w:t xml:space="preserve"> a</w:t>
      </w:r>
      <w:r w:rsidRPr="00977269">
        <w:rPr>
          <w:bCs/>
        </w:rPr>
        <w:t xml:space="preserve">pplications </w:t>
      </w:r>
      <w:r>
        <w:rPr>
          <w:bCs/>
        </w:rPr>
        <w:t>o</w:t>
      </w:r>
      <w:r w:rsidRPr="00977269">
        <w:rPr>
          <w:bCs/>
        </w:rPr>
        <w:t xml:space="preserve">f </w:t>
      </w:r>
      <w:r>
        <w:rPr>
          <w:bCs/>
          <w:i/>
          <w:iCs/>
        </w:rPr>
        <w:t>d</w:t>
      </w:r>
      <w:r w:rsidRPr="00977269">
        <w:rPr>
          <w:bCs/>
          <w:i/>
          <w:iCs/>
        </w:rPr>
        <w:t xml:space="preserve">e </w:t>
      </w:r>
      <w:r>
        <w:rPr>
          <w:bCs/>
          <w:i/>
          <w:iCs/>
        </w:rPr>
        <w:t>b</w:t>
      </w:r>
      <w:r w:rsidRPr="00977269">
        <w:rPr>
          <w:bCs/>
          <w:i/>
          <w:iCs/>
        </w:rPr>
        <w:t>loedige</w:t>
      </w:r>
      <w:r>
        <w:rPr>
          <w:bCs/>
          <w:i/>
          <w:iCs/>
        </w:rPr>
        <w:t xml:space="preserve"> h</w:t>
      </w:r>
      <w:r w:rsidRPr="00977269">
        <w:rPr>
          <w:bCs/>
          <w:i/>
          <w:iCs/>
        </w:rPr>
        <w:t>and</w:t>
      </w:r>
      <w:bookmarkEnd w:id="5"/>
    </w:p>
    <w:p w14:paraId="4EF8BEF4" w14:textId="217D8684" w:rsidR="003E690B" w:rsidRDefault="00603F04" w:rsidP="00C5627E">
      <w:r>
        <w:rPr>
          <w:rFonts w:cs="Arial"/>
          <w:szCs w:val="24"/>
        </w:rPr>
        <w:t xml:space="preserve">Initially, </w:t>
      </w:r>
      <w:r>
        <w:rPr>
          <w:rFonts w:cs="Arial"/>
          <w:i/>
          <w:iCs/>
          <w:szCs w:val="24"/>
        </w:rPr>
        <w:t>de bloedige hand</w:t>
      </w:r>
      <w:r>
        <w:rPr>
          <w:rFonts w:cs="Arial"/>
          <w:szCs w:val="24"/>
        </w:rPr>
        <w:t xml:space="preserve"> found application only within the law of succession.</w:t>
      </w:r>
      <w:r>
        <w:rPr>
          <w:rStyle w:val="FootnoteReference"/>
          <w:rFonts w:cs="Arial"/>
          <w:szCs w:val="24"/>
        </w:rPr>
        <w:footnoteReference w:id="31"/>
      </w:r>
      <w:r>
        <w:rPr>
          <w:rFonts w:cs="Arial"/>
          <w:szCs w:val="24"/>
        </w:rPr>
        <w:t xml:space="preserve"> </w:t>
      </w:r>
      <w:r w:rsidR="0004547F" w:rsidRPr="0004547F">
        <w:rPr>
          <w:rFonts w:cs="Arial"/>
          <w:szCs w:val="24"/>
        </w:rPr>
        <w:t xml:space="preserve">With the passing of time, the grounds for disqualification in terms of </w:t>
      </w:r>
      <w:r w:rsidR="0004547F" w:rsidRPr="0004547F">
        <w:rPr>
          <w:rFonts w:cs="Arial"/>
          <w:i/>
          <w:iCs/>
          <w:szCs w:val="24"/>
        </w:rPr>
        <w:t>de bloedige hand</w:t>
      </w:r>
      <w:r w:rsidR="0004547F" w:rsidRPr="0004547F">
        <w:rPr>
          <w:rFonts w:cs="Arial"/>
          <w:szCs w:val="24"/>
        </w:rPr>
        <w:t xml:space="preserve"> were developed by analogy and public policy.</w:t>
      </w:r>
      <w:r w:rsidR="0004547F">
        <w:rPr>
          <w:rStyle w:val="FootnoteReference"/>
          <w:rFonts w:cs="Arial"/>
          <w:szCs w:val="24"/>
        </w:rPr>
        <w:footnoteReference w:id="32"/>
      </w:r>
      <w:r w:rsidR="0004547F" w:rsidRPr="0004547F">
        <w:rPr>
          <w:rFonts w:cs="Arial"/>
          <w:szCs w:val="24"/>
        </w:rPr>
        <w:t xml:space="preserve"> This development not only paved the way for application in keeping with the changing convictions of the community, but it also set the stage for extending the application of </w:t>
      </w:r>
      <w:r w:rsidR="0004547F" w:rsidRPr="0004547F">
        <w:rPr>
          <w:rFonts w:cs="Arial"/>
          <w:i/>
          <w:iCs/>
          <w:szCs w:val="24"/>
        </w:rPr>
        <w:t>de bloedige hand</w:t>
      </w:r>
      <w:r w:rsidR="0004547F" w:rsidRPr="0004547F">
        <w:rPr>
          <w:rFonts w:cs="Arial"/>
          <w:szCs w:val="24"/>
        </w:rPr>
        <w:t xml:space="preserve"> beyond the confines of the law of succession</w:t>
      </w:r>
      <w:r w:rsidR="0004547F">
        <w:rPr>
          <w:rFonts w:cs="Arial"/>
          <w:szCs w:val="24"/>
        </w:rPr>
        <w:t>,</w:t>
      </w:r>
      <w:r w:rsidR="0004547F">
        <w:t xml:space="preserve"> to </w:t>
      </w:r>
      <w:r w:rsidR="00701AB6">
        <w:t xml:space="preserve">insurance benefits, legal costs, maintenance, matrimonial property benefits, </w:t>
      </w:r>
      <w:r w:rsidR="006F2D42">
        <w:t xml:space="preserve">and </w:t>
      </w:r>
      <w:r w:rsidR="00701AB6">
        <w:t>pension benefits</w:t>
      </w:r>
      <w:r w:rsidR="0004547F" w:rsidRPr="000149B2">
        <w:rPr>
          <w:rFonts w:cs="Arial"/>
          <w:szCs w:val="24"/>
        </w:rPr>
        <w:t>.</w:t>
      </w:r>
      <w:r w:rsidR="0004547F" w:rsidRPr="000149B2">
        <w:rPr>
          <w:rStyle w:val="FootnoteReference"/>
          <w:rFonts w:cs="Arial"/>
          <w:szCs w:val="24"/>
        </w:rPr>
        <w:footnoteReference w:id="33"/>
      </w:r>
      <w:r w:rsidR="00BB3A20">
        <w:rPr>
          <w:rFonts w:cs="Arial"/>
          <w:szCs w:val="24"/>
        </w:rPr>
        <w:t xml:space="preserve"> It should be noted that the benefits open to forfeiture are limited to those benefits acquired as a result of the deceased’s death</w:t>
      </w:r>
      <w:r w:rsidR="002F0C8C">
        <w:rPr>
          <w:rFonts w:cs="Arial"/>
          <w:szCs w:val="24"/>
        </w:rPr>
        <w:t>.</w:t>
      </w:r>
      <w:r w:rsidR="00BB3A20">
        <w:rPr>
          <w:rStyle w:val="FootnoteReference"/>
          <w:rFonts w:cs="Arial"/>
          <w:szCs w:val="24"/>
        </w:rPr>
        <w:footnoteReference w:id="34"/>
      </w:r>
    </w:p>
    <w:p w14:paraId="458EBF31" w14:textId="18081944" w:rsidR="00BB3A20" w:rsidRDefault="00BB3A20" w:rsidP="00C5627E">
      <w:pPr>
        <w:rPr>
          <w:rFonts w:cs="Arial"/>
          <w:szCs w:val="24"/>
        </w:rPr>
      </w:pPr>
    </w:p>
    <w:p w14:paraId="0B51A369" w14:textId="0BD680CA" w:rsidR="001B635C" w:rsidRPr="00977269" w:rsidRDefault="00092A3A" w:rsidP="00C5627E">
      <w:pPr>
        <w:pStyle w:val="Heading2"/>
        <w:numPr>
          <w:ilvl w:val="1"/>
          <w:numId w:val="26"/>
        </w:numPr>
        <w:ind w:left="567" w:hanging="567"/>
        <w:rPr>
          <w:b w:val="0"/>
          <w:bCs/>
        </w:rPr>
      </w:pPr>
      <w:bookmarkStart w:id="6" w:name="_Toc191216254"/>
      <w:r w:rsidRPr="00977269">
        <w:rPr>
          <w:bCs/>
        </w:rPr>
        <w:t xml:space="preserve">Prospective </w:t>
      </w:r>
      <w:r>
        <w:rPr>
          <w:bCs/>
        </w:rPr>
        <w:t>a</w:t>
      </w:r>
      <w:r w:rsidRPr="00977269">
        <w:rPr>
          <w:bCs/>
        </w:rPr>
        <w:t xml:space="preserve">pplications </w:t>
      </w:r>
      <w:r>
        <w:rPr>
          <w:bCs/>
        </w:rPr>
        <w:t>o</w:t>
      </w:r>
      <w:r w:rsidRPr="00977269">
        <w:rPr>
          <w:bCs/>
        </w:rPr>
        <w:t xml:space="preserve">f </w:t>
      </w:r>
      <w:r>
        <w:rPr>
          <w:bCs/>
          <w:i/>
          <w:iCs/>
        </w:rPr>
        <w:t>d</w:t>
      </w:r>
      <w:r w:rsidRPr="00977269">
        <w:rPr>
          <w:bCs/>
          <w:i/>
          <w:iCs/>
        </w:rPr>
        <w:t xml:space="preserve">e </w:t>
      </w:r>
      <w:r>
        <w:rPr>
          <w:bCs/>
          <w:i/>
          <w:iCs/>
        </w:rPr>
        <w:t>b</w:t>
      </w:r>
      <w:r w:rsidRPr="00977269">
        <w:rPr>
          <w:bCs/>
          <w:i/>
          <w:iCs/>
        </w:rPr>
        <w:t xml:space="preserve">loedige </w:t>
      </w:r>
      <w:r>
        <w:rPr>
          <w:bCs/>
          <w:i/>
          <w:iCs/>
        </w:rPr>
        <w:t>h</w:t>
      </w:r>
      <w:r w:rsidRPr="00977269">
        <w:rPr>
          <w:bCs/>
          <w:i/>
          <w:iCs/>
        </w:rPr>
        <w:t>and</w:t>
      </w:r>
      <w:bookmarkEnd w:id="6"/>
    </w:p>
    <w:p w14:paraId="233FF05E" w14:textId="2DC3CE4D" w:rsidR="003E690B" w:rsidRPr="003E690B" w:rsidRDefault="000405A0" w:rsidP="00C5627E">
      <w:pPr>
        <w:rPr>
          <w:rFonts w:cs="Arial"/>
          <w:szCs w:val="24"/>
        </w:rPr>
      </w:pPr>
      <w:r>
        <w:rPr>
          <w:rFonts w:cs="Arial"/>
          <w:szCs w:val="24"/>
        </w:rPr>
        <w:t>N</w:t>
      </w:r>
      <w:r w:rsidR="003E690B" w:rsidRPr="003E690B">
        <w:rPr>
          <w:rFonts w:cs="Arial"/>
          <w:szCs w:val="24"/>
        </w:rPr>
        <w:t>either a criminal conviction, nor an acquittal, shall bar a civil claim for damages</w:t>
      </w:r>
      <w:r w:rsidRPr="00D61DCF">
        <w:rPr>
          <w:rStyle w:val="FootnoteReference"/>
          <w:rFonts w:cs="Arial"/>
          <w:szCs w:val="24"/>
        </w:rPr>
        <w:footnoteReference w:id="35"/>
      </w:r>
      <w:r w:rsidR="002F0C8C">
        <w:rPr>
          <w:rFonts w:cs="Arial"/>
          <w:szCs w:val="24"/>
        </w:rPr>
        <w:t xml:space="preserve"> </w:t>
      </w:r>
      <w:r w:rsidR="003E690B" w:rsidRPr="003E690B">
        <w:rPr>
          <w:rFonts w:cs="Arial"/>
          <w:szCs w:val="24"/>
        </w:rPr>
        <w:t>and it is generally accepted that “damage (harm) rests where it falls”, except when it</w:t>
      </w:r>
      <w:r w:rsidR="00540A25">
        <w:rPr>
          <w:rFonts w:cs="Arial"/>
          <w:szCs w:val="24"/>
        </w:rPr>
        <w:t xml:space="preserve"> does not</w:t>
      </w:r>
      <w:r w:rsidR="003E690B" w:rsidRPr="003E690B">
        <w:rPr>
          <w:rFonts w:cs="Arial"/>
          <w:szCs w:val="24"/>
        </w:rPr>
        <w:t>. When damage is the result of a delict, the wrongdoer is by law required to compensate the wronged party.</w:t>
      </w:r>
      <w:r w:rsidR="003E690B" w:rsidRPr="00D61DCF">
        <w:rPr>
          <w:rStyle w:val="FootnoteReference"/>
          <w:rFonts w:cs="Arial"/>
          <w:szCs w:val="24"/>
        </w:rPr>
        <w:footnoteReference w:id="36"/>
      </w:r>
    </w:p>
    <w:p w14:paraId="59D8E386" w14:textId="798FA261" w:rsidR="00A23781" w:rsidRDefault="00A23781" w:rsidP="00C5627E">
      <w:pPr>
        <w:rPr>
          <w:rFonts w:cs="Arial"/>
          <w:szCs w:val="24"/>
        </w:rPr>
      </w:pPr>
      <w:r>
        <w:rPr>
          <w:rFonts w:cs="Arial"/>
          <w:szCs w:val="24"/>
        </w:rPr>
        <w:t xml:space="preserve">Although </w:t>
      </w:r>
      <w:r w:rsidRPr="00D61DCF">
        <w:rPr>
          <w:rFonts w:cs="Arial"/>
          <w:szCs w:val="24"/>
        </w:rPr>
        <w:t xml:space="preserve">the deceased estate has no claim against </w:t>
      </w:r>
      <w:r>
        <w:rPr>
          <w:rFonts w:cs="Arial"/>
          <w:szCs w:val="24"/>
        </w:rPr>
        <w:t>a wrongdoer,</w:t>
      </w:r>
      <w:r w:rsidRPr="00D61DCF">
        <w:rPr>
          <w:rStyle w:val="FootnoteReference"/>
          <w:rFonts w:cs="Arial"/>
          <w:szCs w:val="24"/>
        </w:rPr>
        <w:footnoteReference w:id="37"/>
      </w:r>
      <w:r w:rsidRPr="00D61DCF">
        <w:rPr>
          <w:rFonts w:cs="Arial"/>
          <w:szCs w:val="24"/>
        </w:rPr>
        <w:t xml:space="preserve"> </w:t>
      </w:r>
      <w:r>
        <w:rPr>
          <w:rFonts w:cs="Arial"/>
          <w:szCs w:val="24"/>
        </w:rPr>
        <w:t xml:space="preserve">logic must dictate that affected individuals may institute legal proceedings to recover either patrimonial or </w:t>
      </w:r>
      <w:r w:rsidR="006A453D">
        <w:rPr>
          <w:rFonts w:cs="Arial"/>
          <w:szCs w:val="24"/>
        </w:rPr>
        <w:t xml:space="preserve">non-patrimonial </w:t>
      </w:r>
      <w:r>
        <w:rPr>
          <w:rFonts w:cs="Arial"/>
          <w:szCs w:val="24"/>
        </w:rPr>
        <w:t xml:space="preserve">damages resulting from the wrongdoer’s </w:t>
      </w:r>
      <w:r w:rsidRPr="00D61DCF">
        <w:rPr>
          <w:rFonts w:cs="Arial"/>
          <w:szCs w:val="24"/>
        </w:rPr>
        <w:t xml:space="preserve">intentional or negligent </w:t>
      </w:r>
      <w:r>
        <w:rPr>
          <w:rFonts w:cs="Arial"/>
          <w:szCs w:val="24"/>
        </w:rPr>
        <w:t xml:space="preserve">conduct. An example of such a claim is one for emotional shock suffered by </w:t>
      </w:r>
      <w:r w:rsidRPr="00D61DCF">
        <w:rPr>
          <w:rFonts w:cs="Arial"/>
          <w:szCs w:val="24"/>
        </w:rPr>
        <w:t>the primary and</w:t>
      </w:r>
      <w:r>
        <w:rPr>
          <w:rFonts w:cs="Arial"/>
          <w:szCs w:val="24"/>
        </w:rPr>
        <w:t>/or</w:t>
      </w:r>
      <w:r w:rsidRPr="00D61DCF">
        <w:rPr>
          <w:rFonts w:cs="Arial"/>
          <w:szCs w:val="24"/>
        </w:rPr>
        <w:t xml:space="preserve"> secondary victims.</w:t>
      </w:r>
      <w:r w:rsidRPr="00D61DCF">
        <w:rPr>
          <w:rStyle w:val="FootnoteReference"/>
          <w:rFonts w:cs="Arial"/>
          <w:szCs w:val="24"/>
        </w:rPr>
        <w:footnoteReference w:id="38"/>
      </w:r>
      <w:r>
        <w:rPr>
          <w:rFonts w:cs="Arial"/>
          <w:szCs w:val="24"/>
        </w:rPr>
        <w:t xml:space="preserve"> </w:t>
      </w:r>
    </w:p>
    <w:p w14:paraId="7E58FCF8" w14:textId="255C67AC" w:rsidR="00A23781" w:rsidRDefault="00A23781" w:rsidP="00C5627E">
      <w:r>
        <w:lastRenderedPageBreak/>
        <w:t xml:space="preserve">The </w:t>
      </w:r>
      <w:r w:rsidR="00050C2B">
        <w:t>question arises</w:t>
      </w:r>
      <w:r w:rsidR="000D0A3E">
        <w:t>:</w:t>
      </w:r>
      <w:r w:rsidR="00050C2B">
        <w:t xml:space="preserve"> can common law unworthiness be extended to find application in the law of delict under the above circumstances?</w:t>
      </w:r>
    </w:p>
    <w:p w14:paraId="4913F93C" w14:textId="77777777" w:rsidR="00A23781" w:rsidRPr="00A23781" w:rsidRDefault="00A23781" w:rsidP="00C5627E"/>
    <w:p w14:paraId="6532D5F9" w14:textId="5DC6E5E7" w:rsidR="00382A35" w:rsidRPr="00977269" w:rsidRDefault="00092A3A" w:rsidP="00C5627E">
      <w:pPr>
        <w:pStyle w:val="Heading2"/>
        <w:numPr>
          <w:ilvl w:val="1"/>
          <w:numId w:val="26"/>
        </w:numPr>
        <w:ind w:left="567" w:hanging="567"/>
        <w:rPr>
          <w:b w:val="0"/>
          <w:bCs/>
        </w:rPr>
      </w:pPr>
      <w:bookmarkStart w:id="7" w:name="_Toc191216255"/>
      <w:r w:rsidRPr="00977269">
        <w:rPr>
          <w:bCs/>
        </w:rPr>
        <w:t>Conclusion</w:t>
      </w:r>
      <w:bookmarkEnd w:id="7"/>
    </w:p>
    <w:p w14:paraId="1F8B1699" w14:textId="2DB77B39" w:rsidR="004622F8" w:rsidRDefault="00382A35" w:rsidP="00C5627E">
      <w:pPr>
        <w:rPr>
          <w:rFonts w:cs="Arial"/>
          <w:szCs w:val="24"/>
        </w:rPr>
      </w:pPr>
      <w:r>
        <w:t>The moment a person dies, their estate falls open, policies are paid out, pension benefits become payable, marriage is terminated</w:t>
      </w:r>
      <w:r w:rsidR="00AD6133">
        <w:t>,</w:t>
      </w:r>
      <w:r>
        <w:t xml:space="preserve"> and maintenance orders expire.</w:t>
      </w:r>
      <w:r>
        <w:rPr>
          <w:rStyle w:val="FootnoteReference"/>
        </w:rPr>
        <w:footnoteReference w:id="39"/>
      </w:r>
      <w:r w:rsidR="00AD6133">
        <w:t xml:space="preserve"> </w:t>
      </w:r>
      <w:r w:rsidR="00701AB6">
        <w:t xml:space="preserve">The principles of succession and in particular the administration process, provide that </w:t>
      </w:r>
      <w:r w:rsidR="005A5557">
        <w:t xml:space="preserve">the assets of the estate can be distributed to the </w:t>
      </w:r>
      <w:r w:rsidR="004622F8">
        <w:t>heir</w:t>
      </w:r>
      <w:r w:rsidR="005A5557">
        <w:t>s</w:t>
      </w:r>
      <w:r w:rsidR="00360D46">
        <w:t>.</w:t>
      </w:r>
      <w:r w:rsidR="00696F22">
        <w:rPr>
          <w:rStyle w:val="FootnoteReference"/>
        </w:rPr>
        <w:footnoteReference w:id="40"/>
      </w:r>
      <w:r w:rsidR="00FB63BC">
        <w:t xml:space="preserve"> </w:t>
      </w:r>
      <w:r w:rsidR="00FB63BC">
        <w:rPr>
          <w:rFonts w:cs="Arial"/>
          <w:szCs w:val="24"/>
        </w:rPr>
        <w:t xml:space="preserve">In terms hereof, a </w:t>
      </w:r>
      <w:r w:rsidR="00FB63BC" w:rsidRPr="00993C2E">
        <w:rPr>
          <w:rFonts w:cs="Arial"/>
          <w:szCs w:val="24"/>
        </w:rPr>
        <w:t>beneficiary is worthy to inherit, unless expressly prohibited</w:t>
      </w:r>
      <w:r w:rsidR="006D0748">
        <w:rPr>
          <w:rFonts w:cs="Arial"/>
          <w:szCs w:val="24"/>
        </w:rPr>
        <w:t>,</w:t>
      </w:r>
      <w:r w:rsidR="00FB63BC">
        <w:rPr>
          <w:rStyle w:val="FootnoteReference"/>
          <w:rFonts w:cs="Arial"/>
          <w:szCs w:val="24"/>
        </w:rPr>
        <w:footnoteReference w:id="41"/>
      </w:r>
      <w:r w:rsidR="00FB63BC">
        <w:rPr>
          <w:rFonts w:cs="Arial"/>
          <w:szCs w:val="24"/>
        </w:rPr>
        <w:t xml:space="preserve"> </w:t>
      </w:r>
      <w:r w:rsidR="006D0748">
        <w:rPr>
          <w:rFonts w:cs="Arial"/>
          <w:szCs w:val="24"/>
        </w:rPr>
        <w:t>as determined in terms of statutory disqualification or common law unworthiness.</w:t>
      </w:r>
      <w:r w:rsidR="00FB63BC">
        <w:rPr>
          <w:rStyle w:val="FootnoteReference"/>
          <w:rFonts w:cs="Arial"/>
          <w:szCs w:val="24"/>
        </w:rPr>
        <w:footnoteReference w:id="42"/>
      </w:r>
    </w:p>
    <w:p w14:paraId="48BEE0A5" w14:textId="0B5762A0" w:rsidR="003E690B" w:rsidRDefault="003E690B" w:rsidP="00C5627E">
      <w:r>
        <w:t xml:space="preserve">In the following chapters, this study will provide a broad overview of the principles of unworthiness with the progression of time, by considering the application of specific unworthiness, and in particular </w:t>
      </w:r>
      <w:r>
        <w:rPr>
          <w:i/>
          <w:iCs/>
        </w:rPr>
        <w:t>de bloedige hand</w:t>
      </w:r>
      <w:r>
        <w:t>, from 1903 to the present day, and beyond.</w:t>
      </w:r>
    </w:p>
    <w:p w14:paraId="569E3B90" w14:textId="77777777" w:rsidR="0002565D" w:rsidRDefault="0002565D" w:rsidP="00C5627E">
      <w:pPr>
        <w:jc w:val="left"/>
        <w:rPr>
          <w:rFonts w:cs="Arial"/>
          <w:szCs w:val="24"/>
        </w:rPr>
      </w:pPr>
      <w:r>
        <w:rPr>
          <w:rFonts w:cs="Arial"/>
          <w:szCs w:val="24"/>
        </w:rPr>
        <w:br w:type="page"/>
      </w:r>
    </w:p>
    <w:p w14:paraId="2B1EFC10" w14:textId="770A6370" w:rsidR="008E2CF4" w:rsidRPr="00E40443" w:rsidRDefault="00467588" w:rsidP="00C5627E">
      <w:pPr>
        <w:pStyle w:val="Heading1"/>
        <w:rPr>
          <w:rFonts w:cs="Arial"/>
          <w:szCs w:val="24"/>
        </w:rPr>
      </w:pPr>
      <w:bookmarkStart w:id="8" w:name="_Toc191216256"/>
      <w:r w:rsidRPr="00E40443">
        <w:rPr>
          <w:rFonts w:cs="Arial"/>
          <w:szCs w:val="24"/>
        </w:rPr>
        <w:lastRenderedPageBreak/>
        <w:t xml:space="preserve">CHAPTER II : </w:t>
      </w:r>
      <w:r w:rsidR="00B84F7F" w:rsidRPr="00E40443">
        <w:rPr>
          <w:rFonts w:cs="Arial"/>
          <w:szCs w:val="24"/>
        </w:rPr>
        <w:t xml:space="preserve">INITIAL </w:t>
      </w:r>
      <w:r w:rsidRPr="00E40443">
        <w:rPr>
          <w:rFonts w:cs="Arial"/>
          <w:szCs w:val="24"/>
        </w:rPr>
        <w:t xml:space="preserve">APPLICATION OF </w:t>
      </w:r>
      <w:r w:rsidRPr="00E40443">
        <w:rPr>
          <w:rFonts w:cs="Arial"/>
          <w:i/>
          <w:iCs/>
          <w:szCs w:val="24"/>
        </w:rPr>
        <w:t>DE BLOEDIGE HAND</w:t>
      </w:r>
      <w:bookmarkEnd w:id="8"/>
    </w:p>
    <w:p w14:paraId="727CF16B" w14:textId="5D830729" w:rsidR="008E2CF4" w:rsidRPr="00E40443" w:rsidRDefault="00092A3A" w:rsidP="00C5627E">
      <w:pPr>
        <w:pStyle w:val="Heading2"/>
        <w:numPr>
          <w:ilvl w:val="1"/>
          <w:numId w:val="34"/>
        </w:numPr>
        <w:ind w:left="567" w:hanging="567"/>
        <w:rPr>
          <w:rFonts w:cs="Arial"/>
          <w:b w:val="0"/>
          <w:bCs/>
          <w:szCs w:val="24"/>
        </w:rPr>
      </w:pPr>
      <w:bookmarkStart w:id="9" w:name="_Toc191216257"/>
      <w:r w:rsidRPr="00E40443">
        <w:rPr>
          <w:rFonts w:cs="Arial"/>
          <w:bCs/>
          <w:szCs w:val="24"/>
        </w:rPr>
        <w:t>Overview</w:t>
      </w:r>
      <w:bookmarkEnd w:id="9"/>
    </w:p>
    <w:p w14:paraId="18689466" w14:textId="3F37E541" w:rsidR="00AC6D04" w:rsidRPr="00E40443" w:rsidRDefault="007A31D8" w:rsidP="00C5627E">
      <w:pPr>
        <w:rPr>
          <w:rFonts w:cs="Arial"/>
          <w:szCs w:val="24"/>
        </w:rPr>
      </w:pPr>
      <w:bookmarkStart w:id="10" w:name="_Hlk164591881"/>
      <w:r w:rsidRPr="00E40443">
        <w:rPr>
          <w:rFonts w:cs="Arial"/>
          <w:szCs w:val="24"/>
        </w:rPr>
        <w:t xml:space="preserve">In terms of the </w:t>
      </w:r>
      <w:r w:rsidR="00DD4BA0" w:rsidRPr="00E40443">
        <w:rPr>
          <w:rFonts w:cs="Arial"/>
          <w:szCs w:val="24"/>
        </w:rPr>
        <w:t>generalised common law maxim</w:t>
      </w:r>
      <w:r w:rsidR="00F3654D" w:rsidRPr="00E40443">
        <w:rPr>
          <w:rStyle w:val="FootnoteReference"/>
          <w:rFonts w:cs="Arial"/>
          <w:szCs w:val="24"/>
        </w:rPr>
        <w:footnoteReference w:id="43"/>
      </w:r>
      <w:r w:rsidR="00DD4BA0" w:rsidRPr="00E40443">
        <w:rPr>
          <w:rFonts w:cs="Arial"/>
          <w:szCs w:val="24"/>
        </w:rPr>
        <w:t xml:space="preserve"> </w:t>
      </w:r>
      <w:r w:rsidR="0079362A">
        <w:rPr>
          <w:rFonts w:cs="Arial"/>
          <w:szCs w:val="24"/>
        </w:rPr>
        <w:t>“</w:t>
      </w:r>
      <w:r w:rsidR="00DD4BA0" w:rsidRPr="00E40443">
        <w:rPr>
          <w:rFonts w:cs="Arial"/>
          <w:i/>
          <w:iCs/>
          <w:szCs w:val="24"/>
        </w:rPr>
        <w:t>nemo ex suo delicto meliorem suam conditionem facere potest</w:t>
      </w:r>
      <w:r w:rsidR="0079362A" w:rsidRPr="0079362A">
        <w:rPr>
          <w:rFonts w:cs="Arial"/>
          <w:szCs w:val="24"/>
        </w:rPr>
        <w:t>”</w:t>
      </w:r>
      <w:r w:rsidRPr="00E40443">
        <w:rPr>
          <w:rFonts w:cs="Arial"/>
          <w:szCs w:val="24"/>
        </w:rPr>
        <w:t>,</w:t>
      </w:r>
      <w:r w:rsidR="00DD4BA0" w:rsidRPr="00E40443">
        <w:rPr>
          <w:rFonts w:cs="Arial"/>
          <w:szCs w:val="24"/>
        </w:rPr>
        <w:t xml:space="preserve"> </w:t>
      </w:r>
      <w:r w:rsidR="004A6428" w:rsidRPr="00E40443">
        <w:rPr>
          <w:rFonts w:cs="Arial"/>
          <w:szCs w:val="24"/>
        </w:rPr>
        <w:t>meaning “</w:t>
      </w:r>
      <w:r w:rsidR="00DD4BA0" w:rsidRPr="00E40443">
        <w:rPr>
          <w:rFonts w:cs="Arial"/>
          <w:szCs w:val="24"/>
        </w:rPr>
        <w:t>no wrongdoer may derive any benefit from his criminal or wrongful conduct</w:t>
      </w:r>
      <w:r w:rsidR="004A6428" w:rsidRPr="00E40443">
        <w:rPr>
          <w:rFonts w:cs="Arial"/>
          <w:szCs w:val="24"/>
        </w:rPr>
        <w:t>”,</w:t>
      </w:r>
      <w:r w:rsidR="00DD4BA0" w:rsidRPr="00E40443">
        <w:rPr>
          <w:rStyle w:val="FootnoteReference"/>
          <w:rFonts w:cs="Arial"/>
          <w:szCs w:val="24"/>
        </w:rPr>
        <w:footnoteReference w:id="44"/>
      </w:r>
      <w:r w:rsidR="00DD4BA0" w:rsidRPr="00E40443">
        <w:rPr>
          <w:rFonts w:cs="Arial"/>
          <w:szCs w:val="24"/>
        </w:rPr>
        <w:t xml:space="preserve"> persons who were regarded as unworthy</w:t>
      </w:r>
      <w:r w:rsidR="007F690B" w:rsidRPr="00E40443">
        <w:rPr>
          <w:rFonts w:cs="Arial"/>
          <w:szCs w:val="24"/>
        </w:rPr>
        <w:t xml:space="preserve"> were prohibited from inheriting</w:t>
      </w:r>
      <w:r w:rsidR="00DD4BA0" w:rsidRPr="00E40443">
        <w:rPr>
          <w:rFonts w:cs="Arial"/>
          <w:szCs w:val="24"/>
        </w:rPr>
        <w:t>.</w:t>
      </w:r>
      <w:r w:rsidR="00DD4BA0" w:rsidRPr="00E40443">
        <w:rPr>
          <w:rStyle w:val="FootnoteReference"/>
          <w:rFonts w:cs="Arial"/>
          <w:szCs w:val="24"/>
        </w:rPr>
        <w:footnoteReference w:id="45"/>
      </w:r>
      <w:r w:rsidR="00DD4BA0" w:rsidRPr="00E40443">
        <w:rPr>
          <w:rFonts w:cs="Arial"/>
          <w:szCs w:val="24"/>
        </w:rPr>
        <w:t xml:space="preserve"> </w:t>
      </w:r>
      <w:r w:rsidR="00811CAE" w:rsidRPr="00E40443">
        <w:rPr>
          <w:rFonts w:cs="Arial"/>
          <w:szCs w:val="24"/>
        </w:rPr>
        <w:t>Such unworthiness “irrevocably excluded” an heir from inheriting.</w:t>
      </w:r>
      <w:r w:rsidR="00811CAE" w:rsidRPr="00E40443">
        <w:rPr>
          <w:rStyle w:val="FootnoteReference"/>
          <w:rFonts w:cs="Arial"/>
          <w:szCs w:val="24"/>
        </w:rPr>
        <w:footnoteReference w:id="46"/>
      </w:r>
    </w:p>
    <w:p w14:paraId="61588188" w14:textId="64611B71" w:rsidR="00115CE2" w:rsidRPr="00E40443" w:rsidRDefault="007A31D8" w:rsidP="00C5627E">
      <w:pPr>
        <w:rPr>
          <w:rFonts w:cs="Arial"/>
          <w:szCs w:val="24"/>
        </w:rPr>
      </w:pPr>
      <w:r w:rsidRPr="00E40443">
        <w:rPr>
          <w:rFonts w:cs="Arial"/>
          <w:szCs w:val="24"/>
        </w:rPr>
        <w:t>Although t</w:t>
      </w:r>
      <w:r w:rsidR="00A97FD9" w:rsidRPr="00E40443">
        <w:rPr>
          <w:rFonts w:cs="Arial"/>
          <w:szCs w:val="24"/>
        </w:rPr>
        <w:t>here is no general unworthiness in terms whereof a</w:t>
      </w:r>
      <w:r w:rsidR="00D373D6" w:rsidRPr="00E40443">
        <w:rPr>
          <w:rFonts w:cs="Arial"/>
          <w:szCs w:val="24"/>
        </w:rPr>
        <w:t xml:space="preserve"> wrongdoer is</w:t>
      </w:r>
      <w:r w:rsidR="00A97FD9" w:rsidRPr="00E40443">
        <w:rPr>
          <w:rFonts w:cs="Arial"/>
          <w:szCs w:val="24"/>
        </w:rPr>
        <w:t xml:space="preserve"> </w:t>
      </w:r>
      <w:r w:rsidR="00D373D6" w:rsidRPr="00E40443">
        <w:rPr>
          <w:rFonts w:cs="Arial"/>
          <w:szCs w:val="24"/>
        </w:rPr>
        <w:t>disqualified from inheriting</w:t>
      </w:r>
      <w:r w:rsidRPr="00E40443">
        <w:rPr>
          <w:rFonts w:cs="Arial"/>
          <w:szCs w:val="24"/>
        </w:rPr>
        <w:t>,</w:t>
      </w:r>
      <w:r w:rsidR="00D373D6" w:rsidRPr="00E40443">
        <w:rPr>
          <w:rStyle w:val="FootnoteReference"/>
          <w:rFonts w:cs="Arial"/>
          <w:szCs w:val="24"/>
        </w:rPr>
        <w:footnoteReference w:id="47"/>
      </w:r>
      <w:r w:rsidR="00AD6016" w:rsidRPr="00E40443">
        <w:rPr>
          <w:rFonts w:cs="Arial"/>
          <w:szCs w:val="24"/>
        </w:rPr>
        <w:t xml:space="preserve"> committing certain offences, ranging from fraud</w:t>
      </w:r>
      <w:r w:rsidR="00AD6016" w:rsidRPr="00E40443">
        <w:rPr>
          <w:rStyle w:val="FootnoteReference"/>
          <w:rFonts w:cs="Arial"/>
          <w:szCs w:val="24"/>
        </w:rPr>
        <w:footnoteReference w:id="48"/>
      </w:r>
      <w:r w:rsidR="00AD6016" w:rsidRPr="00E40443">
        <w:rPr>
          <w:rFonts w:cs="Arial"/>
          <w:szCs w:val="24"/>
        </w:rPr>
        <w:t xml:space="preserve"> to the unlawful causing of another’s death</w:t>
      </w:r>
      <w:r w:rsidR="00AD6016" w:rsidRPr="00E40443">
        <w:rPr>
          <w:rStyle w:val="FootnoteReference"/>
          <w:rFonts w:cs="Arial"/>
          <w:szCs w:val="24"/>
        </w:rPr>
        <w:footnoteReference w:id="49"/>
      </w:r>
      <w:r w:rsidR="00AD6016" w:rsidRPr="00E40443">
        <w:rPr>
          <w:rFonts w:cs="Arial"/>
          <w:szCs w:val="24"/>
        </w:rPr>
        <w:t xml:space="preserve"> will result in disqualification.</w:t>
      </w:r>
      <w:r w:rsidR="00E61D67" w:rsidRPr="00E40443">
        <w:rPr>
          <w:rStyle w:val="FootnoteReference"/>
          <w:rFonts w:cs="Arial"/>
          <w:szCs w:val="24"/>
        </w:rPr>
        <w:footnoteReference w:id="50"/>
      </w:r>
      <w:r w:rsidR="00E61D67" w:rsidRPr="00E40443">
        <w:rPr>
          <w:rFonts w:cs="Arial"/>
          <w:szCs w:val="24"/>
        </w:rPr>
        <w:t xml:space="preserve"> </w:t>
      </w:r>
      <w:r w:rsidR="00AC6D04" w:rsidRPr="00E40443">
        <w:rPr>
          <w:rFonts w:cs="Arial"/>
          <w:szCs w:val="24"/>
        </w:rPr>
        <w:t>It h</w:t>
      </w:r>
      <w:r w:rsidR="00D3277A" w:rsidRPr="00E40443">
        <w:rPr>
          <w:rFonts w:cs="Arial"/>
          <w:szCs w:val="24"/>
        </w:rPr>
        <w:t>as</w:t>
      </w:r>
      <w:r w:rsidR="00AC6D04" w:rsidRPr="00E40443">
        <w:rPr>
          <w:rFonts w:cs="Arial"/>
          <w:szCs w:val="24"/>
        </w:rPr>
        <w:t xml:space="preserve"> been held that most disqualifications were based on “dishonourable, deceitful, viole</w:t>
      </w:r>
      <w:r w:rsidR="000D0A3E" w:rsidRPr="00E40443">
        <w:rPr>
          <w:rFonts w:cs="Arial"/>
          <w:szCs w:val="24"/>
        </w:rPr>
        <w:t>n</w:t>
      </w:r>
      <w:r w:rsidR="00AC6D04" w:rsidRPr="00E40443">
        <w:rPr>
          <w:rFonts w:cs="Arial"/>
          <w:szCs w:val="24"/>
        </w:rPr>
        <w:t>t or corrupt conduct on the part of the heir</w:t>
      </w:r>
      <w:r w:rsidR="00197A21" w:rsidRPr="00E40443">
        <w:rPr>
          <w:rFonts w:cs="Arial"/>
          <w:szCs w:val="24"/>
        </w:rPr>
        <w:t>”</w:t>
      </w:r>
      <w:r w:rsidR="00AC6D04" w:rsidRPr="00E40443">
        <w:rPr>
          <w:rFonts w:cs="Arial"/>
          <w:szCs w:val="24"/>
        </w:rPr>
        <w:t xml:space="preserve"> </w:t>
      </w:r>
      <w:r w:rsidR="00197A21" w:rsidRPr="00E40443">
        <w:rPr>
          <w:rFonts w:cs="Arial"/>
          <w:szCs w:val="24"/>
        </w:rPr>
        <w:t xml:space="preserve">towards </w:t>
      </w:r>
      <w:r w:rsidR="00AC6D04" w:rsidRPr="00E40443">
        <w:rPr>
          <w:rFonts w:cs="Arial"/>
          <w:szCs w:val="24"/>
        </w:rPr>
        <w:t xml:space="preserve">the </w:t>
      </w:r>
      <w:r w:rsidR="00A92277" w:rsidRPr="00E40443">
        <w:rPr>
          <w:rFonts w:cs="Arial"/>
          <w:szCs w:val="24"/>
        </w:rPr>
        <w:t>testator</w:t>
      </w:r>
      <w:r w:rsidR="00AC6D04" w:rsidRPr="00E40443">
        <w:rPr>
          <w:rFonts w:cs="Arial"/>
          <w:szCs w:val="24"/>
        </w:rPr>
        <w:t>.</w:t>
      </w:r>
      <w:r w:rsidR="00AC6D04" w:rsidRPr="00E40443">
        <w:rPr>
          <w:rStyle w:val="FootnoteReference"/>
          <w:rFonts w:cs="Arial"/>
          <w:szCs w:val="24"/>
        </w:rPr>
        <w:footnoteReference w:id="51"/>
      </w:r>
      <w:r w:rsidR="00115CE2" w:rsidRPr="00E40443">
        <w:rPr>
          <w:rFonts w:cs="Arial"/>
          <w:szCs w:val="24"/>
        </w:rPr>
        <w:t xml:space="preserve"> It further bears mentioning that no person will be disqualified from inheriting merely because of faults of</w:t>
      </w:r>
      <w:r w:rsidR="00361DB7">
        <w:rPr>
          <w:rFonts w:cs="Arial"/>
          <w:szCs w:val="24"/>
        </w:rPr>
        <w:t>,</w:t>
      </w:r>
      <w:r w:rsidR="00115CE2" w:rsidRPr="00E40443">
        <w:rPr>
          <w:rFonts w:cs="Arial"/>
          <w:szCs w:val="24"/>
        </w:rPr>
        <w:t xml:space="preserve"> or a weak o</w:t>
      </w:r>
      <w:r w:rsidR="00361DB7">
        <w:rPr>
          <w:rFonts w:cs="Arial"/>
          <w:szCs w:val="24"/>
        </w:rPr>
        <w:t>r</w:t>
      </w:r>
      <w:r w:rsidR="00115CE2" w:rsidRPr="00E40443">
        <w:rPr>
          <w:rFonts w:cs="Arial"/>
          <w:szCs w:val="24"/>
        </w:rPr>
        <w:t xml:space="preserve"> doubtful</w:t>
      </w:r>
      <w:r w:rsidR="00361DB7">
        <w:rPr>
          <w:rFonts w:cs="Arial"/>
          <w:szCs w:val="24"/>
        </w:rPr>
        <w:t>,</w:t>
      </w:r>
      <w:r w:rsidR="00115CE2" w:rsidRPr="00E40443">
        <w:rPr>
          <w:rFonts w:cs="Arial"/>
          <w:szCs w:val="24"/>
        </w:rPr>
        <w:t xml:space="preserve"> character.</w:t>
      </w:r>
      <w:r w:rsidR="00115CE2" w:rsidRPr="00E40443">
        <w:rPr>
          <w:rStyle w:val="FootnoteReference"/>
          <w:rFonts w:cs="Arial"/>
          <w:szCs w:val="24"/>
        </w:rPr>
        <w:footnoteReference w:id="52"/>
      </w:r>
    </w:p>
    <w:p w14:paraId="1FC9320C" w14:textId="709D06C3" w:rsidR="00115CE2" w:rsidRPr="00E40443" w:rsidRDefault="006D0748" w:rsidP="00C5627E">
      <w:pPr>
        <w:rPr>
          <w:rFonts w:cs="Arial"/>
          <w:szCs w:val="24"/>
        </w:rPr>
      </w:pPr>
      <w:r w:rsidRPr="00E40443">
        <w:rPr>
          <w:rFonts w:cs="Arial"/>
          <w:szCs w:val="24"/>
        </w:rPr>
        <w:t xml:space="preserve">If there is reason to believe that an </w:t>
      </w:r>
      <w:r w:rsidR="00115CE2" w:rsidRPr="00E40443">
        <w:rPr>
          <w:rFonts w:cs="Arial"/>
          <w:szCs w:val="24"/>
        </w:rPr>
        <w:t xml:space="preserve">heir is unworthy, </w:t>
      </w:r>
      <w:r w:rsidRPr="00E40443">
        <w:rPr>
          <w:rFonts w:cs="Arial"/>
          <w:szCs w:val="24"/>
        </w:rPr>
        <w:t>an interested party</w:t>
      </w:r>
      <w:r w:rsidR="00143A06" w:rsidRPr="00E40443">
        <w:rPr>
          <w:rStyle w:val="FootnoteReference"/>
          <w:rFonts w:cs="Arial"/>
          <w:szCs w:val="24"/>
        </w:rPr>
        <w:footnoteReference w:id="53"/>
      </w:r>
      <w:r w:rsidRPr="00E40443">
        <w:rPr>
          <w:rFonts w:cs="Arial"/>
          <w:szCs w:val="24"/>
        </w:rPr>
        <w:t xml:space="preserve"> </w:t>
      </w:r>
      <w:r w:rsidR="00115CE2" w:rsidRPr="00E40443">
        <w:rPr>
          <w:rFonts w:cs="Arial"/>
          <w:szCs w:val="24"/>
        </w:rPr>
        <w:t xml:space="preserve">must object to the Liquidation and Distribution Account and approach a competent </w:t>
      </w:r>
      <w:r w:rsidR="00A400F0">
        <w:rPr>
          <w:rFonts w:cs="Arial"/>
          <w:szCs w:val="24"/>
        </w:rPr>
        <w:t>c</w:t>
      </w:r>
      <w:r w:rsidR="00115CE2" w:rsidRPr="00E40443">
        <w:rPr>
          <w:rFonts w:cs="Arial"/>
          <w:szCs w:val="24"/>
        </w:rPr>
        <w:t>ourt for an order</w:t>
      </w:r>
      <w:r w:rsidRPr="00E40443">
        <w:rPr>
          <w:rFonts w:cs="Arial"/>
          <w:szCs w:val="24"/>
        </w:rPr>
        <w:t xml:space="preserve"> declaring such heir unworthy to inherit</w:t>
      </w:r>
      <w:r w:rsidR="00115CE2" w:rsidRPr="00E40443">
        <w:rPr>
          <w:rFonts w:cs="Arial"/>
          <w:szCs w:val="24"/>
        </w:rPr>
        <w:t>.</w:t>
      </w:r>
      <w:r w:rsidR="00115CE2" w:rsidRPr="00E40443">
        <w:rPr>
          <w:rStyle w:val="FootnoteReference"/>
          <w:rFonts w:cs="Arial"/>
          <w:szCs w:val="24"/>
        </w:rPr>
        <w:footnoteReference w:id="54"/>
      </w:r>
      <w:r w:rsidR="00115CE2" w:rsidRPr="00E40443">
        <w:rPr>
          <w:rFonts w:cs="Arial"/>
          <w:szCs w:val="24"/>
        </w:rPr>
        <w:t xml:space="preserve"> </w:t>
      </w:r>
      <w:r w:rsidR="002542D0" w:rsidRPr="00E40443">
        <w:rPr>
          <w:rFonts w:cs="Arial"/>
          <w:szCs w:val="24"/>
        </w:rPr>
        <w:t xml:space="preserve">After considering the evidence, a </w:t>
      </w:r>
      <w:r w:rsidR="00A400F0">
        <w:rPr>
          <w:rFonts w:cs="Arial"/>
          <w:szCs w:val="24"/>
        </w:rPr>
        <w:t>c</w:t>
      </w:r>
      <w:r w:rsidR="002542D0" w:rsidRPr="00E40443">
        <w:rPr>
          <w:rFonts w:cs="Arial"/>
          <w:szCs w:val="24"/>
        </w:rPr>
        <w:t xml:space="preserve">ourt will grant an order if satisfied that the case </w:t>
      </w:r>
      <w:r w:rsidR="00361DB7">
        <w:rPr>
          <w:rFonts w:cs="Arial"/>
          <w:szCs w:val="24"/>
        </w:rPr>
        <w:t xml:space="preserve">has been proven </w:t>
      </w:r>
      <w:r w:rsidR="00115CE2" w:rsidRPr="00E40443">
        <w:rPr>
          <w:rFonts w:cs="Arial"/>
          <w:szCs w:val="24"/>
        </w:rPr>
        <w:t>on a balance of probabilities.</w:t>
      </w:r>
      <w:r w:rsidR="00115CE2" w:rsidRPr="00E40443">
        <w:rPr>
          <w:rStyle w:val="FootnoteReference"/>
          <w:rFonts w:cs="Arial"/>
          <w:szCs w:val="24"/>
        </w:rPr>
        <w:footnoteReference w:id="55"/>
      </w:r>
      <w:r w:rsidR="00115CE2" w:rsidRPr="00E40443">
        <w:rPr>
          <w:rFonts w:cs="Arial"/>
          <w:szCs w:val="24"/>
        </w:rPr>
        <w:t xml:space="preserve"> </w:t>
      </w:r>
    </w:p>
    <w:bookmarkEnd w:id="10"/>
    <w:p w14:paraId="3C6B2D15" w14:textId="30E875FE" w:rsidR="002977D8" w:rsidRPr="00E40443" w:rsidRDefault="002977D8" w:rsidP="00C5627E">
      <w:pPr>
        <w:rPr>
          <w:rFonts w:cs="Arial"/>
          <w:szCs w:val="24"/>
        </w:rPr>
      </w:pPr>
    </w:p>
    <w:p w14:paraId="35F0CC68" w14:textId="0195CC55" w:rsidR="0086327A" w:rsidRPr="00E40443" w:rsidRDefault="00092A3A" w:rsidP="00C5627E">
      <w:pPr>
        <w:pStyle w:val="Heading2"/>
        <w:numPr>
          <w:ilvl w:val="1"/>
          <w:numId w:val="30"/>
        </w:numPr>
        <w:ind w:left="567" w:hanging="567"/>
        <w:rPr>
          <w:rFonts w:cs="Arial"/>
          <w:b w:val="0"/>
          <w:bCs/>
          <w:szCs w:val="24"/>
        </w:rPr>
      </w:pPr>
      <w:bookmarkStart w:id="11" w:name="_Toc191216258"/>
      <w:r w:rsidRPr="00E40443">
        <w:rPr>
          <w:rFonts w:cs="Arial"/>
          <w:bCs/>
          <w:szCs w:val="24"/>
        </w:rPr>
        <w:t xml:space="preserve">Unworthiness </w:t>
      </w:r>
      <w:r>
        <w:rPr>
          <w:rFonts w:cs="Arial"/>
          <w:bCs/>
          <w:szCs w:val="24"/>
        </w:rPr>
        <w:t>i</w:t>
      </w:r>
      <w:r w:rsidRPr="00E40443">
        <w:rPr>
          <w:rFonts w:cs="Arial"/>
          <w:bCs/>
          <w:szCs w:val="24"/>
        </w:rPr>
        <w:t xml:space="preserve">n </w:t>
      </w:r>
      <w:r>
        <w:rPr>
          <w:rFonts w:cs="Arial"/>
          <w:bCs/>
          <w:szCs w:val="24"/>
        </w:rPr>
        <w:t>g</w:t>
      </w:r>
      <w:r w:rsidRPr="00E40443">
        <w:rPr>
          <w:rFonts w:cs="Arial"/>
          <w:bCs/>
          <w:szCs w:val="24"/>
        </w:rPr>
        <w:t>eneral</w:t>
      </w:r>
      <w:bookmarkEnd w:id="11"/>
    </w:p>
    <w:p w14:paraId="19CA4F7B" w14:textId="6116378B" w:rsidR="00A1055D" w:rsidRPr="00E40443" w:rsidRDefault="00A1055D" w:rsidP="00C5627E">
      <w:pPr>
        <w:rPr>
          <w:rFonts w:cs="Arial"/>
          <w:szCs w:val="24"/>
        </w:rPr>
      </w:pPr>
      <w:r w:rsidRPr="00E40443">
        <w:rPr>
          <w:rFonts w:cs="Arial"/>
          <w:szCs w:val="24"/>
        </w:rPr>
        <w:t>In terms of the law of succession, a beneficiary is worthy to inherit, unless expressly prohibited.</w:t>
      </w:r>
      <w:r w:rsidRPr="00E40443">
        <w:rPr>
          <w:rStyle w:val="FootnoteReference"/>
          <w:rFonts w:cs="Arial"/>
          <w:szCs w:val="24"/>
        </w:rPr>
        <w:footnoteReference w:id="56"/>
      </w:r>
      <w:r w:rsidRPr="00E40443">
        <w:rPr>
          <w:rFonts w:cs="Arial"/>
          <w:szCs w:val="24"/>
        </w:rPr>
        <w:t xml:space="preserve"> Unworthiness disqualifies a person from benefiting from a deceased estate if </w:t>
      </w:r>
      <w:r w:rsidRPr="00E40443">
        <w:rPr>
          <w:rFonts w:cs="Arial"/>
          <w:szCs w:val="24"/>
        </w:rPr>
        <w:lastRenderedPageBreak/>
        <w:t>such benefit is the result of his own punishable wrongdoing.</w:t>
      </w:r>
      <w:r w:rsidRPr="00E40443">
        <w:rPr>
          <w:rStyle w:val="FootnoteReference"/>
          <w:rFonts w:cs="Arial"/>
          <w:szCs w:val="24"/>
        </w:rPr>
        <w:footnoteReference w:id="57"/>
      </w:r>
      <w:r w:rsidRPr="00E40443">
        <w:rPr>
          <w:rFonts w:cs="Arial"/>
          <w:szCs w:val="24"/>
        </w:rPr>
        <w:t xml:space="preserve"> </w:t>
      </w:r>
      <w:r w:rsidR="00AF102F" w:rsidRPr="00E40443">
        <w:rPr>
          <w:rFonts w:cs="Arial"/>
          <w:szCs w:val="24"/>
        </w:rPr>
        <w:t>Contrary to the suggestion by Schoeman-Malan,</w:t>
      </w:r>
      <w:r w:rsidR="00101094" w:rsidRPr="00E40443">
        <w:rPr>
          <w:rStyle w:val="FootnoteReference"/>
          <w:rFonts w:cs="Arial"/>
          <w:szCs w:val="24"/>
        </w:rPr>
        <w:footnoteReference w:id="58"/>
      </w:r>
      <w:r w:rsidR="00AF102F" w:rsidRPr="00E40443">
        <w:rPr>
          <w:rFonts w:cs="Arial"/>
          <w:szCs w:val="24"/>
        </w:rPr>
        <w:t xml:space="preserve"> a wrongdoer is not automatically disqualified from inheriting</w:t>
      </w:r>
      <w:r w:rsidR="003C40D2">
        <w:rPr>
          <w:rFonts w:cs="Arial"/>
          <w:szCs w:val="24"/>
        </w:rPr>
        <w:t>.</w:t>
      </w:r>
    </w:p>
    <w:p w14:paraId="1C414124" w14:textId="237A9448" w:rsidR="00A1055D" w:rsidRPr="00E40443" w:rsidRDefault="00A1055D" w:rsidP="00C5627E">
      <w:pPr>
        <w:rPr>
          <w:rFonts w:cs="Arial"/>
          <w:szCs w:val="24"/>
        </w:rPr>
      </w:pPr>
      <w:r w:rsidRPr="00E40443">
        <w:rPr>
          <w:rFonts w:cs="Arial"/>
          <w:szCs w:val="24"/>
        </w:rPr>
        <w:t>It serves to mention that the taint of unworthiness is attached to the murderer himself; it stands independent of the act and is and remains attached to the murderer, even if he has served his sentence or if his conduct has been forgiven by the surviving family members,</w:t>
      </w:r>
      <w:r w:rsidRPr="00E40443">
        <w:rPr>
          <w:rStyle w:val="FootnoteReference"/>
          <w:rFonts w:cs="Arial"/>
          <w:szCs w:val="24"/>
        </w:rPr>
        <w:footnoteReference w:id="59"/>
      </w:r>
      <w:r w:rsidRPr="00E40443">
        <w:rPr>
          <w:rFonts w:cs="Arial"/>
          <w:szCs w:val="24"/>
        </w:rPr>
        <w:t xml:space="preserve"> as “it is not the will of the testator but the law itself which brings about ademption of bequests and declares the author of the killing to be unworthy”.</w:t>
      </w:r>
      <w:r w:rsidRPr="00E40443">
        <w:rPr>
          <w:rStyle w:val="FootnoteReference"/>
          <w:rFonts w:cs="Arial"/>
          <w:szCs w:val="24"/>
        </w:rPr>
        <w:footnoteReference w:id="60"/>
      </w:r>
      <w:r w:rsidRPr="00E40443">
        <w:rPr>
          <w:rFonts w:cs="Arial"/>
          <w:szCs w:val="24"/>
        </w:rPr>
        <w:t xml:space="preserve"> </w:t>
      </w:r>
    </w:p>
    <w:p w14:paraId="0171DE7B" w14:textId="30975D95" w:rsidR="00A1055D" w:rsidRPr="00E40443" w:rsidRDefault="00A1055D" w:rsidP="00C5627E">
      <w:pPr>
        <w:autoSpaceDE w:val="0"/>
        <w:autoSpaceDN w:val="0"/>
        <w:adjustRightInd w:val="0"/>
        <w:rPr>
          <w:rFonts w:cs="Arial"/>
          <w:szCs w:val="24"/>
        </w:rPr>
      </w:pPr>
      <w:r w:rsidRPr="00E40443">
        <w:rPr>
          <w:rFonts w:cs="Arial"/>
          <w:szCs w:val="24"/>
        </w:rPr>
        <w:t>Although there is no general unworthiness attached to a wrongdoer which disqualifies him from inheriting,</w:t>
      </w:r>
      <w:r w:rsidRPr="00E40443">
        <w:rPr>
          <w:rStyle w:val="FootnoteReference"/>
          <w:rFonts w:cs="Arial"/>
          <w:szCs w:val="24"/>
        </w:rPr>
        <w:footnoteReference w:id="61"/>
      </w:r>
      <w:r w:rsidRPr="00E40443">
        <w:rPr>
          <w:rFonts w:cs="Arial"/>
          <w:szCs w:val="24"/>
        </w:rPr>
        <w:t xml:space="preserve"> there are various offences</w:t>
      </w:r>
      <w:r w:rsidRPr="00E40443">
        <w:rPr>
          <w:rStyle w:val="FootnoteReference"/>
          <w:rFonts w:cs="Arial"/>
          <w:szCs w:val="24"/>
        </w:rPr>
        <w:footnoteReference w:id="62"/>
      </w:r>
      <w:r w:rsidRPr="00E40443">
        <w:rPr>
          <w:rFonts w:cs="Arial"/>
          <w:szCs w:val="24"/>
        </w:rPr>
        <w:t xml:space="preserve"> including murder, conspiracy to murder, complicity to murder, assault with the intention to cause grievous bodily harm that leads to murder, and culpable homicide,</w:t>
      </w:r>
      <w:r w:rsidRPr="00E40443">
        <w:rPr>
          <w:rStyle w:val="FootnoteReference"/>
          <w:rFonts w:cs="Arial"/>
          <w:szCs w:val="24"/>
        </w:rPr>
        <w:footnoteReference w:id="63"/>
      </w:r>
      <w:r w:rsidRPr="00E40443">
        <w:rPr>
          <w:rFonts w:cs="Arial"/>
          <w:szCs w:val="24"/>
        </w:rPr>
        <w:t xml:space="preserve"> disqualifying a wrongdoer from inheriting. This seems to be in keeping with the Roman-Dutch law, where one of the various grounds of disqualification was causing the death of the testator.</w:t>
      </w:r>
      <w:r w:rsidRPr="00E40443">
        <w:rPr>
          <w:rStyle w:val="FootnoteReference"/>
          <w:rFonts w:cs="Arial"/>
          <w:szCs w:val="24"/>
        </w:rPr>
        <w:footnoteReference w:id="64"/>
      </w:r>
      <w:r w:rsidRPr="00E40443">
        <w:rPr>
          <w:rFonts w:cs="Arial"/>
          <w:szCs w:val="24"/>
        </w:rPr>
        <w:t xml:space="preserve"> </w:t>
      </w:r>
      <w:r w:rsidR="004A0736" w:rsidRPr="00E40443">
        <w:rPr>
          <w:rFonts w:cs="Arial"/>
          <w:szCs w:val="24"/>
        </w:rPr>
        <w:t>In terms of public policy a person is disqualified from inheriting if his conduct is both morally reprehensible and punishable.</w:t>
      </w:r>
      <w:r w:rsidR="004A0736" w:rsidRPr="00E40443">
        <w:rPr>
          <w:rStyle w:val="FootnoteReference"/>
          <w:rFonts w:cs="Arial"/>
          <w:szCs w:val="24"/>
        </w:rPr>
        <w:footnoteReference w:id="65"/>
      </w:r>
    </w:p>
    <w:p w14:paraId="77A51BB2" w14:textId="531955A8" w:rsidR="0028186F" w:rsidRPr="00E40443" w:rsidRDefault="00A1055D" w:rsidP="00C5627E">
      <w:pPr>
        <w:rPr>
          <w:rFonts w:cs="Arial"/>
          <w:szCs w:val="24"/>
        </w:rPr>
      </w:pPr>
      <w:r w:rsidRPr="00E40443">
        <w:rPr>
          <w:rFonts w:cs="Arial"/>
          <w:szCs w:val="24"/>
        </w:rPr>
        <w:t>The grounds of unworthiness w</w:t>
      </w:r>
      <w:r w:rsidR="00AF102F" w:rsidRPr="00E40443">
        <w:rPr>
          <w:rFonts w:cs="Arial"/>
          <w:szCs w:val="24"/>
        </w:rPr>
        <w:t>ere</w:t>
      </w:r>
      <w:r w:rsidRPr="00E40443">
        <w:rPr>
          <w:rFonts w:cs="Arial"/>
          <w:szCs w:val="24"/>
        </w:rPr>
        <w:t xml:space="preserve"> initially a closed list, but as time progressed, the list was supplemented with grounds that </w:t>
      </w:r>
      <w:r w:rsidR="00AF102F" w:rsidRPr="00E40443">
        <w:rPr>
          <w:rFonts w:cs="Arial"/>
          <w:szCs w:val="24"/>
        </w:rPr>
        <w:t xml:space="preserve">were </w:t>
      </w:r>
      <w:r w:rsidRPr="00E40443">
        <w:rPr>
          <w:rFonts w:cs="Arial"/>
          <w:szCs w:val="24"/>
        </w:rPr>
        <w:t>in keeping with the developing societal standards.</w:t>
      </w:r>
      <w:r w:rsidR="00AF102F" w:rsidRPr="00E40443">
        <w:rPr>
          <w:rFonts w:cs="Arial"/>
          <w:szCs w:val="24"/>
        </w:rPr>
        <w:t xml:space="preserve"> These grounds serve as the foundation on which </w:t>
      </w:r>
      <w:r w:rsidR="00EE7B71">
        <w:rPr>
          <w:rFonts w:cs="Arial"/>
          <w:szCs w:val="24"/>
        </w:rPr>
        <w:t xml:space="preserve">only </w:t>
      </w:r>
      <w:r w:rsidR="00AF102F" w:rsidRPr="00E40443">
        <w:rPr>
          <w:rFonts w:cs="Arial"/>
          <w:szCs w:val="24"/>
        </w:rPr>
        <w:t xml:space="preserve">a competent court may declare </w:t>
      </w:r>
      <w:r w:rsidR="00EE7B71">
        <w:rPr>
          <w:rFonts w:cs="Arial"/>
          <w:szCs w:val="24"/>
        </w:rPr>
        <w:t xml:space="preserve">that </w:t>
      </w:r>
      <w:r w:rsidR="00AF102F" w:rsidRPr="00E40443">
        <w:rPr>
          <w:rFonts w:cs="Arial"/>
          <w:szCs w:val="24"/>
        </w:rPr>
        <w:t>a wrongdoer is disentitled from taking any benefit which originated as a result of his wrongful conduct.</w:t>
      </w:r>
      <w:r w:rsidR="00AF102F" w:rsidRPr="00E40443">
        <w:rPr>
          <w:rStyle w:val="FootnoteReference"/>
          <w:rFonts w:cs="Arial"/>
          <w:szCs w:val="24"/>
        </w:rPr>
        <w:footnoteReference w:id="66"/>
      </w:r>
      <w:r w:rsidR="00AF102F" w:rsidRPr="00E40443">
        <w:rPr>
          <w:rFonts w:cs="Arial"/>
          <w:szCs w:val="24"/>
        </w:rPr>
        <w:t xml:space="preserve"> A</w:t>
      </w:r>
      <w:r w:rsidRPr="00E40443">
        <w:rPr>
          <w:rFonts w:cs="Arial"/>
          <w:szCs w:val="24"/>
        </w:rPr>
        <w:t xml:space="preserve"> competent </w:t>
      </w:r>
      <w:r w:rsidR="00A400F0">
        <w:rPr>
          <w:rFonts w:cs="Arial"/>
          <w:szCs w:val="24"/>
        </w:rPr>
        <w:t>c</w:t>
      </w:r>
      <w:r w:rsidRPr="00E40443">
        <w:rPr>
          <w:rFonts w:cs="Arial"/>
          <w:szCs w:val="24"/>
        </w:rPr>
        <w:t xml:space="preserve">ourt has not only the discretion, but also the duty, to develop the common law in accordance with the </w:t>
      </w:r>
      <w:r w:rsidRPr="00E40443">
        <w:rPr>
          <w:rFonts w:cs="Arial"/>
          <w:i/>
          <w:iCs/>
          <w:szCs w:val="24"/>
        </w:rPr>
        <w:t>boni mores</w:t>
      </w:r>
      <w:r w:rsidRPr="00E40443">
        <w:rPr>
          <w:rFonts w:cs="Arial"/>
          <w:szCs w:val="24"/>
        </w:rPr>
        <w:t xml:space="preserve"> of society, by identifying grounds beyond those recorded in recognised sources, that offend such society at any given point in time.</w:t>
      </w:r>
      <w:r w:rsidRPr="00E40443">
        <w:rPr>
          <w:rStyle w:val="FootnoteReference"/>
          <w:rFonts w:cs="Arial"/>
          <w:szCs w:val="24"/>
        </w:rPr>
        <w:footnoteReference w:id="67"/>
      </w:r>
      <w:r w:rsidR="00AF102F" w:rsidRPr="00E40443">
        <w:rPr>
          <w:rFonts w:cs="Arial"/>
          <w:szCs w:val="24"/>
        </w:rPr>
        <w:t xml:space="preserve"> </w:t>
      </w:r>
      <w:r w:rsidR="004A0736" w:rsidRPr="00E40443">
        <w:rPr>
          <w:rFonts w:cs="Arial"/>
          <w:szCs w:val="24"/>
        </w:rPr>
        <w:t>The grounds of unworthiness may also be extended by analogy, subject thereto that a causal connection can be proven to exist between the wrongful conduct and the benefit derived as a result thereof.</w:t>
      </w:r>
      <w:r w:rsidR="004A0736" w:rsidRPr="00E40443">
        <w:rPr>
          <w:rStyle w:val="FootnoteReference"/>
          <w:rFonts w:cs="Arial"/>
          <w:szCs w:val="24"/>
        </w:rPr>
        <w:footnoteReference w:id="68"/>
      </w:r>
      <w:r w:rsidR="004A0736" w:rsidRPr="00E40443">
        <w:rPr>
          <w:rFonts w:cs="Arial"/>
          <w:szCs w:val="24"/>
        </w:rPr>
        <w:t xml:space="preserve"> </w:t>
      </w:r>
    </w:p>
    <w:p w14:paraId="7FB1A855" w14:textId="0DF800C0" w:rsidR="00A1055D" w:rsidRPr="00477BFA" w:rsidRDefault="0028186F" w:rsidP="00C5627E">
      <w:pPr>
        <w:rPr>
          <w:rStyle w:val="FootnoteReference"/>
          <w:rFonts w:cs="Arial"/>
          <w:szCs w:val="24"/>
          <w:vertAlign w:val="baseline"/>
        </w:rPr>
      </w:pPr>
      <w:r w:rsidRPr="00E40443">
        <w:rPr>
          <w:rFonts w:cs="Arial"/>
          <w:szCs w:val="24"/>
        </w:rPr>
        <w:lastRenderedPageBreak/>
        <w:t>Proceedings to have a wrongdoer declared unworthy to inherit are generally, but not always, limited to instances where the surviving spouse was convicted for the unlawful killing of the deceased.</w:t>
      </w:r>
      <w:r w:rsidRPr="00E40443">
        <w:rPr>
          <w:rStyle w:val="FootnoteReference"/>
          <w:rFonts w:cs="Arial"/>
          <w:szCs w:val="24"/>
        </w:rPr>
        <w:footnoteReference w:id="69"/>
      </w:r>
      <w:r w:rsidRPr="00E40443">
        <w:rPr>
          <w:rFonts w:cs="Arial"/>
          <w:szCs w:val="24"/>
        </w:rPr>
        <w:t xml:space="preserve"> The institution of </w:t>
      </w:r>
      <w:r w:rsidR="00941E42">
        <w:rPr>
          <w:rFonts w:cs="Arial"/>
          <w:szCs w:val="24"/>
        </w:rPr>
        <w:t xml:space="preserve">civil </w:t>
      </w:r>
      <w:r w:rsidRPr="00E40443">
        <w:rPr>
          <w:rFonts w:cs="Arial"/>
          <w:szCs w:val="24"/>
        </w:rPr>
        <w:t>proceedings is, however, not dependent on a criminal conviction.</w:t>
      </w:r>
      <w:r w:rsidRPr="00E40443">
        <w:rPr>
          <w:rStyle w:val="FootnoteReference"/>
          <w:rFonts w:cs="Arial"/>
          <w:szCs w:val="24"/>
        </w:rPr>
        <w:footnoteReference w:id="70"/>
      </w:r>
      <w:r w:rsidR="004A0736" w:rsidRPr="00E40443">
        <w:rPr>
          <w:rFonts w:cs="Arial"/>
          <w:szCs w:val="24"/>
        </w:rPr>
        <w:t xml:space="preserve"> </w:t>
      </w:r>
      <w:r w:rsidRPr="00E40443">
        <w:rPr>
          <w:rFonts w:cs="Arial"/>
          <w:szCs w:val="24"/>
        </w:rPr>
        <w:t>Despite a criminal conviction not being a requirement to declare a wrongdoer unworthy of inheriting,</w:t>
      </w:r>
      <w:r w:rsidRPr="00E40443">
        <w:rPr>
          <w:rStyle w:val="FootnoteReference"/>
          <w:rFonts w:cs="Arial"/>
          <w:szCs w:val="24"/>
        </w:rPr>
        <w:footnoteReference w:id="71"/>
      </w:r>
      <w:r w:rsidRPr="00E40443">
        <w:rPr>
          <w:rFonts w:cs="Arial"/>
          <w:szCs w:val="24"/>
        </w:rPr>
        <w:t xml:space="preserve"> it appears in practice</w:t>
      </w:r>
      <w:r w:rsidR="004A0736" w:rsidRPr="00E40443">
        <w:rPr>
          <w:rFonts w:cs="Arial"/>
          <w:szCs w:val="24"/>
        </w:rPr>
        <w:t xml:space="preserve"> that </w:t>
      </w:r>
      <w:r w:rsidRPr="00E40443">
        <w:rPr>
          <w:rFonts w:cs="Arial"/>
          <w:szCs w:val="24"/>
        </w:rPr>
        <w:t>unworthiness to inherit only becomes relevant after a criminal conviction.</w:t>
      </w:r>
      <w:r w:rsidRPr="00E40443">
        <w:rPr>
          <w:rStyle w:val="FootnoteReference"/>
          <w:rFonts w:cs="Arial"/>
          <w:szCs w:val="24"/>
        </w:rPr>
        <w:footnoteReference w:id="72"/>
      </w:r>
      <w:r w:rsidRPr="00E40443">
        <w:rPr>
          <w:rFonts w:cs="Arial"/>
          <w:szCs w:val="24"/>
        </w:rPr>
        <w:t xml:space="preserve"> Furthermore, offences barring an heir from inheriting are not limited to a charge of murder. To determine what will be sufficient to support such a claim will depend on the facts and the surrounding circumstances,</w:t>
      </w:r>
      <w:r w:rsidRPr="00E40443">
        <w:rPr>
          <w:rStyle w:val="FootnoteReference"/>
          <w:rFonts w:cs="Arial"/>
          <w:szCs w:val="24"/>
        </w:rPr>
        <w:footnoteReference w:id="73"/>
      </w:r>
      <w:r w:rsidRPr="00E40443">
        <w:rPr>
          <w:rFonts w:cs="Arial"/>
          <w:szCs w:val="24"/>
        </w:rPr>
        <w:t xml:space="preserve"> and disqualifying an heir on the grounds of good manners and justice, is viewed as fair.</w:t>
      </w:r>
      <w:r w:rsidRPr="00E40443">
        <w:rPr>
          <w:rStyle w:val="FootnoteReference"/>
          <w:rFonts w:cs="Arial"/>
          <w:szCs w:val="24"/>
        </w:rPr>
        <w:footnoteReference w:id="74"/>
      </w:r>
    </w:p>
    <w:p w14:paraId="042D86EA" w14:textId="54BC8140" w:rsidR="00C71D4C" w:rsidRPr="00E40443" w:rsidRDefault="00C71D4C" w:rsidP="00C5627E">
      <w:pPr>
        <w:rPr>
          <w:rFonts w:cs="Arial"/>
          <w:szCs w:val="24"/>
        </w:rPr>
      </w:pPr>
    </w:p>
    <w:p w14:paraId="3CDD79AB" w14:textId="5B8B6AFC" w:rsidR="002977D8" w:rsidRPr="00E40443" w:rsidRDefault="00092A3A" w:rsidP="00497C55">
      <w:pPr>
        <w:pStyle w:val="Heading2"/>
        <w:numPr>
          <w:ilvl w:val="1"/>
          <w:numId w:val="30"/>
        </w:numPr>
        <w:ind w:left="567" w:hanging="567"/>
        <w:rPr>
          <w:rFonts w:cs="Arial"/>
          <w:b w:val="0"/>
          <w:bCs/>
          <w:szCs w:val="24"/>
        </w:rPr>
      </w:pPr>
      <w:bookmarkStart w:id="12" w:name="_Toc191216259"/>
      <w:r w:rsidRPr="00E40443">
        <w:rPr>
          <w:rFonts w:cs="Arial"/>
          <w:bCs/>
          <w:szCs w:val="24"/>
        </w:rPr>
        <w:t xml:space="preserve">Statutory </w:t>
      </w:r>
      <w:r>
        <w:rPr>
          <w:rFonts w:cs="Arial"/>
          <w:bCs/>
          <w:szCs w:val="24"/>
        </w:rPr>
        <w:t>u</w:t>
      </w:r>
      <w:r w:rsidRPr="00E40443">
        <w:rPr>
          <w:rFonts w:cs="Arial"/>
          <w:bCs/>
          <w:szCs w:val="24"/>
        </w:rPr>
        <w:t>nworthiness</w:t>
      </w:r>
      <w:bookmarkEnd w:id="12"/>
    </w:p>
    <w:p w14:paraId="17917C9A" w14:textId="7AD32E23" w:rsidR="002977D8" w:rsidRPr="00E40443" w:rsidRDefault="00A6134D" w:rsidP="00C5627E">
      <w:pPr>
        <w:rPr>
          <w:rFonts w:cs="Arial"/>
          <w:szCs w:val="24"/>
        </w:rPr>
      </w:pPr>
      <w:r w:rsidRPr="00E40443">
        <w:rPr>
          <w:rFonts w:cs="Arial"/>
          <w:szCs w:val="24"/>
        </w:rPr>
        <w:t xml:space="preserve">The statutory grounds of unworthiness to inherit are </w:t>
      </w:r>
      <w:r w:rsidR="00A400F0">
        <w:rPr>
          <w:rFonts w:cs="Arial"/>
          <w:szCs w:val="24"/>
        </w:rPr>
        <w:t xml:space="preserve">contained </w:t>
      </w:r>
      <w:r w:rsidRPr="00E40443">
        <w:rPr>
          <w:rFonts w:cs="Arial"/>
          <w:szCs w:val="24"/>
        </w:rPr>
        <w:t xml:space="preserve">in section 4A of the </w:t>
      </w:r>
      <w:r w:rsidR="00BA3954" w:rsidRPr="00E40443">
        <w:rPr>
          <w:rFonts w:cs="Arial"/>
          <w:i/>
          <w:iCs/>
          <w:szCs w:val="24"/>
        </w:rPr>
        <w:t>Wills Act</w:t>
      </w:r>
      <w:r w:rsidRPr="00E40443">
        <w:rPr>
          <w:rFonts w:cs="Arial"/>
          <w:szCs w:val="24"/>
        </w:rPr>
        <w:t>.</w:t>
      </w:r>
      <w:r w:rsidR="00BA3954" w:rsidRPr="00E40443">
        <w:rPr>
          <w:rStyle w:val="FootnoteReference"/>
          <w:rFonts w:cs="Arial"/>
          <w:szCs w:val="24"/>
        </w:rPr>
        <w:footnoteReference w:id="75"/>
      </w:r>
    </w:p>
    <w:p w14:paraId="4365CD80" w14:textId="77777777" w:rsidR="002977D8" w:rsidRPr="00E40443" w:rsidRDefault="002977D8" w:rsidP="00C5627E">
      <w:pPr>
        <w:rPr>
          <w:rFonts w:cs="Arial"/>
          <w:szCs w:val="24"/>
        </w:rPr>
      </w:pPr>
    </w:p>
    <w:p w14:paraId="33899220" w14:textId="31320216" w:rsidR="002977D8" w:rsidRPr="00E40443" w:rsidRDefault="00092A3A" w:rsidP="00477BFA">
      <w:pPr>
        <w:pStyle w:val="Heading2"/>
        <w:numPr>
          <w:ilvl w:val="1"/>
          <w:numId w:val="30"/>
        </w:numPr>
        <w:ind w:left="567" w:hanging="567"/>
        <w:rPr>
          <w:rFonts w:cs="Arial"/>
          <w:b w:val="0"/>
          <w:bCs/>
          <w:szCs w:val="24"/>
        </w:rPr>
      </w:pPr>
      <w:bookmarkStart w:id="13" w:name="_Toc191216260"/>
      <w:r w:rsidRPr="00E40443">
        <w:rPr>
          <w:rFonts w:cs="Arial"/>
          <w:bCs/>
          <w:szCs w:val="24"/>
        </w:rPr>
        <w:t>Common law unworthiness</w:t>
      </w:r>
      <w:bookmarkEnd w:id="13"/>
    </w:p>
    <w:p w14:paraId="138E4928" w14:textId="08D4FFA5" w:rsidR="00A6134D" w:rsidRPr="00E40443" w:rsidRDefault="00A6134D" w:rsidP="00C5627E">
      <w:pPr>
        <w:rPr>
          <w:rFonts w:cs="Arial"/>
          <w:szCs w:val="24"/>
        </w:rPr>
      </w:pPr>
      <w:r w:rsidRPr="00E40443">
        <w:rPr>
          <w:rFonts w:cs="Arial"/>
          <w:szCs w:val="24"/>
        </w:rPr>
        <w:t>Common law is defined as “those rules of law not contained in an Act of Parliament or of legislation enacted by some other subordinate legislature, such as provincial legislature, but which is nevertheless just as binding as any legislation</w:t>
      </w:r>
      <w:r w:rsidR="00904EC5" w:rsidRPr="00E40443">
        <w:rPr>
          <w:rFonts w:cs="Arial"/>
          <w:szCs w:val="24"/>
        </w:rPr>
        <w:t>”</w:t>
      </w:r>
      <w:r w:rsidRPr="00E40443">
        <w:rPr>
          <w:rFonts w:cs="Arial"/>
          <w:szCs w:val="24"/>
        </w:rPr>
        <w:t>.</w:t>
      </w:r>
      <w:r w:rsidRPr="00E40443">
        <w:rPr>
          <w:rStyle w:val="FootnoteReference"/>
          <w:rFonts w:cs="Arial"/>
          <w:szCs w:val="24"/>
        </w:rPr>
        <w:footnoteReference w:id="76"/>
      </w:r>
    </w:p>
    <w:p w14:paraId="12749C1A" w14:textId="3B5E17AD" w:rsidR="00A6134D" w:rsidRPr="00E40443" w:rsidRDefault="00A6134D" w:rsidP="00C5627E">
      <w:pPr>
        <w:rPr>
          <w:rFonts w:cs="Arial"/>
          <w:szCs w:val="24"/>
        </w:rPr>
      </w:pPr>
      <w:r w:rsidRPr="00E40443">
        <w:rPr>
          <w:rFonts w:cs="Arial"/>
          <w:szCs w:val="24"/>
        </w:rPr>
        <w:lastRenderedPageBreak/>
        <w:t>In addition to the statutory exclusions, the common law also disqualifies certain individuals from inheriting on the basis of unworthiness,</w:t>
      </w:r>
      <w:r w:rsidRPr="00E40443">
        <w:rPr>
          <w:rStyle w:val="FootnoteReference"/>
          <w:rFonts w:cs="Arial"/>
          <w:szCs w:val="24"/>
        </w:rPr>
        <w:footnoteReference w:id="77"/>
      </w:r>
      <w:r w:rsidRPr="00E40443">
        <w:rPr>
          <w:rFonts w:cs="Arial"/>
          <w:szCs w:val="24"/>
        </w:rPr>
        <w:t xml:space="preserve"> objectively determined</w:t>
      </w:r>
      <w:r w:rsidRPr="00E40443">
        <w:rPr>
          <w:rStyle w:val="FootnoteReference"/>
          <w:rFonts w:cs="Arial"/>
          <w:szCs w:val="24"/>
        </w:rPr>
        <w:footnoteReference w:id="78"/>
      </w:r>
      <w:r w:rsidRPr="00E40443">
        <w:rPr>
          <w:rFonts w:cs="Arial"/>
          <w:szCs w:val="24"/>
        </w:rPr>
        <w:t xml:space="preserve"> and founded on whether or not an heir deserves to inherit.</w:t>
      </w:r>
      <w:r w:rsidRPr="00E40443">
        <w:rPr>
          <w:rStyle w:val="FootnoteReference"/>
          <w:rFonts w:cs="Arial"/>
          <w:szCs w:val="24"/>
        </w:rPr>
        <w:footnoteReference w:id="79"/>
      </w:r>
      <w:r w:rsidRPr="00E40443">
        <w:rPr>
          <w:rFonts w:cs="Arial"/>
          <w:szCs w:val="24"/>
        </w:rPr>
        <w:t xml:space="preserve"> These acts can be classified as being against the will, or against the testator.</w:t>
      </w:r>
      <w:r w:rsidRPr="00E40443">
        <w:rPr>
          <w:rStyle w:val="FootnoteReference"/>
          <w:rFonts w:cs="Arial"/>
          <w:szCs w:val="24"/>
        </w:rPr>
        <w:footnoteReference w:id="80"/>
      </w:r>
    </w:p>
    <w:p w14:paraId="7C97F0F1" w14:textId="14FC4D0D" w:rsidR="00E53297" w:rsidRPr="00E40443" w:rsidRDefault="009339CC" w:rsidP="00C5627E">
      <w:pPr>
        <w:rPr>
          <w:rFonts w:cs="Arial"/>
          <w:szCs w:val="24"/>
        </w:rPr>
      </w:pPr>
      <w:r w:rsidRPr="00E40443">
        <w:rPr>
          <w:rFonts w:cs="Arial"/>
          <w:szCs w:val="24"/>
        </w:rPr>
        <w:t>In respect of acts against the will, a declaration of unworthiness aims to prevent fraud and falsity.</w:t>
      </w:r>
      <w:r w:rsidRPr="00E40443">
        <w:rPr>
          <w:rStyle w:val="FootnoteReference"/>
          <w:rFonts w:cs="Arial"/>
          <w:szCs w:val="24"/>
        </w:rPr>
        <w:footnoteReference w:id="81"/>
      </w:r>
      <w:r w:rsidRPr="00E40443">
        <w:rPr>
          <w:rFonts w:cs="Arial"/>
          <w:szCs w:val="24"/>
        </w:rPr>
        <w:t xml:space="preserve"> </w:t>
      </w:r>
      <w:r w:rsidR="00406CEB" w:rsidRPr="00E40443">
        <w:rPr>
          <w:rFonts w:cs="Arial"/>
          <w:szCs w:val="24"/>
        </w:rPr>
        <w:t>Grotius</w:t>
      </w:r>
      <w:r w:rsidRPr="00E40443">
        <w:rPr>
          <w:rFonts w:cs="Arial"/>
          <w:szCs w:val="24"/>
        </w:rPr>
        <w:t xml:space="preserve"> identified eight specific grounds, while </w:t>
      </w:r>
      <w:r w:rsidR="00406CEB" w:rsidRPr="00E40443">
        <w:rPr>
          <w:rFonts w:cs="Arial"/>
          <w:szCs w:val="24"/>
        </w:rPr>
        <w:t>Voet</w:t>
      </w:r>
      <w:r w:rsidRPr="00E40443">
        <w:rPr>
          <w:rFonts w:cs="Arial"/>
          <w:szCs w:val="24"/>
        </w:rPr>
        <w:t xml:space="preserve"> identified no less than 22</w:t>
      </w:r>
      <w:r w:rsidR="00F24E88" w:rsidRPr="00E40443">
        <w:rPr>
          <w:rFonts w:cs="Arial"/>
          <w:szCs w:val="24"/>
        </w:rPr>
        <w:t>.</w:t>
      </w:r>
      <w:r w:rsidR="00F24E88" w:rsidRPr="00E40443">
        <w:rPr>
          <w:rStyle w:val="FootnoteReference"/>
          <w:rFonts w:cs="Arial"/>
          <w:szCs w:val="24"/>
        </w:rPr>
        <w:footnoteReference w:id="82"/>
      </w:r>
      <w:r w:rsidR="00F24E88" w:rsidRPr="00E40443">
        <w:rPr>
          <w:rFonts w:cs="Arial"/>
          <w:szCs w:val="24"/>
        </w:rPr>
        <w:t xml:space="preserve"> </w:t>
      </w:r>
      <w:r w:rsidR="003D398C" w:rsidRPr="00E40443">
        <w:rPr>
          <w:rFonts w:cs="Arial"/>
          <w:szCs w:val="24"/>
        </w:rPr>
        <w:t xml:space="preserve">These grounds fall outside the scope of this </w:t>
      </w:r>
      <w:r w:rsidR="00031525">
        <w:rPr>
          <w:rFonts w:cs="Arial"/>
          <w:szCs w:val="24"/>
        </w:rPr>
        <w:t>study</w:t>
      </w:r>
      <w:r w:rsidR="003D398C" w:rsidRPr="00E40443">
        <w:rPr>
          <w:rFonts w:cs="Arial"/>
          <w:szCs w:val="24"/>
        </w:rPr>
        <w:t>.</w:t>
      </w:r>
    </w:p>
    <w:p w14:paraId="4816D4D0" w14:textId="58330B89" w:rsidR="00E53297" w:rsidRPr="00E40443" w:rsidRDefault="00CC08DA" w:rsidP="00C5627E">
      <w:pPr>
        <w:rPr>
          <w:rFonts w:cs="Arial"/>
          <w:szCs w:val="24"/>
        </w:rPr>
      </w:pPr>
      <w:r w:rsidRPr="00E40443">
        <w:rPr>
          <w:rFonts w:cs="Arial"/>
          <w:szCs w:val="24"/>
        </w:rPr>
        <w:t>Since Roman times</w:t>
      </w:r>
      <w:r w:rsidR="00A76ADF" w:rsidRPr="00E40443">
        <w:rPr>
          <w:rFonts w:cs="Arial"/>
          <w:szCs w:val="24"/>
        </w:rPr>
        <w:t>, certain</w:t>
      </w:r>
      <w:r w:rsidR="00031525">
        <w:rPr>
          <w:rFonts w:cs="Arial"/>
          <w:szCs w:val="24"/>
        </w:rPr>
        <w:t xml:space="preserve"> types </w:t>
      </w:r>
      <w:r w:rsidR="00A76ADF" w:rsidRPr="00E40443">
        <w:rPr>
          <w:rFonts w:cs="Arial"/>
          <w:szCs w:val="24"/>
        </w:rPr>
        <w:t xml:space="preserve">of </w:t>
      </w:r>
      <w:r w:rsidRPr="00E40443">
        <w:rPr>
          <w:rFonts w:cs="Arial"/>
          <w:szCs w:val="24"/>
        </w:rPr>
        <w:t xml:space="preserve">conduct towards the testator deprived an heir of </w:t>
      </w:r>
      <w:r w:rsidR="00A76ADF" w:rsidRPr="00E40443">
        <w:rPr>
          <w:rFonts w:cs="Arial"/>
          <w:szCs w:val="24"/>
        </w:rPr>
        <w:t xml:space="preserve">his </w:t>
      </w:r>
      <w:r w:rsidRPr="00E40443">
        <w:rPr>
          <w:rFonts w:cs="Arial"/>
          <w:szCs w:val="24"/>
        </w:rPr>
        <w:t>inheritance.</w:t>
      </w:r>
      <w:r w:rsidR="00925294" w:rsidRPr="00E40443">
        <w:rPr>
          <w:rStyle w:val="FootnoteReference"/>
          <w:rFonts w:cs="Arial"/>
          <w:szCs w:val="24"/>
        </w:rPr>
        <w:footnoteReference w:id="83"/>
      </w:r>
      <w:r w:rsidR="00925294" w:rsidRPr="00E40443">
        <w:rPr>
          <w:rFonts w:cs="Arial"/>
          <w:szCs w:val="24"/>
        </w:rPr>
        <w:t xml:space="preserve"> </w:t>
      </w:r>
      <w:r w:rsidR="00BB628E" w:rsidRPr="00E40443">
        <w:rPr>
          <w:rFonts w:cs="Arial"/>
          <w:szCs w:val="24"/>
        </w:rPr>
        <w:t xml:space="preserve">The Court in </w:t>
      </w:r>
      <w:r w:rsidR="00BB628E" w:rsidRPr="00E40443">
        <w:rPr>
          <w:rFonts w:cs="Arial"/>
          <w:i/>
          <w:iCs/>
          <w:szCs w:val="24"/>
        </w:rPr>
        <w:t>Taylor v Pim</w:t>
      </w:r>
      <w:r w:rsidR="00BB628E" w:rsidRPr="00E40443">
        <w:rPr>
          <w:rFonts w:cs="Arial"/>
          <w:szCs w:val="24"/>
        </w:rPr>
        <w:t xml:space="preserve"> noted that certain common law grounds of unworthiness may be “obsolete and inconsistent with the more enlightened spirit of modern times”, but nonetheless proceeded</w:t>
      </w:r>
      <w:r w:rsidR="00925294" w:rsidRPr="00E40443">
        <w:rPr>
          <w:rFonts w:cs="Arial"/>
          <w:szCs w:val="24"/>
        </w:rPr>
        <w:t xml:space="preserve"> to</w:t>
      </w:r>
      <w:r w:rsidR="00BB628E" w:rsidRPr="00E40443">
        <w:rPr>
          <w:rFonts w:cs="Arial"/>
          <w:szCs w:val="24"/>
        </w:rPr>
        <w:t xml:space="preserve"> list </w:t>
      </w:r>
      <w:r w:rsidR="00925294" w:rsidRPr="00E40443">
        <w:rPr>
          <w:rFonts w:cs="Arial"/>
          <w:szCs w:val="24"/>
        </w:rPr>
        <w:t xml:space="preserve">certain acts which </w:t>
      </w:r>
      <w:r w:rsidR="00031525">
        <w:rPr>
          <w:rFonts w:cs="Arial"/>
          <w:szCs w:val="24"/>
        </w:rPr>
        <w:t>justify</w:t>
      </w:r>
      <w:r w:rsidR="00925294" w:rsidRPr="00E40443">
        <w:rPr>
          <w:rFonts w:cs="Arial"/>
          <w:szCs w:val="24"/>
        </w:rPr>
        <w:t xml:space="preserve"> a disqualification to inherit from the testator</w:t>
      </w:r>
      <w:r w:rsidR="00DC24EA" w:rsidRPr="00E40443">
        <w:rPr>
          <w:rFonts w:cs="Arial"/>
          <w:szCs w:val="24"/>
        </w:rPr>
        <w:t>.</w:t>
      </w:r>
      <w:r w:rsidR="00E46D63" w:rsidRPr="00E40443">
        <w:rPr>
          <w:rStyle w:val="FootnoteReference"/>
          <w:rFonts w:cs="Arial"/>
          <w:szCs w:val="24"/>
        </w:rPr>
        <w:footnoteReference w:id="84"/>
      </w:r>
      <w:r w:rsidR="00E46D63" w:rsidRPr="00E40443">
        <w:rPr>
          <w:rFonts w:cs="Arial"/>
          <w:szCs w:val="24"/>
        </w:rPr>
        <w:t xml:space="preserve"> </w:t>
      </w:r>
      <w:r w:rsidR="00925294" w:rsidRPr="00E40443">
        <w:rPr>
          <w:rFonts w:cs="Arial"/>
          <w:szCs w:val="24"/>
        </w:rPr>
        <w:t xml:space="preserve">This list was supplemented by </w:t>
      </w:r>
      <w:r w:rsidR="001D0B73" w:rsidRPr="00E40443">
        <w:rPr>
          <w:rFonts w:cs="Arial"/>
          <w:szCs w:val="24"/>
        </w:rPr>
        <w:t>Steyn</w:t>
      </w:r>
      <w:r w:rsidR="00066BC2" w:rsidRPr="00E40443">
        <w:rPr>
          <w:rFonts w:cs="Arial"/>
          <w:szCs w:val="24"/>
        </w:rPr>
        <w:t>.</w:t>
      </w:r>
      <w:r w:rsidR="00066BC2" w:rsidRPr="00E40443">
        <w:rPr>
          <w:rStyle w:val="FootnoteReference"/>
          <w:rFonts w:cs="Arial"/>
          <w:szCs w:val="24"/>
        </w:rPr>
        <w:footnoteReference w:id="85"/>
      </w:r>
    </w:p>
    <w:p w14:paraId="2F6A6334" w14:textId="3C11C0B2" w:rsidR="001A793B" w:rsidRPr="00E40443" w:rsidRDefault="00A76ADF" w:rsidP="00C5627E">
      <w:pPr>
        <w:rPr>
          <w:rFonts w:cs="Arial"/>
          <w:szCs w:val="24"/>
        </w:rPr>
      </w:pPr>
      <w:r w:rsidRPr="00E40443">
        <w:rPr>
          <w:rFonts w:cs="Arial"/>
          <w:szCs w:val="24"/>
        </w:rPr>
        <w:t xml:space="preserve">The gist of unworthiness is founded on the generalised principle that no person may benefit from their own wrongdoing, which general principle is adapted to apply in cases of unlawful killing and reprehensible conduct towards the deceased testator. The following paragraphs contain a discussion on each of the three pillars of </w:t>
      </w:r>
      <w:r w:rsidR="00031525" w:rsidRPr="00E40443">
        <w:rPr>
          <w:rFonts w:cs="Arial"/>
          <w:szCs w:val="24"/>
        </w:rPr>
        <w:t>unworthiness</w:t>
      </w:r>
      <w:r w:rsidRPr="00E40443">
        <w:rPr>
          <w:rFonts w:cs="Arial"/>
          <w:szCs w:val="24"/>
        </w:rPr>
        <w:t>.</w:t>
      </w:r>
    </w:p>
    <w:p w14:paraId="1092A3AD" w14:textId="77777777" w:rsidR="00F24E88" w:rsidRPr="00E40443" w:rsidRDefault="00F24E88" w:rsidP="00C5627E">
      <w:pPr>
        <w:rPr>
          <w:rFonts w:cs="Arial"/>
          <w:szCs w:val="24"/>
        </w:rPr>
      </w:pPr>
    </w:p>
    <w:p w14:paraId="3FB79B4F" w14:textId="4355669C" w:rsidR="002977D8" w:rsidRPr="0079362A" w:rsidRDefault="002977D8" w:rsidP="00477BFA">
      <w:pPr>
        <w:pStyle w:val="Heading3"/>
        <w:tabs>
          <w:tab w:val="left" w:pos="851"/>
        </w:tabs>
        <w:ind w:left="851" w:hanging="851"/>
        <w:rPr>
          <w:rFonts w:cs="Arial"/>
          <w:b/>
          <w:bCs/>
          <w:i/>
          <w:iCs/>
        </w:rPr>
      </w:pPr>
      <w:bookmarkStart w:id="14" w:name="_Toc191216261"/>
      <w:r w:rsidRPr="00E40443">
        <w:rPr>
          <w:rFonts w:cs="Arial"/>
          <w:b/>
          <w:bCs/>
        </w:rPr>
        <w:t>2.4.1</w:t>
      </w:r>
      <w:r w:rsidRPr="00E40443">
        <w:rPr>
          <w:rFonts w:cs="Arial"/>
        </w:rPr>
        <w:tab/>
      </w:r>
      <w:r w:rsidR="0079362A">
        <w:rPr>
          <w:rFonts w:cs="Arial"/>
        </w:rPr>
        <w:t>“</w:t>
      </w:r>
      <w:r w:rsidR="00EC7C4F" w:rsidRPr="00E40443">
        <w:rPr>
          <w:rFonts w:cs="Arial"/>
          <w:b/>
          <w:bCs/>
          <w:i/>
          <w:iCs/>
        </w:rPr>
        <w:t>N</w:t>
      </w:r>
      <w:r w:rsidRPr="00E40443">
        <w:rPr>
          <w:rFonts w:cs="Arial"/>
          <w:b/>
          <w:bCs/>
          <w:i/>
          <w:iCs/>
        </w:rPr>
        <w:t>emo ex suo delicto meliorem suam conditionem facere potest</w:t>
      </w:r>
      <w:r w:rsidR="0079362A" w:rsidRPr="0079362A">
        <w:rPr>
          <w:rFonts w:cs="Arial"/>
          <w:b/>
          <w:bCs/>
        </w:rPr>
        <w:t>”</w:t>
      </w:r>
      <w:bookmarkEnd w:id="14"/>
    </w:p>
    <w:p w14:paraId="01CDFCB2" w14:textId="398C7C04" w:rsidR="002977D8" w:rsidRPr="00E40443" w:rsidRDefault="002977D8" w:rsidP="001D7255">
      <w:pPr>
        <w:rPr>
          <w:rFonts w:cs="Arial"/>
          <w:szCs w:val="24"/>
        </w:rPr>
      </w:pPr>
      <w:r w:rsidRPr="00E40443">
        <w:rPr>
          <w:rFonts w:cs="Arial"/>
          <w:szCs w:val="24"/>
        </w:rPr>
        <w:t xml:space="preserve">The generalised common law principle </w:t>
      </w:r>
      <w:r w:rsidR="0079362A">
        <w:rPr>
          <w:rFonts w:cs="Arial"/>
          <w:szCs w:val="24"/>
        </w:rPr>
        <w:t>“</w:t>
      </w:r>
      <w:r w:rsidRPr="00E40443">
        <w:rPr>
          <w:rFonts w:cs="Arial"/>
          <w:i/>
          <w:iCs/>
          <w:szCs w:val="24"/>
        </w:rPr>
        <w:t>nemo ex suo delicto meliorem suam conditionem facere potest</w:t>
      </w:r>
      <w:r w:rsidR="0079362A">
        <w:rPr>
          <w:rFonts w:cs="Arial"/>
          <w:szCs w:val="24"/>
        </w:rPr>
        <w:t>”</w:t>
      </w:r>
      <w:r w:rsidR="00031525">
        <w:rPr>
          <w:rFonts w:cs="Arial"/>
          <w:szCs w:val="24"/>
        </w:rPr>
        <w:t>,</w:t>
      </w:r>
      <w:r w:rsidRPr="00E40443">
        <w:rPr>
          <w:rFonts w:cs="Arial"/>
          <w:szCs w:val="24"/>
        </w:rPr>
        <w:t xml:space="preserve"> </w:t>
      </w:r>
      <w:r w:rsidR="00031525">
        <w:rPr>
          <w:rFonts w:cs="Arial"/>
          <w:szCs w:val="24"/>
        </w:rPr>
        <w:t xml:space="preserve">which </w:t>
      </w:r>
      <w:r w:rsidRPr="00E40443">
        <w:rPr>
          <w:rFonts w:cs="Arial"/>
          <w:szCs w:val="24"/>
        </w:rPr>
        <w:t xml:space="preserve">states that a wrongdoer may </w:t>
      </w:r>
      <w:r w:rsidR="00F162E0" w:rsidRPr="00E40443">
        <w:rPr>
          <w:rFonts w:cs="Arial"/>
          <w:szCs w:val="24"/>
        </w:rPr>
        <w:t xml:space="preserve">not </w:t>
      </w:r>
      <w:r w:rsidRPr="00E40443">
        <w:rPr>
          <w:rFonts w:cs="Arial"/>
          <w:szCs w:val="24"/>
        </w:rPr>
        <w:t>“improve his own condition by his own wrongdoing”</w:t>
      </w:r>
      <w:r w:rsidR="00031525">
        <w:rPr>
          <w:rFonts w:cs="Arial"/>
          <w:szCs w:val="24"/>
        </w:rPr>
        <w:t>,</w:t>
      </w:r>
      <w:r w:rsidR="00F24E88" w:rsidRPr="00E40443">
        <w:rPr>
          <w:rFonts w:cs="Arial"/>
          <w:szCs w:val="24"/>
        </w:rPr>
        <w:t xml:space="preserve"> is the first consideration.</w:t>
      </w:r>
      <w:r w:rsidRPr="00E40443">
        <w:rPr>
          <w:rStyle w:val="FootnoteReference"/>
          <w:rFonts w:cs="Arial"/>
          <w:szCs w:val="24"/>
        </w:rPr>
        <w:footnoteReference w:id="86"/>
      </w:r>
      <w:r w:rsidR="00716CA3">
        <w:rPr>
          <w:rFonts w:cs="Arial"/>
          <w:szCs w:val="24"/>
        </w:rPr>
        <w:t xml:space="preserve"> </w:t>
      </w:r>
      <w:r w:rsidR="001D7255">
        <w:rPr>
          <w:rFonts w:cs="Arial"/>
          <w:szCs w:val="24"/>
        </w:rPr>
        <w:t xml:space="preserve">It is trite that this so-called general </w:t>
      </w:r>
      <w:r w:rsidR="001D7255" w:rsidRPr="00E40443">
        <w:rPr>
          <w:rFonts w:cs="Arial"/>
          <w:szCs w:val="24"/>
        </w:rPr>
        <w:t>unworthiness</w:t>
      </w:r>
      <w:r w:rsidR="001D7255">
        <w:rPr>
          <w:rFonts w:cs="Arial"/>
          <w:szCs w:val="24"/>
        </w:rPr>
        <w:t xml:space="preserve"> finds application in various fields of law, to wit succession,</w:t>
      </w:r>
      <w:r w:rsidR="000C03AF" w:rsidRPr="00E40443">
        <w:rPr>
          <w:rStyle w:val="FootnoteReference"/>
          <w:rFonts w:cs="Arial"/>
          <w:szCs w:val="24"/>
        </w:rPr>
        <w:footnoteReference w:id="87"/>
      </w:r>
      <w:r w:rsidR="000C03AF">
        <w:rPr>
          <w:rFonts w:cs="Arial"/>
          <w:szCs w:val="24"/>
        </w:rPr>
        <w:t xml:space="preserve"> </w:t>
      </w:r>
      <w:r w:rsidR="00DD6C57" w:rsidRPr="00E40443">
        <w:rPr>
          <w:rFonts w:cs="Arial"/>
          <w:szCs w:val="24"/>
        </w:rPr>
        <w:t>life insurance, policy benefits, pension benefits</w:t>
      </w:r>
      <w:r w:rsidR="001D7255">
        <w:rPr>
          <w:rFonts w:cs="Arial"/>
          <w:szCs w:val="24"/>
        </w:rPr>
        <w:t>,</w:t>
      </w:r>
      <w:r w:rsidR="00DD6C57" w:rsidRPr="00E40443">
        <w:rPr>
          <w:rFonts w:cs="Arial"/>
          <w:szCs w:val="24"/>
        </w:rPr>
        <w:t xml:space="preserve"> and </w:t>
      </w:r>
      <w:r w:rsidR="001D7255">
        <w:rPr>
          <w:rFonts w:cs="Arial"/>
          <w:szCs w:val="24"/>
        </w:rPr>
        <w:t xml:space="preserve">matrimonial property </w:t>
      </w:r>
      <w:r w:rsidR="00DD6C57" w:rsidRPr="00E40443">
        <w:rPr>
          <w:rFonts w:cs="Arial"/>
          <w:szCs w:val="24"/>
        </w:rPr>
        <w:t>benefits</w:t>
      </w:r>
      <w:r w:rsidR="00224644" w:rsidRPr="00E40443">
        <w:rPr>
          <w:rFonts w:cs="Arial"/>
          <w:szCs w:val="24"/>
        </w:rPr>
        <w:t>.</w:t>
      </w:r>
      <w:r w:rsidR="00224644" w:rsidRPr="00E40443">
        <w:rPr>
          <w:rStyle w:val="FootnoteReference"/>
          <w:rFonts w:cs="Arial"/>
          <w:szCs w:val="24"/>
        </w:rPr>
        <w:footnoteReference w:id="88"/>
      </w:r>
      <w:r w:rsidR="00E56D6D" w:rsidRPr="00E40443">
        <w:rPr>
          <w:rFonts w:cs="Arial"/>
          <w:szCs w:val="24"/>
        </w:rPr>
        <w:t xml:space="preserve"> </w:t>
      </w:r>
    </w:p>
    <w:p w14:paraId="17263D86" w14:textId="77777777" w:rsidR="005D0F37" w:rsidRPr="00E40443" w:rsidRDefault="005D0F37" w:rsidP="00C5627E">
      <w:pPr>
        <w:rPr>
          <w:rFonts w:cs="Arial"/>
          <w:szCs w:val="24"/>
        </w:rPr>
      </w:pPr>
      <w:bookmarkStart w:id="15" w:name="_Hlk164604498"/>
    </w:p>
    <w:p w14:paraId="6C9FB6DD" w14:textId="2CBDD446" w:rsidR="00FD1C38" w:rsidRPr="00E40443" w:rsidRDefault="00EC7C4F" w:rsidP="00477BFA">
      <w:pPr>
        <w:pStyle w:val="Heading3"/>
        <w:numPr>
          <w:ilvl w:val="2"/>
          <w:numId w:val="19"/>
        </w:numPr>
        <w:ind w:left="851" w:hanging="851"/>
        <w:rPr>
          <w:rFonts w:cs="Arial"/>
          <w:b/>
          <w:bCs/>
        </w:rPr>
      </w:pPr>
      <w:bookmarkStart w:id="16" w:name="_Toc191216262"/>
      <w:bookmarkEnd w:id="15"/>
      <w:r w:rsidRPr="00E40443">
        <w:rPr>
          <w:rFonts w:cs="Arial"/>
          <w:b/>
          <w:bCs/>
        </w:rPr>
        <w:t>P</w:t>
      </w:r>
      <w:r w:rsidR="00FD1C38" w:rsidRPr="00E40443">
        <w:rPr>
          <w:rFonts w:cs="Arial"/>
          <w:b/>
          <w:bCs/>
        </w:rPr>
        <w:t>ublic policy</w:t>
      </w:r>
      <w:bookmarkEnd w:id="16"/>
    </w:p>
    <w:p w14:paraId="354B9376" w14:textId="7DA72134" w:rsidR="00FE467F" w:rsidRPr="00E40443" w:rsidRDefault="001D7255" w:rsidP="00C5627E">
      <w:pPr>
        <w:rPr>
          <w:rFonts w:cs="Arial"/>
          <w:szCs w:val="24"/>
        </w:rPr>
      </w:pPr>
      <w:r>
        <w:rPr>
          <w:rFonts w:cs="Arial"/>
          <w:szCs w:val="24"/>
        </w:rPr>
        <w:t>P</w:t>
      </w:r>
      <w:r w:rsidR="00FD1C38" w:rsidRPr="00E40443">
        <w:rPr>
          <w:rFonts w:cs="Arial"/>
          <w:szCs w:val="24"/>
        </w:rPr>
        <w:t>ublic policy</w:t>
      </w:r>
      <w:r w:rsidR="00200250">
        <w:rPr>
          <w:rFonts w:cs="Arial"/>
          <w:szCs w:val="24"/>
        </w:rPr>
        <w:t xml:space="preserve">, </w:t>
      </w:r>
      <w:r>
        <w:rPr>
          <w:rFonts w:cs="Arial"/>
          <w:szCs w:val="24"/>
        </w:rPr>
        <w:t>adopted into our law from English law,</w:t>
      </w:r>
      <w:r w:rsidRPr="00E40443">
        <w:rPr>
          <w:rStyle w:val="FootnoteReference"/>
          <w:rFonts w:cs="Arial"/>
          <w:szCs w:val="24"/>
        </w:rPr>
        <w:footnoteReference w:id="89"/>
      </w:r>
      <w:r w:rsidR="00FD1C38" w:rsidRPr="00E40443">
        <w:rPr>
          <w:rFonts w:cs="Arial"/>
          <w:szCs w:val="24"/>
        </w:rPr>
        <w:t xml:space="preserve"> </w:t>
      </w:r>
      <w:r>
        <w:rPr>
          <w:rFonts w:cs="Arial"/>
          <w:szCs w:val="24"/>
        </w:rPr>
        <w:t xml:space="preserve">is broadly defined as </w:t>
      </w:r>
      <w:r w:rsidR="00FD1C38" w:rsidRPr="00E40443">
        <w:rPr>
          <w:rFonts w:cs="Arial"/>
          <w:szCs w:val="24"/>
        </w:rPr>
        <w:t>the “institutionalized proposal or a decided set of elements like laws, regulations, guidelines, and actions to solve or address relevant and real-world problems, guided by a conception...”</w:t>
      </w:r>
      <w:r w:rsidR="00AB10FF">
        <w:rPr>
          <w:rFonts w:cs="Arial"/>
          <w:szCs w:val="24"/>
        </w:rPr>
        <w:t>.</w:t>
      </w:r>
      <w:r w:rsidR="00FD1C38" w:rsidRPr="00E40443">
        <w:rPr>
          <w:rStyle w:val="FootnoteReference"/>
          <w:rFonts w:cs="Arial"/>
          <w:szCs w:val="24"/>
        </w:rPr>
        <w:footnoteReference w:id="90"/>
      </w:r>
      <w:r w:rsidR="00FD1C38" w:rsidRPr="00E40443">
        <w:rPr>
          <w:rFonts w:cs="Arial"/>
          <w:szCs w:val="24"/>
        </w:rPr>
        <w:t xml:space="preserve"> </w:t>
      </w:r>
    </w:p>
    <w:p w14:paraId="3B07DB6A" w14:textId="68184BE2" w:rsidR="00200250" w:rsidRPr="00200250" w:rsidRDefault="00FD1C38" w:rsidP="00C5627E">
      <w:pPr>
        <w:rPr>
          <w:rFonts w:cs="Arial"/>
          <w:szCs w:val="24"/>
        </w:rPr>
      </w:pPr>
      <w:r w:rsidRPr="00E40443">
        <w:rPr>
          <w:rFonts w:cs="Arial"/>
          <w:szCs w:val="24"/>
        </w:rPr>
        <w:t xml:space="preserve">Under South African law, </w:t>
      </w:r>
      <w:r w:rsidR="00200250" w:rsidRPr="00E40443">
        <w:rPr>
          <w:rFonts w:cs="Arial"/>
          <w:szCs w:val="24"/>
        </w:rPr>
        <w:t xml:space="preserve">“the legal convictions of the community … rooted in the </w:t>
      </w:r>
      <w:r w:rsidR="00200250" w:rsidRPr="00E40443">
        <w:rPr>
          <w:rFonts w:cs="Arial"/>
          <w:i/>
          <w:iCs/>
          <w:szCs w:val="24"/>
        </w:rPr>
        <w:t>Constitution</w:t>
      </w:r>
      <w:r w:rsidR="00200250" w:rsidRPr="00E40443">
        <w:rPr>
          <w:rFonts w:cs="Arial"/>
          <w:szCs w:val="24"/>
        </w:rPr>
        <w:t>”</w:t>
      </w:r>
      <w:r w:rsidR="00200250">
        <w:rPr>
          <w:rFonts w:cs="Arial"/>
          <w:szCs w:val="24"/>
        </w:rPr>
        <w:t xml:space="preserve">, or </w:t>
      </w:r>
      <w:r w:rsidRPr="00E40443">
        <w:rPr>
          <w:rFonts w:cs="Arial"/>
          <w:szCs w:val="24"/>
        </w:rPr>
        <w:t>public policy</w:t>
      </w:r>
      <w:r w:rsidR="00200250">
        <w:rPr>
          <w:rFonts w:cs="Arial"/>
          <w:szCs w:val="24"/>
        </w:rPr>
        <w:t>,</w:t>
      </w:r>
      <w:r w:rsidRPr="00E40443">
        <w:rPr>
          <w:rFonts w:cs="Arial"/>
          <w:szCs w:val="24"/>
        </w:rPr>
        <w:t xml:space="preserve"> </w:t>
      </w:r>
      <w:r w:rsidR="00200250">
        <w:rPr>
          <w:rFonts w:cs="Arial"/>
          <w:szCs w:val="24"/>
        </w:rPr>
        <w:t>is founded on good faith and is expressed as public opinion.</w:t>
      </w:r>
      <w:r w:rsidR="00200250" w:rsidRPr="00E40443">
        <w:rPr>
          <w:rStyle w:val="FootnoteReference"/>
          <w:rFonts w:cs="Arial"/>
          <w:szCs w:val="24"/>
        </w:rPr>
        <w:footnoteReference w:id="91"/>
      </w:r>
      <w:r w:rsidR="00200250">
        <w:rPr>
          <w:rFonts w:cs="Arial"/>
          <w:szCs w:val="24"/>
        </w:rPr>
        <w:t xml:space="preserve"> Because of its flexible nature, it continually develops the common law to remain in keeping with the </w:t>
      </w:r>
      <w:r w:rsidR="00200250" w:rsidRPr="00E40443">
        <w:rPr>
          <w:rFonts w:cs="Arial"/>
          <w:szCs w:val="24"/>
        </w:rPr>
        <w:t>ever-changing grounds of unworthines</w:t>
      </w:r>
      <w:r w:rsidR="00200250">
        <w:rPr>
          <w:rFonts w:cs="Arial"/>
          <w:szCs w:val="24"/>
        </w:rPr>
        <w:t>s</w:t>
      </w:r>
      <w:r w:rsidR="00200250" w:rsidRPr="00E40443">
        <w:rPr>
          <w:rFonts w:cs="Arial"/>
          <w:szCs w:val="24"/>
        </w:rPr>
        <w:t>.</w:t>
      </w:r>
      <w:r w:rsidR="00200250" w:rsidRPr="00E40443">
        <w:rPr>
          <w:rStyle w:val="FootnoteReference"/>
          <w:rFonts w:cs="Arial"/>
          <w:szCs w:val="24"/>
        </w:rPr>
        <w:footnoteReference w:id="92"/>
      </w:r>
      <w:r w:rsidR="00200250">
        <w:rPr>
          <w:rFonts w:cs="Arial"/>
          <w:szCs w:val="24"/>
        </w:rPr>
        <w:t xml:space="preserve"> Finally, it is held to represent </w:t>
      </w:r>
      <w:r w:rsidR="00AB10FF">
        <w:rPr>
          <w:rFonts w:cs="Arial"/>
          <w:szCs w:val="24"/>
        </w:rPr>
        <w:t xml:space="preserve">the </w:t>
      </w:r>
      <w:r w:rsidR="00200250" w:rsidRPr="00E40443">
        <w:rPr>
          <w:rFonts w:cs="Arial"/>
          <w:i/>
          <w:iCs/>
          <w:szCs w:val="24"/>
        </w:rPr>
        <w:t>boni mores</w:t>
      </w:r>
      <w:r w:rsidR="00200250">
        <w:rPr>
          <w:rFonts w:cs="Arial"/>
          <w:szCs w:val="24"/>
        </w:rPr>
        <w:t xml:space="preserve"> of society.</w:t>
      </w:r>
    </w:p>
    <w:p w14:paraId="5E028BF8" w14:textId="3D144570" w:rsidR="00E85D03" w:rsidRPr="00E40443" w:rsidRDefault="00200250" w:rsidP="007E1018">
      <w:pPr>
        <w:rPr>
          <w:rFonts w:cs="Arial"/>
          <w:szCs w:val="24"/>
        </w:rPr>
      </w:pPr>
      <w:r>
        <w:rPr>
          <w:rFonts w:cs="Arial"/>
          <w:szCs w:val="24"/>
        </w:rPr>
        <w:t xml:space="preserve">In determining unworthiness, </w:t>
      </w:r>
      <w:r w:rsidR="007E1018">
        <w:rPr>
          <w:rFonts w:cs="Arial"/>
          <w:szCs w:val="24"/>
        </w:rPr>
        <w:t xml:space="preserve">cognisance is taken of the wrongdoer’s conduct towards the deceased, by either killing the testator, or causing them to die. Since the sole aim of such actions is to benefit themselves, these individuals have been held to </w:t>
      </w:r>
      <w:r w:rsidR="00E85D03" w:rsidRPr="00E40443">
        <w:rPr>
          <w:rFonts w:cs="Arial"/>
          <w:szCs w:val="24"/>
        </w:rPr>
        <w:t xml:space="preserve">act in an </w:t>
      </w:r>
      <w:r w:rsidR="00E85D03" w:rsidRPr="00E40443">
        <w:rPr>
          <w:rFonts w:cs="Arial"/>
          <w:szCs w:val="24"/>
        </w:rPr>
        <w:t>“</w:t>
      </w:r>
      <w:r w:rsidR="00E85D03" w:rsidRPr="00E40443">
        <w:rPr>
          <w:rFonts w:cs="Arial"/>
          <w:i/>
          <w:iCs/>
          <w:szCs w:val="24"/>
        </w:rPr>
        <w:t>uiters verwerplike wyse</w:t>
      </w:r>
      <w:r w:rsidR="0079362A">
        <w:rPr>
          <w:rFonts w:cs="Arial"/>
          <w:szCs w:val="24"/>
        </w:rPr>
        <w:t>”</w:t>
      </w:r>
      <w:r w:rsidR="00E85D03" w:rsidRPr="00E40443">
        <w:rPr>
          <w:rFonts w:cs="Arial"/>
          <w:szCs w:val="24"/>
        </w:rPr>
        <w:t xml:space="preserve"> [extremely despicable manner], </w:t>
      </w:r>
      <w:r w:rsidR="007E1018">
        <w:rPr>
          <w:rFonts w:cs="Arial"/>
          <w:szCs w:val="24"/>
        </w:rPr>
        <w:t xml:space="preserve">by demonstrating </w:t>
      </w:r>
      <w:r w:rsidR="0079362A">
        <w:rPr>
          <w:rFonts w:cs="Arial"/>
          <w:szCs w:val="24"/>
        </w:rPr>
        <w:t>“</w:t>
      </w:r>
      <w:r w:rsidR="00E85D03" w:rsidRPr="00E40443">
        <w:rPr>
          <w:rFonts w:cs="Arial"/>
          <w:szCs w:val="24"/>
        </w:rPr>
        <w:t>“</w:t>
      </w:r>
      <w:r w:rsidR="00E85D03" w:rsidRPr="00E40443">
        <w:rPr>
          <w:rFonts w:cs="Arial"/>
          <w:i/>
          <w:iCs/>
          <w:szCs w:val="24"/>
        </w:rPr>
        <w:t>verfoeilike gedrag</w:t>
      </w:r>
      <w:r w:rsidR="0079362A">
        <w:rPr>
          <w:rFonts w:cs="Arial"/>
          <w:szCs w:val="24"/>
        </w:rPr>
        <w:t>”</w:t>
      </w:r>
      <w:r w:rsidR="00E85D03" w:rsidRPr="00E40443">
        <w:rPr>
          <w:rFonts w:cs="Arial"/>
          <w:szCs w:val="24"/>
        </w:rPr>
        <w:t>”</w:t>
      </w:r>
      <w:r w:rsidR="00E85D03" w:rsidRPr="00E40443">
        <w:rPr>
          <w:rFonts w:cs="Arial"/>
          <w:szCs w:val="24"/>
        </w:rPr>
        <w:t xml:space="preserve"> [detestable, despicable, loathsome, sickening or heinous </w:t>
      </w:r>
      <w:r w:rsidR="00E46012">
        <w:rPr>
          <w:rFonts w:cs="Arial"/>
          <w:szCs w:val="24"/>
        </w:rPr>
        <w:t>behaviour</w:t>
      </w:r>
      <w:r w:rsidR="00E85D03" w:rsidRPr="00E40443">
        <w:rPr>
          <w:rFonts w:cs="Arial"/>
          <w:szCs w:val="24"/>
        </w:rPr>
        <w:t>],</w:t>
      </w:r>
      <w:r w:rsidR="00E85D03" w:rsidRPr="00E40443">
        <w:rPr>
          <w:rStyle w:val="FootnoteReference"/>
          <w:rFonts w:cs="Arial"/>
          <w:szCs w:val="24"/>
        </w:rPr>
        <w:footnoteReference w:id="93"/>
      </w:r>
      <w:r w:rsidR="00E85D03" w:rsidRPr="00E40443">
        <w:rPr>
          <w:rFonts w:cs="Arial"/>
          <w:szCs w:val="24"/>
        </w:rPr>
        <w:t xml:space="preserve"> </w:t>
      </w:r>
      <w:r w:rsidR="007E1018">
        <w:rPr>
          <w:rFonts w:cs="Arial"/>
          <w:szCs w:val="24"/>
        </w:rPr>
        <w:t xml:space="preserve">which </w:t>
      </w:r>
      <w:r w:rsidR="00E85D03" w:rsidRPr="00E40443">
        <w:rPr>
          <w:rFonts w:cs="Arial"/>
          <w:szCs w:val="24"/>
        </w:rPr>
        <w:t xml:space="preserve">acts </w:t>
      </w:r>
      <w:r w:rsidR="007E1018">
        <w:rPr>
          <w:rFonts w:cs="Arial"/>
          <w:szCs w:val="24"/>
        </w:rPr>
        <w:t xml:space="preserve">are </w:t>
      </w:r>
      <w:r w:rsidR="00E85D03" w:rsidRPr="00E40443">
        <w:rPr>
          <w:rFonts w:cs="Arial"/>
          <w:szCs w:val="24"/>
        </w:rPr>
        <w:t>contrary to public policy.</w:t>
      </w:r>
      <w:r w:rsidR="00E85D03" w:rsidRPr="00E40443">
        <w:rPr>
          <w:rStyle w:val="FootnoteReference"/>
          <w:rFonts w:cs="Arial"/>
          <w:szCs w:val="24"/>
        </w:rPr>
        <w:footnoteReference w:id="94"/>
      </w:r>
      <w:r w:rsidR="00E85D03" w:rsidRPr="00E40443">
        <w:rPr>
          <w:rFonts w:cs="Arial"/>
          <w:szCs w:val="24"/>
        </w:rPr>
        <w:t xml:space="preserve"> </w:t>
      </w:r>
      <w:r w:rsidR="007E1018">
        <w:rPr>
          <w:rFonts w:cs="Arial"/>
          <w:szCs w:val="24"/>
        </w:rPr>
        <w:t>These persons have been held to lack merit</w:t>
      </w:r>
      <w:r w:rsidR="00E85D03" w:rsidRPr="00E40443">
        <w:rPr>
          <w:rStyle w:val="FootnoteReference"/>
          <w:rFonts w:cs="Arial"/>
          <w:szCs w:val="24"/>
        </w:rPr>
        <w:footnoteReference w:id="95"/>
      </w:r>
      <w:r w:rsidR="00E85D03" w:rsidRPr="00E40443">
        <w:rPr>
          <w:rFonts w:cs="Arial"/>
          <w:szCs w:val="24"/>
        </w:rPr>
        <w:t xml:space="preserve"> </w:t>
      </w:r>
      <w:r w:rsidR="007E1018">
        <w:rPr>
          <w:rFonts w:cs="Arial"/>
          <w:szCs w:val="24"/>
        </w:rPr>
        <w:t>for committing “</w:t>
      </w:r>
      <w:r w:rsidR="00E85D03" w:rsidRPr="00E40443">
        <w:rPr>
          <w:rFonts w:cs="Arial"/>
          <w:szCs w:val="24"/>
        </w:rPr>
        <w:t>the most extreme form of injustice”</w:t>
      </w:r>
      <w:r w:rsidR="007E1018">
        <w:rPr>
          <w:rFonts w:cs="Arial"/>
          <w:szCs w:val="24"/>
        </w:rPr>
        <w:t xml:space="preserve"> towards the victim</w:t>
      </w:r>
      <w:r w:rsidR="00E85D03" w:rsidRPr="00E40443">
        <w:rPr>
          <w:rFonts w:cs="Arial"/>
          <w:szCs w:val="24"/>
        </w:rPr>
        <w:t>.</w:t>
      </w:r>
      <w:r w:rsidR="00E85D03" w:rsidRPr="00E40443">
        <w:rPr>
          <w:rStyle w:val="FootnoteReference"/>
          <w:rFonts w:cs="Arial"/>
          <w:szCs w:val="24"/>
        </w:rPr>
        <w:footnoteReference w:id="96"/>
      </w:r>
    </w:p>
    <w:p w14:paraId="2C9487A4" w14:textId="55222B56" w:rsidR="006F1FD2" w:rsidRPr="00E40443" w:rsidRDefault="00E85D03" w:rsidP="00C5627E">
      <w:pPr>
        <w:rPr>
          <w:rFonts w:cs="Arial"/>
          <w:szCs w:val="24"/>
        </w:rPr>
      </w:pPr>
      <w:r w:rsidRPr="00E40443">
        <w:rPr>
          <w:rFonts w:cs="Arial"/>
          <w:szCs w:val="24"/>
        </w:rPr>
        <w:t>Despite historic literature to the contrary, public policy</w:t>
      </w:r>
      <w:r w:rsidR="00E46012">
        <w:rPr>
          <w:rFonts w:cs="Arial"/>
          <w:szCs w:val="24"/>
        </w:rPr>
        <w:t xml:space="preserve">, and by implication reasonableness, </w:t>
      </w:r>
      <w:r w:rsidRPr="00E40443">
        <w:rPr>
          <w:rFonts w:cs="Arial"/>
          <w:szCs w:val="24"/>
        </w:rPr>
        <w:t xml:space="preserve">is </w:t>
      </w:r>
      <w:r w:rsidR="007E1018">
        <w:rPr>
          <w:rFonts w:cs="Arial"/>
          <w:szCs w:val="24"/>
        </w:rPr>
        <w:t xml:space="preserve">deemed to be the </w:t>
      </w:r>
      <w:r w:rsidR="009B3CCA">
        <w:rPr>
          <w:rFonts w:cs="Arial"/>
          <w:szCs w:val="24"/>
        </w:rPr>
        <w:t>yardstick</w:t>
      </w:r>
      <w:r w:rsidRPr="00E40443">
        <w:rPr>
          <w:rFonts w:cs="Arial"/>
          <w:szCs w:val="24"/>
        </w:rPr>
        <w:t xml:space="preserve"> against which conduct is </w:t>
      </w:r>
      <w:r w:rsidR="007E1018">
        <w:rPr>
          <w:rFonts w:cs="Arial"/>
          <w:szCs w:val="24"/>
        </w:rPr>
        <w:t xml:space="preserve">measured in determining </w:t>
      </w:r>
      <w:r w:rsidRPr="00E40443">
        <w:rPr>
          <w:rFonts w:cs="Arial"/>
          <w:szCs w:val="24"/>
        </w:rPr>
        <w:t>whether it would be just and reasonable to declare a wrongdoer unworthy of a certain benefi</w:t>
      </w:r>
      <w:r w:rsidR="00AE5282">
        <w:rPr>
          <w:rFonts w:cs="Arial"/>
          <w:szCs w:val="24"/>
        </w:rPr>
        <w:t>t.</w:t>
      </w:r>
      <w:r w:rsidR="00782DB2">
        <w:rPr>
          <w:rFonts w:cs="Arial"/>
          <w:szCs w:val="24"/>
        </w:rPr>
        <w:t xml:space="preserve"> This has opened the proverbial doors to the </w:t>
      </w:r>
      <w:r w:rsidRPr="00E40443">
        <w:rPr>
          <w:rFonts w:cs="Arial"/>
          <w:szCs w:val="24"/>
        </w:rPr>
        <w:t xml:space="preserve">development and expansion of </w:t>
      </w:r>
      <w:r w:rsidRPr="00E40443">
        <w:rPr>
          <w:rFonts w:cs="Arial"/>
          <w:i/>
          <w:iCs/>
          <w:szCs w:val="24"/>
        </w:rPr>
        <w:t>de bloedige hand</w:t>
      </w:r>
      <w:r w:rsidRPr="00E40443">
        <w:rPr>
          <w:rFonts w:cs="Arial"/>
          <w:szCs w:val="24"/>
        </w:rPr>
        <w:t xml:space="preserve"> to </w:t>
      </w:r>
      <w:r w:rsidR="00782DB2">
        <w:rPr>
          <w:rFonts w:cs="Arial"/>
          <w:szCs w:val="24"/>
        </w:rPr>
        <w:t xml:space="preserve">novel </w:t>
      </w:r>
      <w:r w:rsidRPr="00E40443">
        <w:rPr>
          <w:rFonts w:cs="Arial"/>
          <w:szCs w:val="24"/>
        </w:rPr>
        <w:t>scenarios</w:t>
      </w:r>
      <w:r w:rsidR="00782DB2">
        <w:rPr>
          <w:rFonts w:cs="Arial"/>
          <w:szCs w:val="24"/>
        </w:rPr>
        <w:t xml:space="preserve"> by way of analogy</w:t>
      </w:r>
      <w:r w:rsidRPr="00E40443">
        <w:rPr>
          <w:rFonts w:cs="Arial"/>
          <w:szCs w:val="24"/>
        </w:rPr>
        <w:t>, rather than limiting the application to a list of specific grounds.</w:t>
      </w:r>
      <w:r w:rsidRPr="00E40443">
        <w:rPr>
          <w:rStyle w:val="FootnoteReference"/>
          <w:rFonts w:cs="Arial"/>
          <w:szCs w:val="24"/>
        </w:rPr>
        <w:footnoteReference w:id="97"/>
      </w:r>
      <w:r w:rsidRPr="00E40443">
        <w:rPr>
          <w:rFonts w:cs="Arial"/>
          <w:szCs w:val="24"/>
        </w:rPr>
        <w:t xml:space="preserve"> </w:t>
      </w:r>
      <w:r w:rsidR="00CB66DA" w:rsidRPr="00E40443">
        <w:rPr>
          <w:rFonts w:cs="Arial"/>
          <w:szCs w:val="24"/>
        </w:rPr>
        <w:t xml:space="preserve">Below are two </w:t>
      </w:r>
      <w:r w:rsidR="006F1FD2" w:rsidRPr="00E40443">
        <w:rPr>
          <w:rFonts w:cs="Arial"/>
          <w:szCs w:val="24"/>
        </w:rPr>
        <w:t>examples</w:t>
      </w:r>
      <w:r w:rsidR="00CB66DA" w:rsidRPr="00E40443">
        <w:rPr>
          <w:rFonts w:cs="Arial"/>
          <w:szCs w:val="24"/>
        </w:rPr>
        <w:t xml:space="preserve"> of instances where an heir will be declared unworthy to inherit based on their conduct towards the deceased.</w:t>
      </w:r>
      <w:r w:rsidR="00CB66DA" w:rsidRPr="00E40443">
        <w:rPr>
          <w:rStyle w:val="FootnoteReference"/>
          <w:rFonts w:cs="Arial"/>
          <w:szCs w:val="24"/>
        </w:rPr>
        <w:footnoteReference w:id="98"/>
      </w:r>
    </w:p>
    <w:p w14:paraId="68CF454C" w14:textId="50E51553" w:rsidR="00BD5B6C" w:rsidRPr="00E40443" w:rsidRDefault="00CB66DA" w:rsidP="00C5627E">
      <w:pPr>
        <w:rPr>
          <w:rFonts w:cs="Arial"/>
          <w:szCs w:val="24"/>
        </w:rPr>
      </w:pPr>
      <w:r w:rsidRPr="00E40443">
        <w:rPr>
          <w:rFonts w:cs="Arial"/>
          <w:szCs w:val="24"/>
        </w:rPr>
        <w:lastRenderedPageBreak/>
        <w:t>First</w:t>
      </w:r>
      <w:r w:rsidR="006F1FD2" w:rsidRPr="00E40443">
        <w:rPr>
          <w:rFonts w:cs="Arial"/>
          <w:szCs w:val="24"/>
        </w:rPr>
        <w:t>, S</w:t>
      </w:r>
      <w:r w:rsidR="00BD5B6C" w:rsidRPr="00E40443">
        <w:rPr>
          <w:rFonts w:cs="Arial"/>
          <w:szCs w:val="24"/>
        </w:rPr>
        <w:t xml:space="preserve"> physically assaults his father, </w:t>
      </w:r>
      <w:r w:rsidR="006F1FD2" w:rsidRPr="00E40443">
        <w:rPr>
          <w:rFonts w:cs="Arial"/>
          <w:szCs w:val="24"/>
        </w:rPr>
        <w:t>F, in a fit of anger</w:t>
      </w:r>
      <w:r w:rsidR="00BD5B6C" w:rsidRPr="00E40443">
        <w:rPr>
          <w:rFonts w:cs="Arial"/>
          <w:szCs w:val="24"/>
        </w:rPr>
        <w:t xml:space="preserve">. Despite the assault, </w:t>
      </w:r>
      <w:r w:rsidR="006F1FD2" w:rsidRPr="00E40443">
        <w:rPr>
          <w:rFonts w:cs="Arial"/>
          <w:szCs w:val="24"/>
        </w:rPr>
        <w:t>F</w:t>
      </w:r>
      <w:r w:rsidR="00BD5B6C" w:rsidRPr="00E40443">
        <w:rPr>
          <w:rFonts w:cs="Arial"/>
          <w:szCs w:val="24"/>
        </w:rPr>
        <w:t xml:space="preserve"> nominates </w:t>
      </w:r>
      <w:r w:rsidR="006F1FD2" w:rsidRPr="00E40443">
        <w:rPr>
          <w:rFonts w:cs="Arial"/>
          <w:szCs w:val="24"/>
        </w:rPr>
        <w:t>S</w:t>
      </w:r>
      <w:r w:rsidR="00BD5B6C" w:rsidRPr="00E40443">
        <w:rPr>
          <w:rFonts w:cs="Arial"/>
          <w:szCs w:val="24"/>
        </w:rPr>
        <w:t xml:space="preserve"> as the sole beneficiary of his entire estate. One year later, </w:t>
      </w:r>
      <w:r w:rsidR="006F1FD2" w:rsidRPr="00E40443">
        <w:rPr>
          <w:rFonts w:cs="Arial"/>
          <w:szCs w:val="24"/>
        </w:rPr>
        <w:t>F</w:t>
      </w:r>
      <w:r w:rsidR="00BD5B6C" w:rsidRPr="00E40443">
        <w:rPr>
          <w:rFonts w:cs="Arial"/>
          <w:szCs w:val="24"/>
        </w:rPr>
        <w:t xml:space="preserve"> passes away from causes not related to the assault. </w:t>
      </w:r>
      <w:r w:rsidR="006F1FD2" w:rsidRPr="00E40443">
        <w:rPr>
          <w:rFonts w:cs="Arial"/>
          <w:szCs w:val="24"/>
        </w:rPr>
        <w:t>F</w:t>
      </w:r>
      <w:r w:rsidR="00BD5B6C" w:rsidRPr="00E40443">
        <w:rPr>
          <w:rFonts w:cs="Arial"/>
          <w:szCs w:val="24"/>
        </w:rPr>
        <w:t xml:space="preserve">’s other children approach Court for an order declaring </w:t>
      </w:r>
      <w:r w:rsidR="006F1FD2" w:rsidRPr="00E40443">
        <w:rPr>
          <w:rFonts w:cs="Arial"/>
          <w:szCs w:val="24"/>
        </w:rPr>
        <w:t>S</w:t>
      </w:r>
      <w:r w:rsidR="00BD5B6C" w:rsidRPr="00E40443">
        <w:rPr>
          <w:rFonts w:cs="Arial"/>
          <w:szCs w:val="24"/>
        </w:rPr>
        <w:t xml:space="preserve"> unworthy to inherit, based on </w:t>
      </w:r>
      <w:r w:rsidR="006F1FD2" w:rsidRPr="00E40443">
        <w:rPr>
          <w:rFonts w:cs="Arial"/>
          <w:szCs w:val="24"/>
        </w:rPr>
        <w:t xml:space="preserve">his </w:t>
      </w:r>
      <w:r w:rsidR="00BD5B6C" w:rsidRPr="00E40443">
        <w:rPr>
          <w:rFonts w:cs="Arial"/>
          <w:szCs w:val="24"/>
        </w:rPr>
        <w:t xml:space="preserve">reprehensible conduct exhibited towards </w:t>
      </w:r>
      <w:r w:rsidR="006F1FD2" w:rsidRPr="00E40443">
        <w:rPr>
          <w:rFonts w:cs="Arial"/>
          <w:szCs w:val="24"/>
        </w:rPr>
        <w:t>F</w:t>
      </w:r>
      <w:r w:rsidR="00BD5B6C" w:rsidRPr="00E40443">
        <w:rPr>
          <w:rFonts w:cs="Arial"/>
          <w:szCs w:val="24"/>
        </w:rPr>
        <w:t xml:space="preserve">. </w:t>
      </w:r>
      <w:r w:rsidR="00E46012">
        <w:rPr>
          <w:rFonts w:cs="Arial"/>
          <w:szCs w:val="24"/>
        </w:rPr>
        <w:t>As u</w:t>
      </w:r>
      <w:r w:rsidR="00BD5B6C" w:rsidRPr="00E40443">
        <w:rPr>
          <w:rFonts w:cs="Arial"/>
          <w:szCs w:val="24"/>
        </w:rPr>
        <w:t xml:space="preserve">nworthiness is not influenced by the testator’s wishes, but </w:t>
      </w:r>
      <w:r w:rsidR="00E46012">
        <w:rPr>
          <w:rFonts w:cs="Arial"/>
          <w:szCs w:val="24"/>
        </w:rPr>
        <w:t>rather derived from the law itself, S's unworthiness will not be influenced by F’s will.</w:t>
      </w:r>
    </w:p>
    <w:p w14:paraId="35ADD667" w14:textId="53D54826" w:rsidR="00BD5B6C" w:rsidRPr="00E40443" w:rsidRDefault="00CB66DA" w:rsidP="00C5627E">
      <w:pPr>
        <w:rPr>
          <w:rFonts w:cs="Arial"/>
          <w:szCs w:val="24"/>
        </w:rPr>
      </w:pPr>
      <w:r w:rsidRPr="00E40443">
        <w:rPr>
          <w:rFonts w:cs="Arial"/>
          <w:szCs w:val="24"/>
        </w:rPr>
        <w:t>Second,</w:t>
      </w:r>
      <w:r w:rsidR="006F1FD2" w:rsidRPr="00E40443">
        <w:rPr>
          <w:rFonts w:cs="Arial"/>
          <w:szCs w:val="24"/>
        </w:rPr>
        <w:t xml:space="preserve"> H is a successful businessman, whose reputation </w:t>
      </w:r>
      <w:r w:rsidRPr="00E40443">
        <w:rPr>
          <w:rFonts w:cs="Arial"/>
          <w:szCs w:val="24"/>
        </w:rPr>
        <w:t>precedes</w:t>
      </w:r>
      <w:r w:rsidR="006F1FD2" w:rsidRPr="00E40443">
        <w:rPr>
          <w:rFonts w:cs="Arial"/>
          <w:szCs w:val="24"/>
        </w:rPr>
        <w:t xml:space="preserve"> him. H was married to E, and </w:t>
      </w:r>
      <w:r w:rsidRPr="00E40443">
        <w:rPr>
          <w:rFonts w:cs="Arial"/>
          <w:szCs w:val="24"/>
        </w:rPr>
        <w:t>three</w:t>
      </w:r>
      <w:r w:rsidR="006F1FD2" w:rsidRPr="00E40443">
        <w:rPr>
          <w:rFonts w:cs="Arial"/>
          <w:szCs w:val="24"/>
        </w:rPr>
        <w:t xml:space="preserve"> children were born from such marriage. The marriage between H and E </w:t>
      </w:r>
      <w:r w:rsidRPr="00E40443">
        <w:rPr>
          <w:rFonts w:cs="Arial"/>
          <w:szCs w:val="24"/>
        </w:rPr>
        <w:t xml:space="preserve">ended in divorce, after which divorce H married W. </w:t>
      </w:r>
      <w:r w:rsidR="006F1FD2" w:rsidRPr="00E40443">
        <w:rPr>
          <w:rFonts w:cs="Arial"/>
          <w:szCs w:val="24"/>
        </w:rPr>
        <w:t>H nominates E, W</w:t>
      </w:r>
      <w:r w:rsidR="00F0091F">
        <w:rPr>
          <w:rFonts w:cs="Arial"/>
          <w:szCs w:val="24"/>
        </w:rPr>
        <w:t>,</w:t>
      </w:r>
      <w:r w:rsidR="006F1FD2" w:rsidRPr="00E40443">
        <w:rPr>
          <w:rFonts w:cs="Arial"/>
          <w:szCs w:val="24"/>
        </w:rPr>
        <w:t xml:space="preserve"> and the children as heirs to his estate. </w:t>
      </w:r>
      <w:r w:rsidR="00782DB2" w:rsidRPr="00E40443">
        <w:rPr>
          <w:rFonts w:cs="Arial"/>
          <w:szCs w:val="24"/>
        </w:rPr>
        <w:t>Sometime</w:t>
      </w:r>
      <w:r w:rsidR="006F1FD2" w:rsidRPr="00E40443">
        <w:rPr>
          <w:rFonts w:cs="Arial"/>
          <w:szCs w:val="24"/>
        </w:rPr>
        <w:t xml:space="preserve"> after the funeral, W comes across evidence that H had been unfaithful to her. She approac</w:t>
      </w:r>
      <w:r w:rsidRPr="00E40443">
        <w:rPr>
          <w:rFonts w:cs="Arial"/>
          <w:szCs w:val="24"/>
        </w:rPr>
        <w:t>h</w:t>
      </w:r>
      <w:r w:rsidR="006F1FD2" w:rsidRPr="00E40443">
        <w:rPr>
          <w:rFonts w:cs="Arial"/>
          <w:szCs w:val="24"/>
        </w:rPr>
        <w:t>es</w:t>
      </w:r>
      <w:r w:rsidRPr="00E40443">
        <w:rPr>
          <w:rFonts w:cs="Arial"/>
          <w:szCs w:val="24"/>
        </w:rPr>
        <w:t xml:space="preserve"> a tabloid newspaper and utters statements that would have been defamatory if H had been alive.</w:t>
      </w:r>
    </w:p>
    <w:p w14:paraId="71E3D92E" w14:textId="197349F6" w:rsidR="00BD5B6C" w:rsidRPr="00E40443" w:rsidRDefault="00CB66DA" w:rsidP="00C5627E">
      <w:pPr>
        <w:rPr>
          <w:rFonts w:cs="Arial"/>
          <w:szCs w:val="24"/>
        </w:rPr>
      </w:pPr>
      <w:r w:rsidRPr="00E40443">
        <w:rPr>
          <w:rFonts w:cs="Arial"/>
          <w:szCs w:val="24"/>
        </w:rPr>
        <w:t xml:space="preserve">In both these instances logic dictates that allowing S, and W, respectively, to inherit, would undoubtedly offend the </w:t>
      </w:r>
      <w:r w:rsidRPr="00E40443">
        <w:rPr>
          <w:rFonts w:cs="Arial"/>
          <w:i/>
          <w:iCs/>
          <w:szCs w:val="24"/>
        </w:rPr>
        <w:t>boni mores</w:t>
      </w:r>
      <w:r w:rsidRPr="00E40443">
        <w:rPr>
          <w:rFonts w:cs="Arial"/>
          <w:szCs w:val="24"/>
        </w:rPr>
        <w:t xml:space="preserve">, which offence is the very basis of unworthiness under </w:t>
      </w:r>
      <w:r w:rsidR="00F0091F">
        <w:rPr>
          <w:rFonts w:cs="Arial"/>
          <w:szCs w:val="24"/>
        </w:rPr>
        <w:t xml:space="preserve">this </w:t>
      </w:r>
      <w:r w:rsidRPr="00E40443">
        <w:rPr>
          <w:rFonts w:cs="Arial"/>
          <w:szCs w:val="24"/>
        </w:rPr>
        <w:t>principle.</w:t>
      </w:r>
    </w:p>
    <w:p w14:paraId="35F45D21" w14:textId="77777777" w:rsidR="009F150C" w:rsidRPr="00E40443" w:rsidRDefault="009F150C" w:rsidP="00C5627E">
      <w:pPr>
        <w:rPr>
          <w:rFonts w:cs="Arial"/>
          <w:szCs w:val="24"/>
        </w:rPr>
      </w:pPr>
    </w:p>
    <w:p w14:paraId="2924F4A4" w14:textId="1C4188B3" w:rsidR="002977D8" w:rsidRPr="00E40443" w:rsidRDefault="00EC7C4F" w:rsidP="00477BFA">
      <w:pPr>
        <w:pStyle w:val="Heading3"/>
        <w:numPr>
          <w:ilvl w:val="2"/>
          <w:numId w:val="19"/>
        </w:numPr>
        <w:ind w:left="851" w:hanging="851"/>
        <w:rPr>
          <w:rFonts w:cs="Arial"/>
          <w:b/>
          <w:bCs/>
        </w:rPr>
      </w:pPr>
      <w:bookmarkStart w:id="17" w:name="_Toc191216263"/>
      <w:r w:rsidRPr="00E40443">
        <w:rPr>
          <w:rFonts w:cs="Arial"/>
          <w:b/>
          <w:bCs/>
          <w:i/>
          <w:iCs/>
        </w:rPr>
        <w:t>D</w:t>
      </w:r>
      <w:r w:rsidR="002977D8" w:rsidRPr="00E40443">
        <w:rPr>
          <w:rFonts w:cs="Arial"/>
          <w:b/>
          <w:bCs/>
          <w:i/>
          <w:iCs/>
        </w:rPr>
        <w:t>e bloedige hand</w:t>
      </w:r>
      <w:bookmarkEnd w:id="17"/>
    </w:p>
    <w:p w14:paraId="0A2C76DD" w14:textId="74CDEC42" w:rsidR="00C64FDA" w:rsidRPr="00E40443" w:rsidRDefault="00C64FDA" w:rsidP="00C5627E">
      <w:pPr>
        <w:rPr>
          <w:rFonts w:cs="Arial"/>
          <w:szCs w:val="24"/>
        </w:rPr>
      </w:pPr>
      <w:r w:rsidRPr="00E40443">
        <w:rPr>
          <w:rFonts w:cs="Arial"/>
          <w:szCs w:val="24"/>
        </w:rPr>
        <w:t>As stated above, no person who has rendered themselves unworthy is entitled to succeed or otherwise benefit by a last will.</w:t>
      </w:r>
      <w:r w:rsidRPr="00E40443">
        <w:rPr>
          <w:rStyle w:val="FootnoteReference"/>
          <w:rFonts w:cs="Arial"/>
          <w:szCs w:val="24"/>
        </w:rPr>
        <w:footnoteReference w:id="99"/>
      </w:r>
      <w:r w:rsidR="006A7ADF">
        <w:rPr>
          <w:rFonts w:cs="Arial"/>
          <w:szCs w:val="24"/>
        </w:rPr>
        <w:t xml:space="preserve"> </w:t>
      </w:r>
    </w:p>
    <w:p w14:paraId="66D8BC7F" w14:textId="27E86825" w:rsidR="00C64FDA" w:rsidRPr="00E40443" w:rsidRDefault="00C64FDA" w:rsidP="00C5627E">
      <w:pPr>
        <w:rPr>
          <w:rFonts w:cs="Arial"/>
          <w:szCs w:val="24"/>
        </w:rPr>
      </w:pPr>
      <w:r w:rsidRPr="00E40443">
        <w:rPr>
          <w:rFonts w:cs="Arial"/>
          <w:szCs w:val="24"/>
        </w:rPr>
        <w:t xml:space="preserve">According to Roman-Dutch authorities, </w:t>
      </w:r>
      <w:r w:rsidRPr="00E40443">
        <w:rPr>
          <w:rFonts w:cs="Arial"/>
          <w:i/>
          <w:iCs/>
          <w:szCs w:val="24"/>
        </w:rPr>
        <w:t>de bloedige hand neemt geen erffenis</w:t>
      </w:r>
      <w:r w:rsidRPr="00E40443">
        <w:rPr>
          <w:rFonts w:cs="Arial"/>
          <w:szCs w:val="24"/>
        </w:rPr>
        <w:t xml:space="preserve"> [hereinafter referred to as </w:t>
      </w:r>
      <w:r w:rsidRPr="00E40443">
        <w:rPr>
          <w:rFonts w:cs="Arial"/>
          <w:i/>
          <w:iCs/>
          <w:szCs w:val="24"/>
        </w:rPr>
        <w:t>de</w:t>
      </w:r>
      <w:r w:rsidRPr="00E40443">
        <w:rPr>
          <w:rFonts w:cs="Arial"/>
          <w:szCs w:val="24"/>
        </w:rPr>
        <w:t xml:space="preserve"> </w:t>
      </w:r>
      <w:r w:rsidRPr="00E40443">
        <w:rPr>
          <w:rFonts w:cs="Arial"/>
          <w:i/>
          <w:iCs/>
          <w:szCs w:val="24"/>
        </w:rPr>
        <w:t xml:space="preserve">bloedige </w:t>
      </w:r>
      <w:r w:rsidR="007D2A0F" w:rsidRPr="00E40443">
        <w:rPr>
          <w:rFonts w:cs="Arial"/>
          <w:i/>
          <w:iCs/>
          <w:szCs w:val="24"/>
        </w:rPr>
        <w:t>hand</w:t>
      </w:r>
      <w:r w:rsidRPr="00E40443">
        <w:rPr>
          <w:rFonts w:cs="Arial"/>
          <w:szCs w:val="24"/>
        </w:rPr>
        <w:t>], (literally meaning the bloody hand takes no inheritance)</w:t>
      </w:r>
      <w:r w:rsidRPr="00E40443">
        <w:rPr>
          <w:rStyle w:val="FootnoteReference"/>
          <w:rFonts w:cs="Arial"/>
          <w:szCs w:val="24"/>
        </w:rPr>
        <w:footnoteReference w:id="100"/>
      </w:r>
      <w:r w:rsidRPr="00E40443">
        <w:rPr>
          <w:rFonts w:cs="Arial"/>
          <w:szCs w:val="24"/>
        </w:rPr>
        <w:t xml:space="preserve"> is evaluated on two grounds, namely that the wrongdoer committed “the most extreme” hateful act towards the victim, and that </w:t>
      </w:r>
      <w:r w:rsidR="000B67EE">
        <w:rPr>
          <w:rFonts w:cs="Arial"/>
          <w:szCs w:val="24"/>
        </w:rPr>
        <w:t>he</w:t>
      </w:r>
      <w:r w:rsidRPr="00E40443">
        <w:rPr>
          <w:rFonts w:cs="Arial"/>
          <w:szCs w:val="24"/>
        </w:rPr>
        <w:t xml:space="preserve"> ought not be allowed to benefit from his own criminal act.</w:t>
      </w:r>
      <w:r w:rsidRPr="00E40443">
        <w:rPr>
          <w:rStyle w:val="FootnoteReference"/>
          <w:rFonts w:cs="Arial"/>
          <w:szCs w:val="24"/>
        </w:rPr>
        <w:footnoteReference w:id="101"/>
      </w:r>
      <w:r w:rsidRPr="00E40443">
        <w:rPr>
          <w:rFonts w:cs="Arial"/>
          <w:szCs w:val="24"/>
        </w:rPr>
        <w:t xml:space="preserve"> The operation of the principle is absolute,</w:t>
      </w:r>
      <w:r w:rsidRPr="00E40443">
        <w:rPr>
          <w:rStyle w:val="FootnoteReference"/>
          <w:rFonts w:cs="Arial"/>
          <w:szCs w:val="24"/>
        </w:rPr>
        <w:footnoteReference w:id="102"/>
      </w:r>
      <w:r w:rsidRPr="00E40443">
        <w:rPr>
          <w:rFonts w:cs="Arial"/>
          <w:szCs w:val="24"/>
        </w:rPr>
        <w:t xml:space="preserve"> and the view that unworthiness is relative for prohibiting the wrongdoer f</w:t>
      </w:r>
      <w:r w:rsidR="00E267D9">
        <w:rPr>
          <w:rFonts w:cs="Arial"/>
          <w:szCs w:val="24"/>
        </w:rPr>
        <w:t>ro</w:t>
      </w:r>
      <w:r w:rsidRPr="00E40443">
        <w:rPr>
          <w:rFonts w:cs="Arial"/>
          <w:szCs w:val="24"/>
        </w:rPr>
        <w:t>m inheriting from “everyone”, is misplaced.</w:t>
      </w:r>
      <w:r w:rsidRPr="00E40443">
        <w:rPr>
          <w:rStyle w:val="FootnoteReference"/>
          <w:rFonts w:cs="Arial"/>
          <w:szCs w:val="24"/>
        </w:rPr>
        <w:footnoteReference w:id="103"/>
      </w:r>
    </w:p>
    <w:p w14:paraId="23C44787" w14:textId="7124050B" w:rsidR="00C64FDA" w:rsidRPr="00E40443" w:rsidRDefault="00C64FDA" w:rsidP="00C5627E">
      <w:pPr>
        <w:rPr>
          <w:rFonts w:cs="Arial"/>
          <w:szCs w:val="24"/>
        </w:rPr>
      </w:pPr>
      <w:r w:rsidRPr="00E40443">
        <w:rPr>
          <w:rFonts w:cs="Arial"/>
          <w:szCs w:val="24"/>
        </w:rPr>
        <w:lastRenderedPageBreak/>
        <w:t xml:space="preserve">It serves to mention that </w:t>
      </w:r>
      <w:r w:rsidRPr="00E40443">
        <w:rPr>
          <w:rFonts w:cs="Arial"/>
          <w:i/>
          <w:iCs/>
          <w:szCs w:val="24"/>
        </w:rPr>
        <w:t>de bloedige hand</w:t>
      </w:r>
      <w:r w:rsidRPr="00E40443">
        <w:rPr>
          <w:rFonts w:cs="Arial"/>
          <w:szCs w:val="24"/>
        </w:rPr>
        <w:t xml:space="preserve"> is not a general unworthiness;</w:t>
      </w:r>
      <w:r w:rsidRPr="00E40443">
        <w:rPr>
          <w:rStyle w:val="FootnoteReference"/>
          <w:rFonts w:cs="Arial"/>
          <w:szCs w:val="24"/>
        </w:rPr>
        <w:footnoteReference w:id="104"/>
      </w:r>
      <w:r w:rsidRPr="00E40443">
        <w:rPr>
          <w:rFonts w:cs="Arial"/>
          <w:szCs w:val="24"/>
        </w:rPr>
        <w:t xml:space="preserve"> it manifests specifically against the person of the testator</w:t>
      </w:r>
      <w:r w:rsidRPr="00E40443">
        <w:rPr>
          <w:rStyle w:val="FootnoteReference"/>
          <w:rFonts w:cs="Arial"/>
          <w:szCs w:val="24"/>
        </w:rPr>
        <w:footnoteReference w:id="105"/>
      </w:r>
      <w:r w:rsidRPr="00E40443">
        <w:rPr>
          <w:rFonts w:cs="Arial"/>
          <w:szCs w:val="24"/>
        </w:rPr>
        <w:t xml:space="preserve"> in that the murderer personally inflicted on the murder victim the </w:t>
      </w:r>
      <w:r w:rsidR="0079362A">
        <w:rPr>
          <w:rFonts w:cs="Arial"/>
          <w:szCs w:val="24"/>
        </w:rPr>
        <w:t>“</w:t>
      </w:r>
      <w:r w:rsidRPr="00E40443">
        <w:rPr>
          <w:rFonts w:cs="Arial"/>
          <w:szCs w:val="24"/>
        </w:rPr>
        <w:t>“</w:t>
      </w:r>
      <w:r w:rsidRPr="00E40443">
        <w:rPr>
          <w:rFonts w:cs="Arial"/>
          <w:i/>
          <w:iCs/>
          <w:szCs w:val="24"/>
        </w:rPr>
        <w:t>uiterste onreg of ‘n smaad</w:t>
      </w:r>
      <w:r w:rsidR="0079362A">
        <w:rPr>
          <w:rFonts w:cs="Arial"/>
          <w:szCs w:val="24"/>
        </w:rPr>
        <w:t>”</w:t>
      </w:r>
      <w:r w:rsidRPr="00E40443">
        <w:rPr>
          <w:rFonts w:cs="Arial"/>
          <w:szCs w:val="24"/>
        </w:rPr>
        <w:t>”</w:t>
      </w:r>
      <w:r w:rsidRPr="00E40443">
        <w:rPr>
          <w:rFonts w:cs="Arial"/>
          <w:szCs w:val="24"/>
        </w:rPr>
        <w:t xml:space="preserve"> [the most extreme injustice or insult].</w:t>
      </w:r>
      <w:r w:rsidRPr="00E40443">
        <w:rPr>
          <w:rStyle w:val="FootnoteReference"/>
          <w:rFonts w:cs="Arial"/>
          <w:szCs w:val="24"/>
        </w:rPr>
        <w:footnoteReference w:id="106"/>
      </w:r>
    </w:p>
    <w:p w14:paraId="6D0EC4FE" w14:textId="2E4D4F46" w:rsidR="002A60BD" w:rsidRPr="00E40443" w:rsidRDefault="00C64FDA" w:rsidP="00C5627E">
      <w:pPr>
        <w:rPr>
          <w:rFonts w:cs="Arial"/>
          <w:szCs w:val="24"/>
        </w:rPr>
      </w:pPr>
      <w:r w:rsidRPr="00E40443">
        <w:rPr>
          <w:rFonts w:cs="Arial"/>
          <w:szCs w:val="24"/>
        </w:rPr>
        <w:t xml:space="preserve">In terms of </w:t>
      </w:r>
      <w:r w:rsidRPr="00E40443">
        <w:rPr>
          <w:rFonts w:cs="Arial"/>
          <w:i/>
          <w:iCs/>
          <w:szCs w:val="24"/>
        </w:rPr>
        <w:t>de bloedige hand</w:t>
      </w:r>
      <w:r w:rsidRPr="00E40443">
        <w:rPr>
          <w:rFonts w:cs="Arial"/>
          <w:szCs w:val="24"/>
        </w:rPr>
        <w:t>, someone who is guilty of certain transgressions is prohibited from inheriting,</w:t>
      </w:r>
      <w:r w:rsidRPr="00E40443">
        <w:rPr>
          <w:rStyle w:val="FootnoteReference"/>
          <w:rFonts w:cs="Arial"/>
          <w:szCs w:val="24"/>
        </w:rPr>
        <w:footnoteReference w:id="107"/>
      </w:r>
      <w:r w:rsidRPr="00E40443">
        <w:rPr>
          <w:rFonts w:cs="Arial"/>
          <w:szCs w:val="24"/>
        </w:rPr>
        <w:t xml:space="preserve"> effectively meaning that such person lacks capacity to benefit from the act of killing the deceased.</w:t>
      </w:r>
      <w:r w:rsidRPr="00E40443">
        <w:rPr>
          <w:rStyle w:val="FootnoteReference"/>
          <w:rFonts w:cs="Arial"/>
          <w:szCs w:val="24"/>
        </w:rPr>
        <w:footnoteReference w:id="108"/>
      </w:r>
      <w:r w:rsidR="002A60BD" w:rsidRPr="00E40443">
        <w:rPr>
          <w:rFonts w:cs="Arial"/>
          <w:szCs w:val="24"/>
        </w:rPr>
        <w:t xml:space="preserve"> It is widely accepted that an offender will be unable to benefit if he unlawfully kil</w:t>
      </w:r>
      <w:r w:rsidR="000B67EE">
        <w:rPr>
          <w:rFonts w:cs="Arial"/>
          <w:szCs w:val="24"/>
        </w:rPr>
        <w:t>ls</w:t>
      </w:r>
      <w:r w:rsidR="002A60BD" w:rsidRPr="00E40443">
        <w:rPr>
          <w:rFonts w:cs="Arial"/>
          <w:szCs w:val="24"/>
        </w:rPr>
        <w:t xml:space="preserve"> the testator.</w:t>
      </w:r>
      <w:r w:rsidR="002A60BD" w:rsidRPr="00E40443">
        <w:rPr>
          <w:rStyle w:val="FootnoteReference"/>
          <w:rFonts w:cs="Arial"/>
          <w:szCs w:val="24"/>
        </w:rPr>
        <w:footnoteReference w:id="109"/>
      </w:r>
    </w:p>
    <w:p w14:paraId="3BF8D565" w14:textId="19F0093E" w:rsidR="00C64FDA" w:rsidRPr="00E40443" w:rsidRDefault="00C64FDA" w:rsidP="00C5627E">
      <w:pPr>
        <w:rPr>
          <w:rFonts w:cs="Arial"/>
          <w:szCs w:val="24"/>
        </w:rPr>
      </w:pPr>
      <w:r w:rsidRPr="00E40443">
        <w:rPr>
          <w:rFonts w:cs="Arial"/>
          <w:i/>
          <w:iCs/>
          <w:szCs w:val="24"/>
        </w:rPr>
        <w:t>De bloedige hand</w:t>
      </w:r>
      <w:r w:rsidRPr="00E40443">
        <w:rPr>
          <w:rFonts w:cs="Arial"/>
          <w:szCs w:val="24"/>
        </w:rPr>
        <w:t xml:space="preserve"> also applies to someone who unlawfully causes the death of the </w:t>
      </w:r>
      <w:r w:rsidRPr="00E40443">
        <w:rPr>
          <w:rFonts w:cs="Arial"/>
          <w:i/>
          <w:iCs/>
          <w:szCs w:val="24"/>
        </w:rPr>
        <w:t>conjunctissimi</w:t>
      </w:r>
      <w:r w:rsidRPr="00E40443">
        <w:rPr>
          <w:rFonts w:cs="Arial"/>
          <w:szCs w:val="24"/>
        </w:rPr>
        <w:t xml:space="preserve"> of the deceased, as a crime against one is regarded as a crime against the other. </w:t>
      </w:r>
      <w:r w:rsidRPr="00E40443">
        <w:rPr>
          <w:rFonts w:cs="Arial"/>
          <w:i/>
          <w:iCs/>
          <w:szCs w:val="24"/>
        </w:rPr>
        <w:t>Conjunctissimi</w:t>
      </w:r>
      <w:r w:rsidRPr="00E40443">
        <w:rPr>
          <w:rFonts w:cs="Arial"/>
          <w:szCs w:val="24"/>
        </w:rPr>
        <w:t xml:space="preserve"> [singular </w:t>
      </w:r>
      <w:r w:rsidRPr="00E40443">
        <w:rPr>
          <w:rFonts w:cs="Arial"/>
          <w:i/>
          <w:iCs/>
          <w:szCs w:val="24"/>
        </w:rPr>
        <w:t>conjunctissimus</w:t>
      </w:r>
      <w:r w:rsidRPr="00E40443">
        <w:rPr>
          <w:rFonts w:cs="Arial"/>
          <w:szCs w:val="24"/>
        </w:rPr>
        <w:t>] are the persons with whom the deceased had the closest relationship,</w:t>
      </w:r>
      <w:r w:rsidRPr="00E40443">
        <w:rPr>
          <w:rStyle w:val="FootnoteReference"/>
          <w:rFonts w:cs="Arial"/>
          <w:szCs w:val="24"/>
        </w:rPr>
        <w:footnoteReference w:id="110"/>
      </w:r>
      <w:r w:rsidRPr="00E40443">
        <w:rPr>
          <w:rFonts w:cs="Arial"/>
          <w:szCs w:val="24"/>
        </w:rPr>
        <w:t xml:space="preserve"> being the surviving spouse, parents, and children. Although the </w:t>
      </w:r>
      <w:r w:rsidR="00ED34F0">
        <w:rPr>
          <w:rFonts w:cs="Arial"/>
          <w:szCs w:val="24"/>
        </w:rPr>
        <w:t>c</w:t>
      </w:r>
      <w:r w:rsidRPr="00E40443">
        <w:rPr>
          <w:rFonts w:cs="Arial"/>
          <w:szCs w:val="24"/>
        </w:rPr>
        <w:t xml:space="preserve">ourt was reluctant, it nevertheless acknowledged that </w:t>
      </w:r>
      <w:r w:rsidR="000B67EE">
        <w:rPr>
          <w:rFonts w:cs="Arial"/>
          <w:szCs w:val="24"/>
        </w:rPr>
        <w:t xml:space="preserve">in special </w:t>
      </w:r>
      <w:r w:rsidRPr="00E40443">
        <w:rPr>
          <w:rFonts w:cs="Arial"/>
          <w:szCs w:val="24"/>
        </w:rPr>
        <w:t>circumstances it could be extended to include grandparents and grandchildren.</w:t>
      </w:r>
      <w:r w:rsidRPr="00E40443">
        <w:rPr>
          <w:rStyle w:val="FootnoteReference"/>
          <w:rFonts w:cs="Arial"/>
          <w:szCs w:val="24"/>
        </w:rPr>
        <w:footnoteReference w:id="111"/>
      </w:r>
      <w:r w:rsidRPr="00E40443">
        <w:rPr>
          <w:rFonts w:cs="Arial"/>
          <w:szCs w:val="24"/>
        </w:rPr>
        <w:t xml:space="preserve"> Siblings were</w:t>
      </w:r>
      <w:r w:rsidR="00ED34F0">
        <w:rPr>
          <w:rFonts w:cs="Arial"/>
          <w:szCs w:val="24"/>
        </w:rPr>
        <w:t>,</w:t>
      </w:r>
      <w:r w:rsidRPr="00E40443">
        <w:rPr>
          <w:rFonts w:cs="Arial"/>
          <w:szCs w:val="24"/>
        </w:rPr>
        <w:t xml:space="preserve"> however</w:t>
      </w:r>
      <w:r w:rsidR="00ED34F0">
        <w:rPr>
          <w:rFonts w:cs="Arial"/>
          <w:szCs w:val="24"/>
        </w:rPr>
        <w:t>,</w:t>
      </w:r>
      <w:r w:rsidRPr="00E40443">
        <w:rPr>
          <w:rFonts w:cs="Arial"/>
          <w:szCs w:val="24"/>
        </w:rPr>
        <w:t xml:space="preserve"> explicitly excluded.</w:t>
      </w:r>
      <w:r w:rsidRPr="00E40443">
        <w:rPr>
          <w:rStyle w:val="FootnoteReference"/>
          <w:rFonts w:cs="Arial"/>
          <w:szCs w:val="24"/>
        </w:rPr>
        <w:footnoteReference w:id="112"/>
      </w:r>
      <w:r w:rsidRPr="00E40443">
        <w:rPr>
          <w:rFonts w:cs="Arial"/>
          <w:szCs w:val="24"/>
        </w:rPr>
        <w:t xml:space="preserve"> In such an instant the murderer is barred from inheriting from both the testator</w:t>
      </w:r>
      <w:r w:rsidRPr="00E40443">
        <w:rPr>
          <w:rFonts w:cs="Arial"/>
          <w:i/>
          <w:iCs/>
          <w:szCs w:val="24"/>
        </w:rPr>
        <w:t xml:space="preserve"> </w:t>
      </w:r>
      <w:r w:rsidRPr="00E40443">
        <w:rPr>
          <w:rFonts w:cs="Arial"/>
          <w:szCs w:val="24"/>
        </w:rPr>
        <w:t xml:space="preserve">and their </w:t>
      </w:r>
      <w:r w:rsidRPr="00E40443">
        <w:rPr>
          <w:rFonts w:cs="Arial"/>
          <w:i/>
          <w:iCs/>
          <w:szCs w:val="24"/>
        </w:rPr>
        <w:t>conjunctissimi</w:t>
      </w:r>
      <w:r w:rsidRPr="00E40443">
        <w:rPr>
          <w:rFonts w:cs="Arial"/>
          <w:szCs w:val="24"/>
        </w:rPr>
        <w:t>, either testate or intestate. The common law further provides that an heir who merely assists or provides counsel to a murderer, is also disqualified from inheriting.</w:t>
      </w:r>
      <w:r w:rsidRPr="00E40443">
        <w:rPr>
          <w:rStyle w:val="FootnoteReference"/>
          <w:rFonts w:cs="Arial"/>
          <w:szCs w:val="24"/>
        </w:rPr>
        <w:footnoteReference w:id="113"/>
      </w:r>
      <w:r w:rsidRPr="00E40443">
        <w:rPr>
          <w:rFonts w:cs="Arial"/>
          <w:szCs w:val="24"/>
        </w:rPr>
        <w:t xml:space="preserve"> </w:t>
      </w:r>
    </w:p>
    <w:p w14:paraId="541F44E1" w14:textId="77777777" w:rsidR="00C64FDA" w:rsidRPr="00E40443" w:rsidRDefault="00C64FDA" w:rsidP="00C5627E">
      <w:pPr>
        <w:rPr>
          <w:rFonts w:cs="Arial"/>
          <w:szCs w:val="24"/>
        </w:rPr>
      </w:pPr>
      <w:r w:rsidRPr="00E40443">
        <w:rPr>
          <w:rFonts w:cs="Arial"/>
          <w:szCs w:val="24"/>
        </w:rPr>
        <w:t>In the event that the deceased is murdered, it is unlikely that the wrongdoer will be able to disprove a link between their unlawful conduct and the benefits.</w:t>
      </w:r>
      <w:r w:rsidRPr="00E40443">
        <w:rPr>
          <w:rStyle w:val="FootnoteReference"/>
          <w:rFonts w:cs="Arial"/>
          <w:szCs w:val="24"/>
        </w:rPr>
        <w:footnoteReference w:id="114"/>
      </w:r>
    </w:p>
    <w:p w14:paraId="0B8F687B" w14:textId="4EA246A0" w:rsidR="00C64FDA" w:rsidRPr="00E40443" w:rsidRDefault="00C64FDA" w:rsidP="00C5627E">
      <w:pPr>
        <w:rPr>
          <w:rFonts w:cs="Arial"/>
          <w:szCs w:val="24"/>
        </w:rPr>
      </w:pPr>
    </w:p>
    <w:p w14:paraId="197198DC" w14:textId="5B872D80" w:rsidR="00CE3D34" w:rsidRPr="000B67EE" w:rsidRDefault="00092A3A" w:rsidP="00C5627E">
      <w:pPr>
        <w:pStyle w:val="Heading2"/>
        <w:numPr>
          <w:ilvl w:val="1"/>
          <w:numId w:val="30"/>
        </w:numPr>
        <w:ind w:left="567" w:hanging="567"/>
        <w:rPr>
          <w:rFonts w:cs="Arial"/>
          <w:b w:val="0"/>
          <w:bCs/>
          <w:szCs w:val="24"/>
        </w:rPr>
      </w:pPr>
      <w:bookmarkStart w:id="18" w:name="_Toc191216264"/>
      <w:r w:rsidRPr="000B67EE">
        <w:rPr>
          <w:rFonts w:cs="Arial"/>
          <w:bCs/>
          <w:szCs w:val="24"/>
        </w:rPr>
        <w:lastRenderedPageBreak/>
        <w:t xml:space="preserve">Application of </w:t>
      </w:r>
      <w:r w:rsidRPr="000B67EE">
        <w:rPr>
          <w:rFonts w:cs="Arial"/>
          <w:bCs/>
          <w:i/>
          <w:iCs/>
          <w:szCs w:val="24"/>
        </w:rPr>
        <w:t>de bloedige hand</w:t>
      </w:r>
      <w:r w:rsidRPr="000B67EE">
        <w:rPr>
          <w:rFonts w:cs="Arial"/>
          <w:bCs/>
          <w:szCs w:val="24"/>
        </w:rPr>
        <w:t xml:space="preserve"> in the law of succession</w:t>
      </w:r>
      <w:bookmarkEnd w:id="18"/>
      <w:r w:rsidRPr="000B67EE">
        <w:rPr>
          <w:rFonts w:cs="Arial"/>
          <w:bCs/>
          <w:szCs w:val="24"/>
        </w:rPr>
        <w:t xml:space="preserve"> </w:t>
      </w:r>
    </w:p>
    <w:p w14:paraId="6F4B4F84" w14:textId="2CD5169F" w:rsidR="00FD22D7" w:rsidRPr="00E40443" w:rsidRDefault="00CE3D34" w:rsidP="00C5627E">
      <w:pPr>
        <w:rPr>
          <w:rFonts w:cs="Arial"/>
          <w:szCs w:val="24"/>
        </w:rPr>
      </w:pPr>
      <w:r w:rsidRPr="00E40443">
        <w:rPr>
          <w:rFonts w:cs="Arial"/>
          <w:szCs w:val="24"/>
        </w:rPr>
        <w:t>It is trite that the winding up of an estate entails settling the liabilities of the deceased, whereafter the remaining assets can be awarded and transferred to the beneficiaries.</w:t>
      </w:r>
      <w:r w:rsidRPr="00E40443">
        <w:rPr>
          <w:rStyle w:val="FootnoteReference"/>
          <w:rFonts w:cs="Arial"/>
          <w:szCs w:val="24"/>
        </w:rPr>
        <w:footnoteReference w:id="115"/>
      </w:r>
      <w:r w:rsidR="00FD22D7" w:rsidRPr="00E40443">
        <w:rPr>
          <w:rFonts w:cs="Arial"/>
          <w:szCs w:val="24"/>
        </w:rPr>
        <w:t xml:space="preserve"> As a general rule, assets will only be transferred to the beneficiaries after the </w:t>
      </w:r>
      <w:r w:rsidR="000B67EE">
        <w:rPr>
          <w:rFonts w:cs="Arial"/>
          <w:szCs w:val="24"/>
        </w:rPr>
        <w:t>L</w:t>
      </w:r>
      <w:r w:rsidR="00FD22D7" w:rsidRPr="00E40443">
        <w:rPr>
          <w:rFonts w:cs="Arial"/>
          <w:szCs w:val="24"/>
        </w:rPr>
        <w:t xml:space="preserve">iquidation and </w:t>
      </w:r>
      <w:r w:rsidR="000B67EE">
        <w:rPr>
          <w:rFonts w:cs="Arial"/>
          <w:szCs w:val="24"/>
        </w:rPr>
        <w:t>D</w:t>
      </w:r>
      <w:r w:rsidR="00FD22D7" w:rsidRPr="00E40443">
        <w:rPr>
          <w:rFonts w:cs="Arial"/>
          <w:szCs w:val="24"/>
        </w:rPr>
        <w:t xml:space="preserve">istribution </w:t>
      </w:r>
      <w:r w:rsidR="000B67EE">
        <w:rPr>
          <w:rFonts w:cs="Arial"/>
          <w:szCs w:val="24"/>
        </w:rPr>
        <w:t>A</w:t>
      </w:r>
      <w:r w:rsidR="00FD22D7" w:rsidRPr="00E40443">
        <w:rPr>
          <w:rFonts w:cs="Arial"/>
          <w:szCs w:val="24"/>
        </w:rPr>
        <w:t>ccount has laid for inspection,</w:t>
      </w:r>
      <w:r w:rsidR="00FD22D7" w:rsidRPr="00E40443">
        <w:rPr>
          <w:rStyle w:val="FootnoteReference"/>
          <w:rFonts w:cs="Arial"/>
          <w:szCs w:val="24"/>
        </w:rPr>
        <w:footnoteReference w:id="116"/>
      </w:r>
      <w:r w:rsidR="00FD22D7" w:rsidRPr="00E40443">
        <w:rPr>
          <w:rFonts w:cs="Arial"/>
          <w:szCs w:val="24"/>
        </w:rPr>
        <w:t xml:space="preserve"> and distribution of benefits is subject to consent from the Master.</w:t>
      </w:r>
      <w:r w:rsidR="00FD22D7" w:rsidRPr="00E40443">
        <w:rPr>
          <w:rStyle w:val="FootnoteReference"/>
          <w:rFonts w:cs="Arial"/>
          <w:szCs w:val="24"/>
        </w:rPr>
        <w:footnoteReference w:id="117"/>
      </w:r>
      <w:r w:rsidR="00FD22D7" w:rsidRPr="00E40443">
        <w:rPr>
          <w:rFonts w:cs="Arial"/>
          <w:szCs w:val="24"/>
        </w:rPr>
        <w:t xml:space="preserve"> </w:t>
      </w:r>
    </w:p>
    <w:p w14:paraId="37367743" w14:textId="670BE10B" w:rsidR="00FD22D7" w:rsidRPr="00E40443" w:rsidRDefault="000B67EE" w:rsidP="00C5627E">
      <w:pPr>
        <w:rPr>
          <w:rFonts w:cs="Arial"/>
          <w:szCs w:val="24"/>
        </w:rPr>
      </w:pPr>
      <w:r>
        <w:rPr>
          <w:rFonts w:cs="Arial"/>
          <w:szCs w:val="24"/>
        </w:rPr>
        <w:t>Prior to the winding up of the deceased estate, t</w:t>
      </w:r>
      <w:r w:rsidRPr="00E40443">
        <w:rPr>
          <w:rFonts w:cs="Arial"/>
          <w:szCs w:val="24"/>
        </w:rPr>
        <w:t>he executor is empowered to pay interim maintenance in favour of, or advances to, heirs.</w:t>
      </w:r>
      <w:r w:rsidRPr="00E40443">
        <w:rPr>
          <w:rStyle w:val="FootnoteReference"/>
          <w:rFonts w:cs="Arial"/>
          <w:szCs w:val="24"/>
        </w:rPr>
        <w:footnoteReference w:id="118"/>
      </w:r>
      <w:r w:rsidRPr="00E40443">
        <w:rPr>
          <w:rFonts w:cs="Arial"/>
          <w:szCs w:val="24"/>
        </w:rPr>
        <w:t xml:space="preserve"> </w:t>
      </w:r>
      <w:r w:rsidR="00FD22D7" w:rsidRPr="00E40443">
        <w:rPr>
          <w:rFonts w:cs="Arial"/>
          <w:szCs w:val="24"/>
        </w:rPr>
        <w:t xml:space="preserve">An heir wishing to lay claim to their inheritance </w:t>
      </w:r>
      <w:r>
        <w:rPr>
          <w:rFonts w:cs="Arial"/>
          <w:szCs w:val="24"/>
        </w:rPr>
        <w:t xml:space="preserve">at such time, </w:t>
      </w:r>
      <w:r w:rsidR="00FD22D7" w:rsidRPr="00E40443">
        <w:rPr>
          <w:rFonts w:cs="Arial"/>
          <w:szCs w:val="24"/>
        </w:rPr>
        <w:t>must lodge a claim to such effect with the executor, who is tasked with thoroughly considering same. In the event that the claim is rejected, the claimant may approach the Master and ultimately the Court for such an award.</w:t>
      </w:r>
      <w:r w:rsidR="00FD22D7" w:rsidRPr="00E40443">
        <w:rPr>
          <w:rStyle w:val="FootnoteReference"/>
          <w:rFonts w:cs="Arial"/>
          <w:szCs w:val="24"/>
        </w:rPr>
        <w:footnoteReference w:id="119"/>
      </w:r>
    </w:p>
    <w:p w14:paraId="052F0C13" w14:textId="580087E3" w:rsidR="00FD22D7" w:rsidRPr="00E40443" w:rsidRDefault="007C409E" w:rsidP="00C5627E">
      <w:pPr>
        <w:rPr>
          <w:rFonts w:cs="Arial"/>
          <w:szCs w:val="24"/>
        </w:rPr>
      </w:pPr>
      <w:r w:rsidRPr="00E40443">
        <w:rPr>
          <w:rFonts w:cs="Arial"/>
          <w:szCs w:val="24"/>
        </w:rPr>
        <w:t xml:space="preserve">Where a murderer and victim are bound </w:t>
      </w:r>
      <w:r w:rsidR="000B67EE">
        <w:rPr>
          <w:rFonts w:cs="Arial"/>
          <w:szCs w:val="24"/>
        </w:rPr>
        <w:t>by</w:t>
      </w:r>
      <w:r w:rsidRPr="00E40443">
        <w:rPr>
          <w:rFonts w:cs="Arial"/>
          <w:szCs w:val="24"/>
        </w:rPr>
        <w:t xml:space="preserve"> familial ties, the </w:t>
      </w:r>
      <w:r w:rsidR="00FD22D7" w:rsidRPr="00E40443">
        <w:rPr>
          <w:rFonts w:cs="Arial"/>
          <w:szCs w:val="24"/>
        </w:rPr>
        <w:t xml:space="preserve">executor is expected to exercise an exceptional degree of care and diligence before awarding benefits </w:t>
      </w:r>
      <w:r w:rsidRPr="00E40443">
        <w:rPr>
          <w:rFonts w:cs="Arial"/>
          <w:szCs w:val="24"/>
        </w:rPr>
        <w:t>to an alleged murderer.</w:t>
      </w:r>
      <w:r w:rsidR="00FD22D7" w:rsidRPr="00E40443">
        <w:rPr>
          <w:rStyle w:val="FootnoteReference"/>
          <w:rFonts w:cs="Arial"/>
          <w:szCs w:val="24"/>
        </w:rPr>
        <w:footnoteReference w:id="120"/>
      </w:r>
    </w:p>
    <w:p w14:paraId="5A7FE975" w14:textId="0DE267D7" w:rsidR="00584171" w:rsidRPr="00E40443" w:rsidRDefault="00584171" w:rsidP="00435D02">
      <w:pPr>
        <w:rPr>
          <w:rFonts w:cs="Arial"/>
          <w:szCs w:val="24"/>
        </w:rPr>
      </w:pPr>
      <w:r>
        <w:rPr>
          <w:rFonts w:cs="Arial"/>
          <w:szCs w:val="24"/>
        </w:rPr>
        <w:t>In light of the above, logic dictates that</w:t>
      </w:r>
      <w:r w:rsidR="00435D02">
        <w:rPr>
          <w:rFonts w:cs="Arial"/>
          <w:szCs w:val="24"/>
        </w:rPr>
        <w:t xml:space="preserve"> allowing an unworthy person</w:t>
      </w:r>
      <w:r w:rsidR="00435D02" w:rsidRPr="00435D02">
        <w:rPr>
          <w:rFonts w:cs="Arial"/>
          <w:szCs w:val="24"/>
        </w:rPr>
        <w:t xml:space="preserve"> </w:t>
      </w:r>
      <w:r w:rsidR="00435D02" w:rsidRPr="00E40443">
        <w:rPr>
          <w:rFonts w:cs="Arial"/>
          <w:szCs w:val="24"/>
        </w:rPr>
        <w:t xml:space="preserve">to act as </w:t>
      </w:r>
      <w:r w:rsidR="00435D02">
        <w:rPr>
          <w:rFonts w:cs="Arial"/>
          <w:szCs w:val="24"/>
        </w:rPr>
        <w:t xml:space="preserve">the </w:t>
      </w:r>
      <w:r w:rsidR="00435D02" w:rsidRPr="00E40443">
        <w:rPr>
          <w:rFonts w:cs="Arial"/>
          <w:szCs w:val="24"/>
        </w:rPr>
        <w:t>executor of an estate was in direct conflict with justice and must be seen as “repugnant to all notions of justice and public policy that a person should be appointed executor to the estate of a person he or she has killed”.</w:t>
      </w:r>
      <w:r w:rsidR="00435D02" w:rsidRPr="00E40443">
        <w:rPr>
          <w:rStyle w:val="FootnoteReference"/>
          <w:rFonts w:cs="Arial"/>
          <w:szCs w:val="24"/>
        </w:rPr>
        <w:footnoteReference w:id="121"/>
      </w:r>
      <w:r w:rsidR="00435D02">
        <w:rPr>
          <w:rFonts w:cs="Arial"/>
          <w:szCs w:val="24"/>
        </w:rPr>
        <w:t xml:space="preserve"> Further testamentary benefits a wrongdoer is prohibited from taking, are an </w:t>
      </w:r>
      <w:r w:rsidR="00435D02" w:rsidRPr="00E40443">
        <w:rPr>
          <w:rFonts w:cs="Arial"/>
          <w:szCs w:val="24"/>
        </w:rPr>
        <w:t>appointment as executor, guardian</w:t>
      </w:r>
      <w:r w:rsidR="00435D02">
        <w:rPr>
          <w:rFonts w:cs="Arial"/>
          <w:szCs w:val="24"/>
        </w:rPr>
        <w:t>,</w:t>
      </w:r>
      <w:r w:rsidR="00435D02" w:rsidRPr="00E40443">
        <w:rPr>
          <w:rFonts w:cs="Arial"/>
          <w:szCs w:val="24"/>
        </w:rPr>
        <w:t xml:space="preserve"> trustee</w:t>
      </w:r>
      <w:r w:rsidR="00435D02">
        <w:rPr>
          <w:rFonts w:cs="Arial"/>
          <w:szCs w:val="24"/>
        </w:rPr>
        <w:t>,</w:t>
      </w:r>
      <w:r w:rsidR="00435D02" w:rsidRPr="00E40443">
        <w:rPr>
          <w:rStyle w:val="FootnoteReference"/>
          <w:rFonts w:cs="Arial"/>
          <w:szCs w:val="24"/>
        </w:rPr>
        <w:footnoteReference w:id="122"/>
      </w:r>
      <w:r w:rsidR="00435D02">
        <w:rPr>
          <w:rFonts w:cs="Arial"/>
          <w:szCs w:val="24"/>
        </w:rPr>
        <w:t xml:space="preserve"> and </w:t>
      </w:r>
      <w:r w:rsidR="00435D02" w:rsidRPr="00E40443">
        <w:rPr>
          <w:rFonts w:cs="Arial"/>
          <w:szCs w:val="24"/>
        </w:rPr>
        <w:t xml:space="preserve">capital </w:t>
      </w:r>
      <w:r w:rsidR="00435D02">
        <w:rPr>
          <w:rFonts w:cs="Arial"/>
          <w:szCs w:val="24"/>
        </w:rPr>
        <w:t>an</w:t>
      </w:r>
      <w:r w:rsidR="0079362A">
        <w:rPr>
          <w:rFonts w:cs="Arial"/>
          <w:szCs w:val="24"/>
        </w:rPr>
        <w:t>d</w:t>
      </w:r>
      <w:r w:rsidR="00435D02">
        <w:rPr>
          <w:rFonts w:cs="Arial"/>
          <w:szCs w:val="24"/>
        </w:rPr>
        <w:t>/</w:t>
      </w:r>
      <w:r w:rsidR="00435D02" w:rsidRPr="00E40443">
        <w:rPr>
          <w:rFonts w:cs="Arial"/>
          <w:szCs w:val="24"/>
        </w:rPr>
        <w:t>or income beneficiary</w:t>
      </w:r>
      <w:r w:rsidR="00435D02">
        <w:rPr>
          <w:rFonts w:cs="Arial"/>
          <w:szCs w:val="24"/>
        </w:rPr>
        <w:t>,</w:t>
      </w:r>
      <w:r w:rsidR="00435D02" w:rsidRPr="00E40443">
        <w:rPr>
          <w:rStyle w:val="FootnoteReference"/>
          <w:rFonts w:cs="Arial"/>
          <w:szCs w:val="24"/>
        </w:rPr>
        <w:footnoteReference w:id="123"/>
      </w:r>
      <w:r w:rsidR="00435D02">
        <w:rPr>
          <w:rFonts w:cs="Arial"/>
          <w:szCs w:val="24"/>
        </w:rPr>
        <w:t xml:space="preserve"> as well as </w:t>
      </w:r>
      <w:r w:rsidR="00FD22D7" w:rsidRPr="00E40443">
        <w:rPr>
          <w:rFonts w:cs="Arial"/>
          <w:szCs w:val="24"/>
        </w:rPr>
        <w:t xml:space="preserve">legacies, donations </w:t>
      </w:r>
      <w:r w:rsidR="00FD22D7" w:rsidRPr="00E40443">
        <w:rPr>
          <w:rFonts w:cs="Arial"/>
          <w:i/>
          <w:iCs/>
          <w:szCs w:val="24"/>
        </w:rPr>
        <w:t>mortis causa</w:t>
      </w:r>
      <w:r w:rsidR="00FD22D7" w:rsidRPr="00E40443">
        <w:rPr>
          <w:rFonts w:cs="Arial"/>
          <w:szCs w:val="24"/>
        </w:rPr>
        <w:t xml:space="preserve">, the right of taking </w:t>
      </w:r>
      <w:r w:rsidR="00FD22D7" w:rsidRPr="00E40443">
        <w:rPr>
          <w:rFonts w:cs="Arial"/>
          <w:i/>
          <w:iCs/>
          <w:szCs w:val="24"/>
        </w:rPr>
        <w:t>mortis causa</w:t>
      </w:r>
      <w:r w:rsidR="00FD22D7" w:rsidRPr="00E40443">
        <w:rPr>
          <w:rFonts w:cs="Arial"/>
          <w:szCs w:val="24"/>
        </w:rPr>
        <w:t xml:space="preserve">, acquisitions </w:t>
      </w:r>
      <w:r w:rsidR="00FD22D7" w:rsidRPr="00E40443">
        <w:rPr>
          <w:rFonts w:cs="Arial"/>
          <w:i/>
          <w:iCs/>
          <w:szCs w:val="24"/>
        </w:rPr>
        <w:t>mortis causa</w:t>
      </w:r>
      <w:r w:rsidR="00FD22D7" w:rsidRPr="00E40443">
        <w:rPr>
          <w:rFonts w:cs="Arial"/>
          <w:szCs w:val="24"/>
        </w:rPr>
        <w:t xml:space="preserve"> and </w:t>
      </w:r>
      <w:r w:rsidR="00FD22D7" w:rsidRPr="00E40443">
        <w:rPr>
          <w:rFonts w:cs="Arial"/>
          <w:i/>
          <w:iCs/>
          <w:szCs w:val="24"/>
        </w:rPr>
        <w:t>fideicommissa</w:t>
      </w:r>
      <w:r w:rsidR="00FD22D7" w:rsidRPr="00E40443">
        <w:rPr>
          <w:rFonts w:cs="Arial"/>
          <w:szCs w:val="24"/>
        </w:rPr>
        <w:t>.</w:t>
      </w:r>
      <w:r w:rsidR="00FD22D7" w:rsidRPr="00E40443">
        <w:rPr>
          <w:rStyle w:val="FootnoteReference"/>
          <w:rFonts w:cs="Arial"/>
          <w:szCs w:val="24"/>
        </w:rPr>
        <w:footnoteReference w:id="124"/>
      </w:r>
      <w:r w:rsidR="00BB74D8">
        <w:rPr>
          <w:rFonts w:cs="Arial"/>
          <w:szCs w:val="24"/>
        </w:rPr>
        <w:t xml:space="preserve"> </w:t>
      </w:r>
    </w:p>
    <w:p w14:paraId="715159AC" w14:textId="595FC303" w:rsidR="00FD22D7" w:rsidRPr="00E40443" w:rsidRDefault="00FD22D7" w:rsidP="00C5627E">
      <w:pPr>
        <w:rPr>
          <w:rFonts w:cs="Arial"/>
          <w:szCs w:val="24"/>
        </w:rPr>
      </w:pPr>
    </w:p>
    <w:p w14:paraId="5E0F4D5E" w14:textId="218804A5" w:rsidR="00F943AE" w:rsidRPr="00E40443" w:rsidRDefault="00F943AE" w:rsidP="00C5627E">
      <w:pPr>
        <w:pStyle w:val="Heading2"/>
        <w:numPr>
          <w:ilvl w:val="2"/>
          <w:numId w:val="30"/>
        </w:numPr>
        <w:ind w:left="567" w:hanging="567"/>
        <w:rPr>
          <w:rFonts w:cs="Arial"/>
          <w:b w:val="0"/>
          <w:bCs/>
          <w:szCs w:val="24"/>
        </w:rPr>
      </w:pPr>
      <w:bookmarkStart w:id="19" w:name="_Toc191216265"/>
      <w:r w:rsidRPr="00E40443">
        <w:rPr>
          <w:rFonts w:cs="Arial"/>
          <w:bCs/>
          <w:i/>
          <w:iCs/>
          <w:szCs w:val="24"/>
        </w:rPr>
        <w:lastRenderedPageBreak/>
        <w:t xml:space="preserve">Taylor v Pim </w:t>
      </w:r>
      <w:r w:rsidRPr="00E40443">
        <w:rPr>
          <w:rFonts w:cs="Arial"/>
          <w:bCs/>
          <w:szCs w:val="24"/>
        </w:rPr>
        <w:t>1903 24 NLR 484</w:t>
      </w:r>
      <w:bookmarkEnd w:id="19"/>
    </w:p>
    <w:p w14:paraId="33C67ACA" w14:textId="6513A6DF" w:rsidR="00F943AE" w:rsidRPr="00E40443" w:rsidRDefault="00F943AE" w:rsidP="00C5627E">
      <w:pPr>
        <w:rPr>
          <w:rFonts w:cs="Arial"/>
          <w:szCs w:val="24"/>
        </w:rPr>
      </w:pPr>
      <w:r w:rsidRPr="00E40443">
        <w:rPr>
          <w:rFonts w:cs="Arial"/>
          <w:szCs w:val="24"/>
        </w:rPr>
        <w:t xml:space="preserve">Mrs Bingham was known as a determined, shrewd, capable, respectable and hard-working woman, with moral and </w:t>
      </w:r>
      <w:r w:rsidR="00373348" w:rsidRPr="00E40443">
        <w:rPr>
          <w:rFonts w:cs="Arial"/>
          <w:szCs w:val="24"/>
        </w:rPr>
        <w:t>diligent</w:t>
      </w:r>
      <w:r w:rsidRPr="00E40443">
        <w:rPr>
          <w:rFonts w:cs="Arial"/>
          <w:szCs w:val="24"/>
        </w:rPr>
        <w:t xml:space="preserve"> habits.</w:t>
      </w:r>
      <w:r w:rsidRPr="00E40443">
        <w:rPr>
          <w:rStyle w:val="FootnoteReference"/>
          <w:rFonts w:cs="Arial"/>
          <w:szCs w:val="24"/>
        </w:rPr>
        <w:footnoteReference w:id="125"/>
      </w:r>
    </w:p>
    <w:p w14:paraId="60616CCD" w14:textId="289F5309" w:rsidR="00F943AE" w:rsidRPr="00E40443" w:rsidRDefault="00F943AE" w:rsidP="00C5627E">
      <w:pPr>
        <w:rPr>
          <w:rFonts w:cs="Arial"/>
          <w:szCs w:val="24"/>
        </w:rPr>
      </w:pPr>
      <w:r w:rsidRPr="00E40443">
        <w:rPr>
          <w:rFonts w:cs="Arial"/>
          <w:szCs w:val="24"/>
        </w:rPr>
        <w:t>After the death of her husband, Mrs  Bingham entered into an extra-marital relationship with a certain Mr Pim, who was a married man. Mr Pim moved in with Mrs Bingham, who subsequently started drinking heavily. Mr Pim encouraged Mrs Bingham’s habitual drinking by continually providing her with intoxicating liquor, despite such consumption being forbidden by her medical practitioner. Mrs Bingham died from a cerebral haemorrhage, a symptom of alcoholism, on 17 May 1902.</w:t>
      </w:r>
      <w:r w:rsidRPr="00E40443">
        <w:rPr>
          <w:rStyle w:val="FootnoteReference"/>
          <w:rFonts w:cs="Arial"/>
          <w:szCs w:val="24"/>
        </w:rPr>
        <w:footnoteReference w:id="126"/>
      </w:r>
    </w:p>
    <w:p w14:paraId="1497D103" w14:textId="77777777" w:rsidR="00F943AE" w:rsidRPr="00E40443" w:rsidRDefault="00F943AE" w:rsidP="00C5627E">
      <w:pPr>
        <w:rPr>
          <w:rFonts w:cs="Arial"/>
          <w:szCs w:val="24"/>
        </w:rPr>
      </w:pPr>
      <w:r w:rsidRPr="00E40443">
        <w:rPr>
          <w:rFonts w:cs="Arial"/>
          <w:szCs w:val="24"/>
        </w:rPr>
        <w:t>Mrs Bingham appointed Mr Pim not only as executor and administrator, but also as sole and universal heir in her will dated 25 January 1901, and the Court had to determine whether Mr Pim was, by virtue of his conduct, unworthy to inherit from the deceased.</w:t>
      </w:r>
      <w:r w:rsidRPr="00E40443">
        <w:rPr>
          <w:rStyle w:val="FootnoteReference"/>
          <w:rFonts w:cs="Arial"/>
          <w:szCs w:val="24"/>
        </w:rPr>
        <w:footnoteReference w:id="127"/>
      </w:r>
    </w:p>
    <w:p w14:paraId="1F3A2015" w14:textId="21883432" w:rsidR="00F943AE" w:rsidRPr="00E40443" w:rsidRDefault="00F943AE" w:rsidP="00C5627E">
      <w:pPr>
        <w:rPr>
          <w:rFonts w:cs="Arial"/>
          <w:szCs w:val="24"/>
        </w:rPr>
      </w:pPr>
      <w:r w:rsidRPr="00E40443">
        <w:rPr>
          <w:rFonts w:cs="Arial"/>
          <w:szCs w:val="24"/>
        </w:rPr>
        <w:t xml:space="preserve">The Court found Mr Pim disentitled to inherit from Mrs Bingham for the following reasons: he caused her moral downfall and physical and mental ruin; his adulterous conduct towards her; he continuously supplied her with intoxicating liquor, which consumption was forbidden, thereby expediting her death for his personal benefit; he tried to prevent </w:t>
      </w:r>
      <w:r w:rsidR="00FF5269">
        <w:rPr>
          <w:rFonts w:cs="Arial"/>
          <w:szCs w:val="24"/>
        </w:rPr>
        <w:t xml:space="preserve">her from receiving </w:t>
      </w:r>
      <w:r w:rsidRPr="00E40443">
        <w:rPr>
          <w:rFonts w:cs="Arial"/>
          <w:szCs w:val="24"/>
        </w:rPr>
        <w:t>the necessary medical assistance; he endeavoured to acquire funds by virtue of the testamentary provisions; and his heartless and cruel conduct in encouraging her intemperate habits.</w:t>
      </w:r>
      <w:r w:rsidRPr="00E40443">
        <w:rPr>
          <w:rStyle w:val="FootnoteReference"/>
          <w:rFonts w:cs="Arial"/>
          <w:szCs w:val="24"/>
        </w:rPr>
        <w:footnoteReference w:id="128"/>
      </w:r>
      <w:r w:rsidR="00300900" w:rsidRPr="00E40443">
        <w:rPr>
          <w:rFonts w:cs="Arial"/>
          <w:szCs w:val="24"/>
        </w:rPr>
        <w:t xml:space="preserve"> Mr Pim was also ordered to pay the costs of the proceedings.</w:t>
      </w:r>
      <w:r w:rsidR="00300900" w:rsidRPr="00E40443">
        <w:rPr>
          <w:rStyle w:val="FootnoteReference"/>
          <w:rFonts w:cs="Arial"/>
          <w:szCs w:val="24"/>
        </w:rPr>
        <w:footnoteReference w:id="129"/>
      </w:r>
    </w:p>
    <w:p w14:paraId="13ED7DC1" w14:textId="77777777" w:rsidR="00F943AE" w:rsidRPr="00E40443" w:rsidRDefault="00F943AE" w:rsidP="00C5627E">
      <w:pPr>
        <w:rPr>
          <w:rFonts w:cs="Arial"/>
          <w:szCs w:val="24"/>
        </w:rPr>
      </w:pPr>
      <w:r w:rsidRPr="00E40443">
        <w:rPr>
          <w:rFonts w:cs="Arial"/>
          <w:szCs w:val="24"/>
        </w:rPr>
        <w:t>Thirion supports this reasoning by reiterating the display of “reckless disregard of [her] welfare” and Mr Pim’s attitude of indifference pertaining to his negligent contribution to her death.</w:t>
      </w:r>
      <w:r w:rsidRPr="00E40443">
        <w:rPr>
          <w:rStyle w:val="FootnoteReference"/>
          <w:rFonts w:cs="Arial"/>
          <w:szCs w:val="24"/>
        </w:rPr>
        <w:footnoteReference w:id="130"/>
      </w:r>
      <w:r w:rsidRPr="00E40443">
        <w:rPr>
          <w:rFonts w:cs="Arial"/>
          <w:szCs w:val="24"/>
        </w:rPr>
        <w:t xml:space="preserve"> </w:t>
      </w:r>
    </w:p>
    <w:p w14:paraId="341F2322" w14:textId="77777777" w:rsidR="00F943AE" w:rsidRPr="00E40443" w:rsidRDefault="00F943AE" w:rsidP="00C5627E">
      <w:pPr>
        <w:rPr>
          <w:rFonts w:cs="Arial"/>
          <w:szCs w:val="24"/>
        </w:rPr>
      </w:pPr>
    </w:p>
    <w:p w14:paraId="50941B15" w14:textId="67061245" w:rsidR="002977D8" w:rsidRPr="00E40443" w:rsidRDefault="00092A3A" w:rsidP="00C5627E">
      <w:pPr>
        <w:pStyle w:val="Heading2"/>
        <w:numPr>
          <w:ilvl w:val="1"/>
          <w:numId w:val="30"/>
        </w:numPr>
        <w:ind w:left="567" w:hanging="567"/>
        <w:rPr>
          <w:rFonts w:cs="Arial"/>
          <w:b w:val="0"/>
          <w:bCs/>
          <w:szCs w:val="24"/>
        </w:rPr>
      </w:pPr>
      <w:bookmarkStart w:id="20" w:name="_Toc191216266"/>
      <w:r w:rsidRPr="00E40443">
        <w:rPr>
          <w:rFonts w:cs="Arial"/>
          <w:bCs/>
          <w:szCs w:val="24"/>
        </w:rPr>
        <w:lastRenderedPageBreak/>
        <w:t>Development of requirements for a finding of unworthiness</w:t>
      </w:r>
      <w:bookmarkEnd w:id="20"/>
    </w:p>
    <w:p w14:paraId="5497769D" w14:textId="735C4E32" w:rsidR="004A279C" w:rsidRPr="00E40443" w:rsidRDefault="00EE11FD" w:rsidP="00C5627E">
      <w:pPr>
        <w:rPr>
          <w:rFonts w:cs="Arial"/>
          <w:szCs w:val="24"/>
        </w:rPr>
      </w:pPr>
      <w:r w:rsidRPr="00E40443">
        <w:rPr>
          <w:rFonts w:eastAsiaTheme="majorEastAsia" w:cs="Arial"/>
          <w:bCs/>
          <w:szCs w:val="24"/>
        </w:rPr>
        <w:t xml:space="preserve">As far back as 1903, the </w:t>
      </w:r>
      <w:r w:rsidR="00C84801">
        <w:rPr>
          <w:rFonts w:eastAsiaTheme="majorEastAsia" w:cs="Arial"/>
          <w:bCs/>
          <w:szCs w:val="24"/>
        </w:rPr>
        <w:t>C</w:t>
      </w:r>
      <w:r w:rsidRPr="00E40443">
        <w:rPr>
          <w:rFonts w:eastAsiaTheme="majorEastAsia" w:cs="Arial"/>
          <w:bCs/>
          <w:szCs w:val="24"/>
        </w:rPr>
        <w:t>ourt was satisfied to declare an heir unworthy to inherit based solely on the foundation that the deprivation should be just</w:t>
      </w:r>
      <w:r w:rsidR="006F3B2C" w:rsidRPr="00E40443">
        <w:rPr>
          <w:rFonts w:eastAsiaTheme="majorEastAsia" w:cs="Arial"/>
          <w:bCs/>
          <w:szCs w:val="24"/>
        </w:rPr>
        <w:t>,</w:t>
      </w:r>
      <w:r w:rsidRPr="00E40443">
        <w:rPr>
          <w:rStyle w:val="FootnoteReference"/>
          <w:rFonts w:cs="Arial"/>
          <w:szCs w:val="24"/>
        </w:rPr>
        <w:footnoteReference w:id="131"/>
      </w:r>
      <w:r w:rsidR="006F3B2C" w:rsidRPr="00E40443">
        <w:rPr>
          <w:rFonts w:eastAsiaTheme="majorEastAsia" w:cs="Arial"/>
          <w:bCs/>
          <w:szCs w:val="24"/>
        </w:rPr>
        <w:t xml:space="preserve"> clearly indicating that criminal and civil proceedings are independent of each other.</w:t>
      </w:r>
      <w:r w:rsidR="006F3B2C" w:rsidRPr="00E40443">
        <w:rPr>
          <w:rStyle w:val="FootnoteReference"/>
          <w:rFonts w:cs="Arial"/>
          <w:szCs w:val="24"/>
        </w:rPr>
        <w:footnoteReference w:id="132"/>
      </w:r>
    </w:p>
    <w:p w14:paraId="20F004BD" w14:textId="03414D00" w:rsidR="0008698B" w:rsidRPr="00E40443" w:rsidRDefault="00EE11FD" w:rsidP="00C5627E">
      <w:pPr>
        <w:rPr>
          <w:rFonts w:cs="Arial"/>
          <w:szCs w:val="24"/>
        </w:rPr>
      </w:pPr>
      <w:r w:rsidRPr="00E40443">
        <w:rPr>
          <w:rFonts w:cs="Arial"/>
          <w:szCs w:val="24"/>
        </w:rPr>
        <w:t xml:space="preserve">As time progressed, however, </w:t>
      </w:r>
      <w:r w:rsidR="00F2109E">
        <w:rPr>
          <w:rFonts w:cs="Arial"/>
          <w:szCs w:val="24"/>
        </w:rPr>
        <w:t>c</w:t>
      </w:r>
      <w:r w:rsidRPr="00E40443">
        <w:rPr>
          <w:rFonts w:cs="Arial"/>
          <w:szCs w:val="24"/>
        </w:rPr>
        <w:t xml:space="preserve">ourts seemed to </w:t>
      </w:r>
      <w:r w:rsidR="006F3B2C" w:rsidRPr="00E40443">
        <w:rPr>
          <w:rFonts w:cs="Arial"/>
          <w:szCs w:val="24"/>
        </w:rPr>
        <w:t xml:space="preserve">converge criminal and civil proceedings by </w:t>
      </w:r>
      <w:r w:rsidRPr="00E40443">
        <w:rPr>
          <w:rFonts w:cs="Arial"/>
          <w:szCs w:val="24"/>
        </w:rPr>
        <w:t>view</w:t>
      </w:r>
      <w:r w:rsidR="006F3B2C" w:rsidRPr="00E40443">
        <w:rPr>
          <w:rFonts w:cs="Arial"/>
          <w:szCs w:val="24"/>
        </w:rPr>
        <w:t>ing</w:t>
      </w:r>
      <w:r w:rsidRPr="00E40443">
        <w:rPr>
          <w:rFonts w:cs="Arial"/>
          <w:szCs w:val="24"/>
        </w:rPr>
        <w:t xml:space="preserve"> a criminal conviction as a prerequisite to declare a wrongdoer unworthy of inheriting</w:t>
      </w:r>
      <w:r w:rsidR="00B772E4" w:rsidRPr="00E40443">
        <w:rPr>
          <w:rFonts w:cs="Arial"/>
          <w:szCs w:val="24"/>
        </w:rPr>
        <w:t xml:space="preserve"> – in 2010 Lategan expressed that the </w:t>
      </w:r>
      <w:r w:rsidR="004E00A3" w:rsidRPr="00E40443">
        <w:rPr>
          <w:rFonts w:cs="Arial"/>
          <w:szCs w:val="24"/>
        </w:rPr>
        <w:t>community would not view actions as reprehensible if the conduct did not result in a conviction.</w:t>
      </w:r>
      <w:r w:rsidR="004E00A3" w:rsidRPr="00E40443">
        <w:rPr>
          <w:rStyle w:val="FootnoteReference"/>
          <w:rFonts w:cs="Arial"/>
          <w:szCs w:val="24"/>
        </w:rPr>
        <w:footnoteReference w:id="133"/>
      </w:r>
      <w:r w:rsidR="004E00A3" w:rsidRPr="00E40443">
        <w:rPr>
          <w:rFonts w:cs="Arial"/>
          <w:szCs w:val="24"/>
        </w:rPr>
        <w:t xml:space="preserve"> </w:t>
      </w:r>
      <w:r w:rsidR="002E222B" w:rsidRPr="00E40443">
        <w:rPr>
          <w:rFonts w:cs="Arial"/>
          <w:szCs w:val="24"/>
        </w:rPr>
        <w:t xml:space="preserve">This also appears to have been the reasoning applied in the case of </w:t>
      </w:r>
      <w:r w:rsidR="002E222B" w:rsidRPr="00E40443">
        <w:rPr>
          <w:rFonts w:cs="Arial"/>
          <w:i/>
          <w:iCs/>
          <w:szCs w:val="24"/>
        </w:rPr>
        <w:t>Gafin</w:t>
      </w:r>
      <w:r w:rsidR="00515103" w:rsidRPr="00E40443">
        <w:rPr>
          <w:rFonts w:cs="Arial"/>
          <w:i/>
          <w:iCs/>
          <w:szCs w:val="24"/>
        </w:rPr>
        <w:t xml:space="preserve"> NO V Kavin</w:t>
      </w:r>
      <w:r w:rsidR="002E222B" w:rsidRPr="00E40443">
        <w:rPr>
          <w:rFonts w:cs="Arial"/>
          <w:szCs w:val="24"/>
        </w:rPr>
        <w:t>, where the Court held that Mr Kavin would inherit “unless … found guilty of the alleged charge.”</w:t>
      </w:r>
      <w:r w:rsidR="002E222B" w:rsidRPr="00E40443">
        <w:rPr>
          <w:rStyle w:val="FootnoteReference"/>
          <w:rFonts w:cs="Arial"/>
          <w:szCs w:val="24"/>
        </w:rPr>
        <w:footnoteReference w:id="134"/>
      </w:r>
    </w:p>
    <w:p w14:paraId="0CCCA18E" w14:textId="06B99CD0" w:rsidR="004A279C" w:rsidRPr="00E40443" w:rsidRDefault="0008698B" w:rsidP="00C5627E">
      <w:pPr>
        <w:rPr>
          <w:rFonts w:cs="Arial"/>
          <w:szCs w:val="24"/>
        </w:rPr>
      </w:pPr>
      <w:r w:rsidRPr="00E40443">
        <w:rPr>
          <w:rFonts w:cs="Arial"/>
          <w:szCs w:val="24"/>
        </w:rPr>
        <w:t xml:space="preserve">Currently, it is generally accepted that </w:t>
      </w:r>
      <w:r w:rsidR="00A6551F" w:rsidRPr="00E40443">
        <w:rPr>
          <w:rFonts w:cs="Arial"/>
          <w:szCs w:val="24"/>
        </w:rPr>
        <w:t xml:space="preserve">a criminal conviction is no longer required for the application of </w:t>
      </w:r>
      <w:r w:rsidR="00A6551F" w:rsidRPr="00E40443">
        <w:rPr>
          <w:rFonts w:cs="Arial"/>
          <w:i/>
          <w:iCs/>
          <w:szCs w:val="24"/>
        </w:rPr>
        <w:t>de bloedige hand</w:t>
      </w:r>
      <w:r w:rsidR="00A6551F" w:rsidRPr="00E40443">
        <w:rPr>
          <w:rStyle w:val="FootnoteReference"/>
          <w:rFonts w:cs="Arial"/>
          <w:szCs w:val="24"/>
        </w:rPr>
        <w:footnoteReference w:id="135"/>
      </w:r>
      <w:r w:rsidR="00A6551F" w:rsidRPr="00E40443">
        <w:rPr>
          <w:rFonts w:cs="Arial"/>
          <w:szCs w:val="24"/>
        </w:rPr>
        <w:t xml:space="preserve"> as it does not equate to </w:t>
      </w:r>
      <w:r w:rsidR="004A279C" w:rsidRPr="00E40443">
        <w:rPr>
          <w:rFonts w:cs="Arial"/>
          <w:szCs w:val="24"/>
        </w:rPr>
        <w:t>definitive proof that the wrongdoer did in fact commit the</w:t>
      </w:r>
      <w:r w:rsidR="00FF5269">
        <w:rPr>
          <w:rFonts w:cs="Arial"/>
          <w:szCs w:val="24"/>
        </w:rPr>
        <w:t xml:space="preserve"> crime</w:t>
      </w:r>
      <w:r w:rsidR="006F3B2C" w:rsidRPr="00E40443">
        <w:rPr>
          <w:rFonts w:cs="Arial"/>
          <w:szCs w:val="24"/>
        </w:rPr>
        <w:t>.</w:t>
      </w:r>
      <w:r w:rsidR="004A279C" w:rsidRPr="00E40443">
        <w:rPr>
          <w:rStyle w:val="FootnoteReference"/>
          <w:rFonts w:cs="Arial"/>
          <w:szCs w:val="24"/>
        </w:rPr>
        <w:footnoteReference w:id="136"/>
      </w:r>
      <w:r w:rsidR="00302606" w:rsidRPr="00E40443">
        <w:rPr>
          <w:rFonts w:cs="Arial"/>
          <w:szCs w:val="24"/>
        </w:rPr>
        <w:t xml:space="preserve"> </w:t>
      </w:r>
      <w:r w:rsidR="004A279C" w:rsidRPr="00E40443">
        <w:rPr>
          <w:rFonts w:cs="Arial"/>
          <w:szCs w:val="24"/>
        </w:rPr>
        <w:t xml:space="preserve">The requirement of a criminal conviction lost even more ground in 2022, when </w:t>
      </w:r>
      <w:r w:rsidRPr="00E40443">
        <w:rPr>
          <w:rFonts w:cs="Arial"/>
          <w:szCs w:val="24"/>
        </w:rPr>
        <w:t>the inadmissibility</w:t>
      </w:r>
      <w:r w:rsidRPr="00E40443">
        <w:rPr>
          <w:rStyle w:val="FootnoteReference"/>
          <w:rFonts w:cs="Arial"/>
          <w:szCs w:val="24"/>
        </w:rPr>
        <w:footnoteReference w:id="137"/>
      </w:r>
      <w:r w:rsidRPr="00E40443">
        <w:rPr>
          <w:rFonts w:cs="Arial"/>
          <w:szCs w:val="24"/>
        </w:rPr>
        <w:t xml:space="preserve"> of such evidence in subsequent civil proceedings was again brought to the forefront,</w:t>
      </w:r>
      <w:r w:rsidR="004A279C" w:rsidRPr="00E40443">
        <w:rPr>
          <w:rStyle w:val="FootnoteReference"/>
          <w:rFonts w:cs="Arial"/>
          <w:szCs w:val="24"/>
        </w:rPr>
        <w:footnoteReference w:id="138"/>
      </w:r>
      <w:r w:rsidR="006F3B2C" w:rsidRPr="00E40443">
        <w:rPr>
          <w:rFonts w:cs="Arial"/>
          <w:szCs w:val="24"/>
        </w:rPr>
        <w:t xml:space="preserve"> </w:t>
      </w:r>
      <w:r w:rsidRPr="00E40443">
        <w:rPr>
          <w:rFonts w:cs="Arial"/>
          <w:szCs w:val="24"/>
        </w:rPr>
        <w:t xml:space="preserve">thereby </w:t>
      </w:r>
      <w:r w:rsidR="00FA283B" w:rsidRPr="00E40443">
        <w:rPr>
          <w:rFonts w:cs="Arial"/>
          <w:szCs w:val="24"/>
        </w:rPr>
        <w:t xml:space="preserve">reiterating the </w:t>
      </w:r>
      <w:r w:rsidR="006F3B2C" w:rsidRPr="00E40443">
        <w:rPr>
          <w:rFonts w:cs="Arial"/>
          <w:szCs w:val="24"/>
        </w:rPr>
        <w:t>independence of the criminal and civil legal systems.</w:t>
      </w:r>
    </w:p>
    <w:p w14:paraId="155528A8" w14:textId="6F8118CA" w:rsidR="004A279C" w:rsidRDefault="003774AC" w:rsidP="00C5627E">
      <w:pPr>
        <w:rPr>
          <w:rFonts w:cs="Arial"/>
          <w:szCs w:val="24"/>
        </w:rPr>
      </w:pPr>
      <w:r w:rsidRPr="00E40443">
        <w:rPr>
          <w:rFonts w:cs="Arial"/>
          <w:szCs w:val="24"/>
        </w:rPr>
        <w:t xml:space="preserve">In support of the aforesaid, it appears that </w:t>
      </w:r>
      <w:r w:rsidR="00F2109E">
        <w:rPr>
          <w:rFonts w:cs="Arial"/>
          <w:szCs w:val="24"/>
        </w:rPr>
        <w:t>c</w:t>
      </w:r>
      <w:r w:rsidR="004A279C" w:rsidRPr="00E40443">
        <w:rPr>
          <w:rFonts w:cs="Arial"/>
          <w:szCs w:val="24"/>
        </w:rPr>
        <w:t xml:space="preserve">ourts have reverted to the approach of </w:t>
      </w:r>
      <w:r w:rsidR="004A279C" w:rsidRPr="00E40443">
        <w:rPr>
          <w:rFonts w:cs="Arial"/>
          <w:i/>
          <w:iCs/>
          <w:szCs w:val="24"/>
        </w:rPr>
        <w:t>Taylor</w:t>
      </w:r>
      <w:r w:rsidR="0079362A">
        <w:rPr>
          <w:rFonts w:cs="Arial"/>
          <w:i/>
          <w:iCs/>
          <w:szCs w:val="24"/>
        </w:rPr>
        <w:t xml:space="preserve"> v Pim</w:t>
      </w:r>
      <w:r w:rsidR="004A279C" w:rsidRPr="00E40443">
        <w:rPr>
          <w:rFonts w:cs="Arial"/>
          <w:szCs w:val="24"/>
        </w:rPr>
        <w:t>, as Hofmeyr &amp; Paleker noted that it is in the discretion</w:t>
      </w:r>
      <w:r w:rsidR="003E78EE" w:rsidRPr="00E40443">
        <w:rPr>
          <w:rStyle w:val="FootnoteReference"/>
          <w:rFonts w:cs="Arial"/>
          <w:szCs w:val="24"/>
        </w:rPr>
        <w:footnoteReference w:id="139"/>
      </w:r>
      <w:r w:rsidR="004A279C" w:rsidRPr="00E40443">
        <w:rPr>
          <w:rFonts w:cs="Arial"/>
          <w:szCs w:val="24"/>
        </w:rPr>
        <w:t xml:space="preserve"> of the executor </w:t>
      </w:r>
      <w:r w:rsidR="003E78EE" w:rsidRPr="00E40443">
        <w:rPr>
          <w:rFonts w:cs="Arial"/>
          <w:szCs w:val="24"/>
        </w:rPr>
        <w:t>to approach a competent court for the relevant order</w:t>
      </w:r>
      <w:r w:rsidR="006912C9" w:rsidRPr="00E40443">
        <w:rPr>
          <w:rFonts w:cs="Arial"/>
          <w:szCs w:val="24"/>
        </w:rPr>
        <w:t>,</w:t>
      </w:r>
      <w:r w:rsidR="004A279C" w:rsidRPr="00E40443">
        <w:rPr>
          <w:rStyle w:val="FootnoteReference"/>
          <w:rFonts w:cs="Arial"/>
          <w:szCs w:val="24"/>
        </w:rPr>
        <w:footnoteReference w:id="140"/>
      </w:r>
      <w:r w:rsidR="006912C9" w:rsidRPr="00E40443">
        <w:rPr>
          <w:rFonts w:cs="Arial"/>
          <w:szCs w:val="24"/>
        </w:rPr>
        <w:t xml:space="preserve"> which proceedings can now be instituted before a criminal charge is laid against a suspected murderer-spouse.</w:t>
      </w:r>
      <w:r w:rsidR="006912C9" w:rsidRPr="00E40443">
        <w:rPr>
          <w:rStyle w:val="FootnoteReference"/>
          <w:rFonts w:cs="Arial"/>
          <w:szCs w:val="24"/>
        </w:rPr>
        <w:footnoteReference w:id="141"/>
      </w:r>
    </w:p>
    <w:p w14:paraId="7FA65F76" w14:textId="17B20B64" w:rsidR="002977D8" w:rsidRPr="00E40443" w:rsidRDefault="00092A3A" w:rsidP="00477BFA">
      <w:pPr>
        <w:pStyle w:val="Heading2"/>
        <w:numPr>
          <w:ilvl w:val="1"/>
          <w:numId w:val="30"/>
        </w:numPr>
        <w:ind w:left="567" w:hanging="567"/>
        <w:rPr>
          <w:rFonts w:cs="Arial"/>
          <w:b w:val="0"/>
          <w:bCs/>
          <w:szCs w:val="24"/>
        </w:rPr>
      </w:pPr>
      <w:bookmarkStart w:id="21" w:name="_Toc191216267"/>
      <w:r w:rsidRPr="00E40443">
        <w:rPr>
          <w:rFonts w:cs="Arial"/>
          <w:bCs/>
          <w:szCs w:val="24"/>
        </w:rPr>
        <w:lastRenderedPageBreak/>
        <w:t>Conclusion</w:t>
      </w:r>
      <w:bookmarkEnd w:id="21"/>
      <w:r w:rsidRPr="00E40443">
        <w:rPr>
          <w:rFonts w:cs="Arial"/>
          <w:bCs/>
          <w:szCs w:val="24"/>
        </w:rPr>
        <w:t xml:space="preserve"> </w:t>
      </w:r>
    </w:p>
    <w:p w14:paraId="71DA69E3" w14:textId="387B8733" w:rsidR="00FF5EAF" w:rsidRPr="00E40443" w:rsidRDefault="007B7F18" w:rsidP="00C5627E">
      <w:pPr>
        <w:rPr>
          <w:rFonts w:cs="Arial"/>
          <w:szCs w:val="24"/>
        </w:rPr>
      </w:pPr>
      <w:r w:rsidRPr="00E40443">
        <w:rPr>
          <w:rFonts w:cs="Arial"/>
          <w:szCs w:val="24"/>
        </w:rPr>
        <w:t>Unworthiness is not a new concept, as is evidence</w:t>
      </w:r>
      <w:r w:rsidR="00F2109E">
        <w:rPr>
          <w:rFonts w:cs="Arial"/>
          <w:szCs w:val="24"/>
        </w:rPr>
        <w:t>d</w:t>
      </w:r>
      <w:r w:rsidRPr="00E40443">
        <w:rPr>
          <w:rFonts w:cs="Arial"/>
          <w:szCs w:val="24"/>
        </w:rPr>
        <w:t xml:space="preserve"> from its Roman-Dutch origins. </w:t>
      </w:r>
      <w:r w:rsidR="00FF5269">
        <w:rPr>
          <w:rFonts w:cs="Arial"/>
          <w:szCs w:val="24"/>
        </w:rPr>
        <w:t>I</w:t>
      </w:r>
      <w:r w:rsidR="001A2219" w:rsidRPr="00E40443">
        <w:rPr>
          <w:rFonts w:cs="Arial"/>
          <w:szCs w:val="24"/>
        </w:rPr>
        <w:t xml:space="preserve">n terms of the </w:t>
      </w:r>
      <w:r w:rsidR="00FF5EAF" w:rsidRPr="00E40443">
        <w:rPr>
          <w:rFonts w:cs="Arial"/>
          <w:szCs w:val="24"/>
        </w:rPr>
        <w:t xml:space="preserve">Roman-Dutch </w:t>
      </w:r>
      <w:r w:rsidR="001A2219" w:rsidRPr="00E40443">
        <w:rPr>
          <w:rFonts w:cs="Arial"/>
          <w:szCs w:val="24"/>
        </w:rPr>
        <w:t xml:space="preserve">common law, </w:t>
      </w:r>
      <w:r w:rsidR="00725983" w:rsidRPr="00E40443">
        <w:rPr>
          <w:rFonts w:cs="Arial"/>
          <w:szCs w:val="24"/>
        </w:rPr>
        <w:t>there appear</w:t>
      </w:r>
      <w:r w:rsidR="00FF5EAF" w:rsidRPr="00E40443">
        <w:rPr>
          <w:rFonts w:cs="Arial"/>
          <w:szCs w:val="24"/>
        </w:rPr>
        <w:t>s</w:t>
      </w:r>
      <w:r w:rsidR="00725983" w:rsidRPr="00E40443">
        <w:rPr>
          <w:rFonts w:cs="Arial"/>
          <w:szCs w:val="24"/>
        </w:rPr>
        <w:t xml:space="preserve"> to be two grounds on which </w:t>
      </w:r>
      <w:r w:rsidR="001A2219" w:rsidRPr="00E40443">
        <w:rPr>
          <w:rFonts w:cs="Arial"/>
          <w:szCs w:val="24"/>
        </w:rPr>
        <w:t xml:space="preserve">a person </w:t>
      </w:r>
      <w:r w:rsidR="00732577" w:rsidRPr="00E40443">
        <w:rPr>
          <w:rFonts w:cs="Arial"/>
          <w:szCs w:val="24"/>
        </w:rPr>
        <w:t>i</w:t>
      </w:r>
      <w:r w:rsidR="001A2219" w:rsidRPr="00E40443">
        <w:rPr>
          <w:rFonts w:cs="Arial"/>
          <w:szCs w:val="24"/>
        </w:rPr>
        <w:t xml:space="preserve">s prohibited from benefitting from his own wrongful or criminal conduct, </w:t>
      </w:r>
      <w:r w:rsidR="00725983" w:rsidRPr="00E40443">
        <w:rPr>
          <w:rFonts w:cs="Arial"/>
          <w:szCs w:val="24"/>
        </w:rPr>
        <w:t>namely the general principle that no person may benefit from his own wrongdoing</w:t>
      </w:r>
      <w:r w:rsidR="00FF5EAF" w:rsidRPr="00E40443">
        <w:rPr>
          <w:rFonts w:cs="Arial"/>
          <w:szCs w:val="24"/>
        </w:rPr>
        <w:t xml:space="preserve"> [</w:t>
      </w:r>
      <w:r w:rsidR="0079362A">
        <w:rPr>
          <w:rFonts w:cs="Arial"/>
          <w:szCs w:val="24"/>
        </w:rPr>
        <w:t>“</w:t>
      </w:r>
      <w:r w:rsidR="00B82351" w:rsidRPr="00E40443">
        <w:rPr>
          <w:rFonts w:cs="Arial"/>
          <w:i/>
          <w:iCs/>
          <w:szCs w:val="24"/>
        </w:rPr>
        <w:t>nemo ex suo delicto meliorem suam conditionem facere potest</w:t>
      </w:r>
      <w:r w:rsidR="0079362A">
        <w:rPr>
          <w:rFonts w:cs="Arial"/>
          <w:szCs w:val="24"/>
        </w:rPr>
        <w:t>”</w:t>
      </w:r>
      <w:r w:rsidR="00FF5EAF" w:rsidRPr="00E40443">
        <w:rPr>
          <w:rFonts w:cs="Arial"/>
          <w:szCs w:val="24"/>
        </w:rPr>
        <w:t>]</w:t>
      </w:r>
      <w:r w:rsidR="00725983" w:rsidRPr="00E40443">
        <w:rPr>
          <w:rFonts w:cs="Arial"/>
          <w:szCs w:val="24"/>
        </w:rPr>
        <w:t>, and the specific ground that someone who has a hand in the death of a deceased is disqualified from inheriting from such deceased</w:t>
      </w:r>
      <w:r w:rsidR="00FF5EAF" w:rsidRPr="00E40443">
        <w:rPr>
          <w:rFonts w:cs="Arial"/>
          <w:szCs w:val="24"/>
        </w:rPr>
        <w:t xml:space="preserve"> [</w:t>
      </w:r>
      <w:r w:rsidR="00FF5EAF" w:rsidRPr="00E40443">
        <w:rPr>
          <w:rFonts w:cs="Arial"/>
          <w:i/>
          <w:iCs/>
          <w:szCs w:val="24"/>
        </w:rPr>
        <w:t>de bloedige hand</w:t>
      </w:r>
      <w:r w:rsidR="00FF5EAF" w:rsidRPr="00E40443">
        <w:rPr>
          <w:rFonts w:cs="Arial"/>
          <w:szCs w:val="24"/>
        </w:rPr>
        <w:t>]</w:t>
      </w:r>
      <w:r w:rsidR="00725983" w:rsidRPr="00E40443">
        <w:rPr>
          <w:rFonts w:cs="Arial"/>
          <w:szCs w:val="24"/>
        </w:rPr>
        <w:t>.</w:t>
      </w:r>
      <w:r w:rsidR="00725983" w:rsidRPr="00E40443">
        <w:rPr>
          <w:rStyle w:val="FootnoteReference"/>
          <w:rFonts w:cs="Arial"/>
          <w:szCs w:val="24"/>
        </w:rPr>
        <w:footnoteReference w:id="142"/>
      </w:r>
      <w:r w:rsidR="001A2219" w:rsidRPr="00E40443">
        <w:rPr>
          <w:rFonts w:cs="Arial"/>
          <w:szCs w:val="24"/>
        </w:rPr>
        <w:t xml:space="preserve"> </w:t>
      </w:r>
      <w:r w:rsidR="00AA2694" w:rsidRPr="00E40443">
        <w:rPr>
          <w:rFonts w:cs="Arial"/>
          <w:szCs w:val="24"/>
        </w:rPr>
        <w:t>In addition to th</w:t>
      </w:r>
      <w:r w:rsidR="00FF5269">
        <w:rPr>
          <w:rFonts w:cs="Arial"/>
          <w:szCs w:val="24"/>
        </w:rPr>
        <w:t>e</w:t>
      </w:r>
      <w:r w:rsidR="00AA2694" w:rsidRPr="00E40443">
        <w:rPr>
          <w:rFonts w:cs="Arial"/>
          <w:szCs w:val="24"/>
        </w:rPr>
        <w:t>s</w:t>
      </w:r>
      <w:r w:rsidR="00FF5269">
        <w:rPr>
          <w:rFonts w:cs="Arial"/>
          <w:szCs w:val="24"/>
        </w:rPr>
        <w:t>e</w:t>
      </w:r>
      <w:r w:rsidR="00AA2694" w:rsidRPr="00E40443">
        <w:rPr>
          <w:rFonts w:cs="Arial"/>
          <w:szCs w:val="24"/>
        </w:rPr>
        <w:t xml:space="preserve"> principles, </w:t>
      </w:r>
      <w:r w:rsidR="00FF5EAF" w:rsidRPr="00E40443">
        <w:rPr>
          <w:rFonts w:cs="Arial"/>
          <w:szCs w:val="24"/>
        </w:rPr>
        <w:t>there were specific listed grounds on which one was considered to be unworthy.</w:t>
      </w:r>
    </w:p>
    <w:p w14:paraId="4F2A252A" w14:textId="3B7B9340" w:rsidR="00323758" w:rsidRPr="00E40443" w:rsidRDefault="00FF5EAF" w:rsidP="00C5627E">
      <w:pPr>
        <w:rPr>
          <w:rFonts w:cs="Arial"/>
          <w:szCs w:val="24"/>
        </w:rPr>
      </w:pPr>
      <w:r w:rsidRPr="00E40443">
        <w:rPr>
          <w:rFonts w:cs="Arial"/>
          <w:szCs w:val="24"/>
        </w:rPr>
        <w:t xml:space="preserve">In accordance with precedent allowing for the extension of </w:t>
      </w:r>
      <w:r w:rsidRPr="00E40443">
        <w:rPr>
          <w:rFonts w:cs="Arial"/>
          <w:i/>
          <w:iCs/>
          <w:szCs w:val="24"/>
        </w:rPr>
        <w:t>de bloedige hand</w:t>
      </w:r>
      <w:r w:rsidRPr="00E40443">
        <w:rPr>
          <w:rFonts w:cs="Arial"/>
          <w:szCs w:val="24"/>
        </w:rPr>
        <w:t xml:space="preserve"> by way of analogy, public policy has recently been recognised as another ground for the determination of unworthiness, as same is in keeping with the </w:t>
      </w:r>
      <w:r w:rsidR="003774AC" w:rsidRPr="00E40443">
        <w:rPr>
          <w:rFonts w:cs="Arial"/>
          <w:szCs w:val="24"/>
        </w:rPr>
        <w:t xml:space="preserve">prevailing </w:t>
      </w:r>
      <w:r w:rsidRPr="00E40443">
        <w:rPr>
          <w:rFonts w:cs="Arial"/>
          <w:i/>
          <w:iCs/>
          <w:szCs w:val="24"/>
        </w:rPr>
        <w:t>boni mores</w:t>
      </w:r>
      <w:r w:rsidRPr="00E40443">
        <w:rPr>
          <w:rFonts w:cs="Arial"/>
          <w:szCs w:val="24"/>
        </w:rPr>
        <w:t>.</w:t>
      </w:r>
    </w:p>
    <w:p w14:paraId="3F1E00E6" w14:textId="7D1542C7" w:rsidR="00F67649" w:rsidRPr="00E40443" w:rsidRDefault="003774AC" w:rsidP="00C5627E">
      <w:pPr>
        <w:rPr>
          <w:rFonts w:cs="Arial"/>
          <w:szCs w:val="24"/>
        </w:rPr>
      </w:pPr>
      <w:r w:rsidRPr="00E40443">
        <w:rPr>
          <w:rFonts w:cs="Arial"/>
          <w:szCs w:val="24"/>
        </w:rPr>
        <w:t xml:space="preserve">This chapter summarised the initial application of </w:t>
      </w:r>
      <w:r w:rsidRPr="00E40443">
        <w:rPr>
          <w:rFonts w:cs="Arial"/>
          <w:i/>
          <w:iCs/>
          <w:szCs w:val="24"/>
        </w:rPr>
        <w:t>de bloedige hand</w:t>
      </w:r>
      <w:r w:rsidRPr="00E40443">
        <w:rPr>
          <w:rFonts w:cs="Arial"/>
          <w:szCs w:val="24"/>
        </w:rPr>
        <w:t xml:space="preserve">, being the law of succession. The following chapter considers various judgements on unworthiness, followed by a summary of the benefits </w:t>
      </w:r>
      <w:r w:rsidR="00D3289E" w:rsidRPr="00E40443">
        <w:rPr>
          <w:rFonts w:cs="Arial"/>
          <w:szCs w:val="24"/>
        </w:rPr>
        <w:t>the wrongdoers were deprived of subsequent to the finding of unworthiness.</w:t>
      </w:r>
    </w:p>
    <w:p w14:paraId="05FA949C" w14:textId="1943E3B0" w:rsidR="002977D8" w:rsidRPr="00A64DB6" w:rsidRDefault="002977D8" w:rsidP="00C5627E">
      <w:pPr>
        <w:rPr>
          <w:rFonts w:cs="Arial"/>
          <w:szCs w:val="24"/>
        </w:rPr>
      </w:pPr>
      <w:r>
        <w:rPr>
          <w:rFonts w:cs="Arial"/>
          <w:b/>
          <w:bCs/>
          <w:sz w:val="28"/>
          <w:szCs w:val="28"/>
        </w:rPr>
        <w:br w:type="page"/>
      </w:r>
    </w:p>
    <w:p w14:paraId="5D2FB77C" w14:textId="20972093" w:rsidR="002977D8" w:rsidRPr="00E40443" w:rsidRDefault="002977D8" w:rsidP="00C5627E">
      <w:pPr>
        <w:pStyle w:val="Heading1"/>
        <w:rPr>
          <w:rFonts w:cs="Arial"/>
          <w:szCs w:val="24"/>
        </w:rPr>
      </w:pPr>
      <w:bookmarkStart w:id="22" w:name="_Toc191216268"/>
      <w:r w:rsidRPr="00E40443">
        <w:rPr>
          <w:rFonts w:cs="Arial"/>
          <w:szCs w:val="24"/>
        </w:rPr>
        <w:lastRenderedPageBreak/>
        <w:t xml:space="preserve">CHAPTER III : OTHER AREAS OF THE LAW WHERE </w:t>
      </w:r>
      <w:r w:rsidRPr="00E40443">
        <w:rPr>
          <w:rFonts w:cs="Arial"/>
          <w:i/>
          <w:iCs/>
          <w:szCs w:val="24"/>
        </w:rPr>
        <w:t>DE BLOEDIGE HAND</w:t>
      </w:r>
      <w:r w:rsidRPr="00E40443">
        <w:rPr>
          <w:rFonts w:cs="Arial"/>
          <w:szCs w:val="24"/>
        </w:rPr>
        <w:t xml:space="preserve"> FINDS APPLICATION AT PRESENT</w:t>
      </w:r>
      <w:bookmarkEnd w:id="22"/>
    </w:p>
    <w:p w14:paraId="79AFC82A" w14:textId="5362B7E5" w:rsidR="002977D8" w:rsidRPr="00E40443" w:rsidRDefault="00092A3A" w:rsidP="00C5627E">
      <w:pPr>
        <w:pStyle w:val="Heading2"/>
        <w:numPr>
          <w:ilvl w:val="1"/>
          <w:numId w:val="20"/>
        </w:numPr>
        <w:ind w:left="567" w:hanging="567"/>
        <w:rPr>
          <w:rFonts w:cs="Arial"/>
          <w:b w:val="0"/>
          <w:bCs/>
          <w:szCs w:val="24"/>
        </w:rPr>
      </w:pPr>
      <w:bookmarkStart w:id="23" w:name="_Toc191216269"/>
      <w:r w:rsidRPr="00E40443">
        <w:rPr>
          <w:rFonts w:cs="Arial"/>
          <w:bCs/>
          <w:szCs w:val="24"/>
        </w:rPr>
        <w:t>Introduction</w:t>
      </w:r>
      <w:bookmarkEnd w:id="23"/>
    </w:p>
    <w:p w14:paraId="279955B2" w14:textId="56057301" w:rsidR="00083C3B" w:rsidRPr="00E40443" w:rsidRDefault="00083C3B" w:rsidP="00C5627E">
      <w:pPr>
        <w:rPr>
          <w:rFonts w:cs="Arial"/>
          <w:szCs w:val="24"/>
        </w:rPr>
      </w:pPr>
      <w:r w:rsidRPr="00E40443">
        <w:rPr>
          <w:rFonts w:cs="Arial"/>
          <w:szCs w:val="24"/>
        </w:rPr>
        <w:t xml:space="preserve">As discussed in Chapter II, a beneficiary who causes or contributes to the death of the deceased, or their </w:t>
      </w:r>
      <w:r w:rsidRPr="00E40443">
        <w:rPr>
          <w:rFonts w:cs="Arial"/>
          <w:i/>
          <w:iCs/>
          <w:szCs w:val="24"/>
        </w:rPr>
        <w:t>conjunctissimi</w:t>
      </w:r>
      <w:r w:rsidRPr="00E40443">
        <w:rPr>
          <w:rFonts w:cs="Arial"/>
          <w:szCs w:val="24"/>
        </w:rPr>
        <w:t>,</w:t>
      </w:r>
      <w:r w:rsidRPr="00E40443" w:rsidDel="00CC5D85">
        <w:rPr>
          <w:rFonts w:cs="Arial"/>
          <w:i/>
          <w:iCs/>
          <w:szCs w:val="24"/>
        </w:rPr>
        <w:t xml:space="preserve"> </w:t>
      </w:r>
      <w:r w:rsidRPr="00E40443">
        <w:rPr>
          <w:rFonts w:cs="Arial"/>
          <w:szCs w:val="24"/>
        </w:rPr>
        <w:t xml:space="preserve">is precluded from inheriting from the deceased, whether testate or intestate. This rule applies if </w:t>
      </w:r>
      <w:r w:rsidR="00723E96" w:rsidRPr="00E40443">
        <w:rPr>
          <w:rFonts w:cs="Arial"/>
          <w:szCs w:val="24"/>
        </w:rPr>
        <w:t xml:space="preserve">the </w:t>
      </w:r>
      <w:r w:rsidRPr="00E40443">
        <w:rPr>
          <w:rFonts w:cs="Arial"/>
          <w:szCs w:val="24"/>
        </w:rPr>
        <w:t>beneficiary merely assisted the murderer</w:t>
      </w:r>
      <w:r w:rsidR="00723E96" w:rsidRPr="00E40443">
        <w:rPr>
          <w:rFonts w:cs="Arial"/>
          <w:szCs w:val="24"/>
        </w:rPr>
        <w:t>,</w:t>
      </w:r>
      <w:r w:rsidRPr="00E40443">
        <w:rPr>
          <w:rStyle w:val="FootnoteReference"/>
          <w:rFonts w:cs="Arial"/>
          <w:szCs w:val="24"/>
        </w:rPr>
        <w:footnoteReference w:id="143"/>
      </w:r>
      <w:r w:rsidRPr="00E40443">
        <w:rPr>
          <w:rFonts w:cs="Arial"/>
          <w:szCs w:val="24"/>
        </w:rPr>
        <w:t xml:space="preserve"> </w:t>
      </w:r>
      <w:r w:rsidR="00723E96" w:rsidRPr="00E40443">
        <w:rPr>
          <w:rFonts w:cs="Arial"/>
          <w:szCs w:val="24"/>
        </w:rPr>
        <w:t xml:space="preserve">or </w:t>
      </w:r>
      <w:r w:rsidR="000E16E3">
        <w:rPr>
          <w:rFonts w:cs="Arial"/>
          <w:szCs w:val="24"/>
        </w:rPr>
        <w:t>merely</w:t>
      </w:r>
      <w:r w:rsidR="00723E96" w:rsidRPr="00E40443">
        <w:rPr>
          <w:rFonts w:cs="Arial"/>
          <w:szCs w:val="24"/>
        </w:rPr>
        <w:t xml:space="preserve"> “had any hand in </w:t>
      </w:r>
      <w:r w:rsidR="00A563E1" w:rsidRPr="00E40443">
        <w:rPr>
          <w:rFonts w:cs="Arial"/>
          <w:szCs w:val="24"/>
        </w:rPr>
        <w:t>the death of the deceased”.</w:t>
      </w:r>
      <w:r w:rsidR="00A563E1" w:rsidRPr="00E40443">
        <w:rPr>
          <w:rStyle w:val="FootnoteReference"/>
          <w:rFonts w:cs="Arial"/>
          <w:szCs w:val="24"/>
        </w:rPr>
        <w:footnoteReference w:id="144"/>
      </w:r>
    </w:p>
    <w:p w14:paraId="5C164809" w14:textId="62F14CFC" w:rsidR="00752996" w:rsidRPr="00E40443" w:rsidRDefault="00AB6E01" w:rsidP="00C5627E">
      <w:pPr>
        <w:rPr>
          <w:rFonts w:cs="Arial"/>
          <w:szCs w:val="24"/>
        </w:rPr>
      </w:pPr>
      <w:r w:rsidRPr="00E40443">
        <w:rPr>
          <w:rFonts w:cs="Arial"/>
          <w:szCs w:val="24"/>
        </w:rPr>
        <w:t xml:space="preserve">The unfortunate truth is that the morals expected of a flourishing society have long been abandoned, which necessitated a new yardstick to determine which actions are punishable. It was thus determined that “[c]ourts have not only the right by also the duty to develop the common-law, considering the interests of justice and at the same time to promote the spirit, purport and objectives of the Bill of Rights. In this regard </w:t>
      </w:r>
      <w:r w:rsidR="00C84801">
        <w:rPr>
          <w:rFonts w:cs="Arial"/>
          <w:szCs w:val="24"/>
        </w:rPr>
        <w:t>C</w:t>
      </w:r>
      <w:r w:rsidRPr="00E40443">
        <w:rPr>
          <w:rFonts w:cs="Arial"/>
          <w:szCs w:val="24"/>
        </w:rPr>
        <w:t xml:space="preserve">ourts have regard to the prevailing </w:t>
      </w:r>
      <w:r w:rsidRPr="00E40443">
        <w:rPr>
          <w:rFonts w:cs="Arial"/>
          <w:i/>
          <w:iCs/>
          <w:szCs w:val="24"/>
        </w:rPr>
        <w:t>mores</w:t>
      </w:r>
      <w:r w:rsidRPr="00E40443">
        <w:rPr>
          <w:rFonts w:cs="Arial"/>
          <w:szCs w:val="24"/>
        </w:rPr>
        <w:t xml:space="preserve"> and public-policy considerations.”</w:t>
      </w:r>
      <w:r w:rsidRPr="00E40443">
        <w:rPr>
          <w:rStyle w:val="FootnoteReference"/>
          <w:rFonts w:cs="Arial"/>
          <w:szCs w:val="24"/>
        </w:rPr>
        <w:footnoteReference w:id="145"/>
      </w:r>
      <w:r w:rsidR="00752996" w:rsidRPr="00E40443">
        <w:rPr>
          <w:rFonts w:cs="Arial"/>
          <w:szCs w:val="24"/>
        </w:rPr>
        <w:t xml:space="preserve"> </w:t>
      </w:r>
      <w:r w:rsidR="00F410E2" w:rsidRPr="00E40443">
        <w:rPr>
          <w:rFonts w:cs="Arial"/>
          <w:szCs w:val="24"/>
        </w:rPr>
        <w:t>This principle serves to supplement the provisions of traditional common law unworthiness.</w:t>
      </w:r>
    </w:p>
    <w:p w14:paraId="4D1AAE9F" w14:textId="4B2744CF" w:rsidR="00752996" w:rsidRPr="00E40443" w:rsidRDefault="00AB6E01" w:rsidP="00C5627E">
      <w:pPr>
        <w:rPr>
          <w:rFonts w:cs="Arial"/>
          <w:szCs w:val="24"/>
        </w:rPr>
      </w:pPr>
      <w:r w:rsidRPr="00E40443">
        <w:rPr>
          <w:rFonts w:cs="Arial"/>
          <w:szCs w:val="24"/>
        </w:rPr>
        <w:t xml:space="preserve">This statement, along with the more flexible determination of unworthiness, paved the proverbial way for expanding </w:t>
      </w:r>
      <w:r w:rsidR="00752996" w:rsidRPr="00E40443">
        <w:rPr>
          <w:rFonts w:cs="Arial"/>
          <w:i/>
          <w:iCs/>
          <w:szCs w:val="24"/>
        </w:rPr>
        <w:t>de bloedige hand neemt geen erffenis</w:t>
      </w:r>
      <w:r w:rsidR="00752996" w:rsidRPr="00E40443">
        <w:rPr>
          <w:rFonts w:cs="Arial"/>
          <w:szCs w:val="24"/>
        </w:rPr>
        <w:t xml:space="preserve"> [hereinafter referred to as </w:t>
      </w:r>
      <w:r w:rsidR="00752996" w:rsidRPr="00E40443">
        <w:rPr>
          <w:rFonts w:cs="Arial"/>
          <w:i/>
          <w:iCs/>
          <w:szCs w:val="24"/>
        </w:rPr>
        <w:t>de</w:t>
      </w:r>
      <w:r w:rsidR="00752996" w:rsidRPr="00E40443">
        <w:rPr>
          <w:rFonts w:cs="Arial"/>
          <w:szCs w:val="24"/>
        </w:rPr>
        <w:t xml:space="preserve"> </w:t>
      </w:r>
      <w:r w:rsidR="00752996" w:rsidRPr="00E40443">
        <w:rPr>
          <w:rFonts w:cs="Arial"/>
          <w:i/>
          <w:iCs/>
          <w:szCs w:val="24"/>
        </w:rPr>
        <w:t>bloedige hand</w:t>
      </w:r>
      <w:r w:rsidR="00752996" w:rsidRPr="00E40443">
        <w:rPr>
          <w:rFonts w:cs="Arial"/>
          <w:szCs w:val="24"/>
        </w:rPr>
        <w:t>] beyond the law of succession</w:t>
      </w:r>
      <w:r w:rsidR="00326AB8" w:rsidRPr="00E40443">
        <w:rPr>
          <w:rFonts w:cs="Arial"/>
          <w:szCs w:val="24"/>
        </w:rPr>
        <w:t>.</w:t>
      </w:r>
      <w:r w:rsidRPr="00E40443">
        <w:rPr>
          <w:rFonts w:cs="Arial"/>
          <w:szCs w:val="24"/>
        </w:rPr>
        <w:t xml:space="preserve"> </w:t>
      </w:r>
      <w:r w:rsidR="00752996" w:rsidRPr="00E40443">
        <w:rPr>
          <w:rFonts w:cs="Arial"/>
          <w:szCs w:val="24"/>
        </w:rPr>
        <w:t xml:space="preserve">The application of </w:t>
      </w:r>
      <w:r w:rsidR="00752996" w:rsidRPr="00E40443">
        <w:rPr>
          <w:rFonts w:cs="Arial"/>
          <w:i/>
          <w:iCs/>
          <w:szCs w:val="24"/>
        </w:rPr>
        <w:t>de bloedige hand</w:t>
      </w:r>
      <w:r w:rsidR="00752996" w:rsidRPr="00E40443">
        <w:rPr>
          <w:rFonts w:cs="Arial"/>
          <w:szCs w:val="24"/>
        </w:rPr>
        <w:t xml:space="preserve"> is</w:t>
      </w:r>
      <w:r w:rsidR="00326AB8" w:rsidRPr="00E40443">
        <w:rPr>
          <w:rFonts w:cs="Arial"/>
          <w:szCs w:val="24"/>
        </w:rPr>
        <w:t>, however,</w:t>
      </w:r>
      <w:r w:rsidR="00752996" w:rsidRPr="00E40443">
        <w:rPr>
          <w:rFonts w:cs="Arial"/>
          <w:szCs w:val="24"/>
        </w:rPr>
        <w:t xml:space="preserve"> limited to benefits which the wrongdoer would acquire as a result of the victim’s death,</w:t>
      </w:r>
      <w:r w:rsidR="00752996" w:rsidRPr="00E40443">
        <w:rPr>
          <w:rStyle w:val="FootnoteReference"/>
          <w:rFonts w:cs="Arial"/>
          <w:szCs w:val="24"/>
        </w:rPr>
        <w:footnoteReference w:id="146"/>
      </w:r>
      <w:r w:rsidR="00752996" w:rsidRPr="00E40443">
        <w:rPr>
          <w:rFonts w:cs="Arial"/>
          <w:szCs w:val="24"/>
        </w:rPr>
        <w:t xml:space="preserve"> which acquisition is dependent on the deceased dying.</w:t>
      </w:r>
      <w:r w:rsidR="00752996" w:rsidRPr="00E40443">
        <w:rPr>
          <w:rStyle w:val="FootnoteReference"/>
          <w:rFonts w:cs="Arial"/>
          <w:szCs w:val="24"/>
        </w:rPr>
        <w:footnoteReference w:id="147"/>
      </w:r>
      <w:r w:rsidR="00752996" w:rsidRPr="00E40443">
        <w:rPr>
          <w:rFonts w:cs="Arial"/>
          <w:szCs w:val="24"/>
        </w:rPr>
        <w:t xml:space="preserve"> </w:t>
      </w:r>
    </w:p>
    <w:p w14:paraId="54978BC3" w14:textId="7341CD17" w:rsidR="00083C3B" w:rsidRPr="00E40443" w:rsidRDefault="00BE32F7" w:rsidP="00C5627E">
      <w:pPr>
        <w:rPr>
          <w:rFonts w:cs="Arial"/>
          <w:szCs w:val="24"/>
        </w:rPr>
      </w:pPr>
      <w:r w:rsidRPr="00E40443">
        <w:rPr>
          <w:rFonts w:cs="Arial"/>
          <w:szCs w:val="24"/>
        </w:rPr>
        <w:t xml:space="preserve">This </w:t>
      </w:r>
      <w:r w:rsidR="00326AB8" w:rsidRPr="00E40443">
        <w:rPr>
          <w:rFonts w:cs="Arial"/>
          <w:szCs w:val="24"/>
        </w:rPr>
        <w:t>development is</w:t>
      </w:r>
      <w:r w:rsidRPr="00E40443">
        <w:rPr>
          <w:rFonts w:cs="Arial"/>
          <w:szCs w:val="24"/>
        </w:rPr>
        <w:t xml:space="preserve"> seen as a step in the right direction for modern South African law, when compared to the rigid approach in terms of common law.</w:t>
      </w:r>
      <w:r w:rsidRPr="00E40443">
        <w:rPr>
          <w:rStyle w:val="FootnoteReference"/>
          <w:rFonts w:cs="Arial"/>
          <w:szCs w:val="24"/>
        </w:rPr>
        <w:footnoteReference w:id="148"/>
      </w:r>
      <w:r w:rsidRPr="00E40443">
        <w:rPr>
          <w:rFonts w:cs="Arial"/>
          <w:szCs w:val="24"/>
        </w:rPr>
        <w:t xml:space="preserve"> The criticism by certain academic writers that applying the principle of public policy rather than considering conduct under general unworthiness, is unnecessary</w:t>
      </w:r>
      <w:r w:rsidR="00A9078E" w:rsidRPr="00E40443">
        <w:rPr>
          <w:rFonts w:cs="Arial"/>
          <w:szCs w:val="24"/>
        </w:rPr>
        <w:t xml:space="preserve"> and creates legal uncertainty</w:t>
      </w:r>
      <w:r w:rsidRPr="00E40443">
        <w:rPr>
          <w:rFonts w:cs="Arial"/>
          <w:szCs w:val="24"/>
        </w:rPr>
        <w:t>,</w:t>
      </w:r>
      <w:r w:rsidR="00083C3B" w:rsidRPr="00E40443">
        <w:rPr>
          <w:rStyle w:val="FootnoteReference"/>
          <w:rFonts w:cs="Arial"/>
          <w:szCs w:val="24"/>
        </w:rPr>
        <w:footnoteReference w:id="149"/>
      </w:r>
      <w:r w:rsidR="00083C3B" w:rsidRPr="00E40443">
        <w:rPr>
          <w:rFonts w:cs="Arial"/>
          <w:szCs w:val="24"/>
        </w:rPr>
        <w:t xml:space="preserve"> </w:t>
      </w:r>
      <w:r w:rsidR="00752996" w:rsidRPr="00E40443">
        <w:rPr>
          <w:rFonts w:cs="Arial"/>
          <w:szCs w:val="24"/>
        </w:rPr>
        <w:t xml:space="preserve">is misplaced and </w:t>
      </w:r>
      <w:r w:rsidRPr="00E40443">
        <w:rPr>
          <w:rFonts w:cs="Arial"/>
          <w:szCs w:val="24"/>
        </w:rPr>
        <w:t xml:space="preserve">attempts to invalidate the progress made by the flexible application </w:t>
      </w:r>
      <w:r w:rsidR="00083C3B" w:rsidRPr="00E40443">
        <w:rPr>
          <w:rFonts w:cs="Arial"/>
          <w:szCs w:val="24"/>
        </w:rPr>
        <w:t>of public policy</w:t>
      </w:r>
      <w:r w:rsidRPr="00E40443">
        <w:rPr>
          <w:rFonts w:cs="Arial"/>
          <w:szCs w:val="24"/>
        </w:rPr>
        <w:t xml:space="preserve"> notions</w:t>
      </w:r>
      <w:r w:rsidR="00083C3B" w:rsidRPr="00E40443">
        <w:rPr>
          <w:rFonts w:cs="Arial"/>
          <w:szCs w:val="24"/>
        </w:rPr>
        <w:t>.</w:t>
      </w:r>
      <w:r w:rsidR="003C2772" w:rsidRPr="00E40443">
        <w:rPr>
          <w:rFonts w:cs="Arial"/>
          <w:szCs w:val="24"/>
        </w:rPr>
        <w:t xml:space="preserve"> So too is the submission that depriving an heir of increasingly more benefits is “oppressive </w:t>
      </w:r>
      <w:r w:rsidR="003C2772" w:rsidRPr="00E40443">
        <w:rPr>
          <w:rFonts w:cs="Arial"/>
          <w:szCs w:val="24"/>
        </w:rPr>
        <w:lastRenderedPageBreak/>
        <w:t>and odious”,</w:t>
      </w:r>
      <w:r w:rsidR="003C2772" w:rsidRPr="00E40443">
        <w:rPr>
          <w:rStyle w:val="FootnoteReference"/>
          <w:rFonts w:cs="Arial"/>
          <w:szCs w:val="24"/>
        </w:rPr>
        <w:footnoteReference w:id="150"/>
      </w:r>
      <w:r w:rsidR="003C2772" w:rsidRPr="00E40443">
        <w:rPr>
          <w:rFonts w:cs="Arial"/>
          <w:szCs w:val="24"/>
        </w:rPr>
        <w:t xml:space="preserve"> especially considering that such deprivation is limited to benefits</w:t>
      </w:r>
      <w:r w:rsidR="00FA2804" w:rsidRPr="00E40443">
        <w:rPr>
          <w:rFonts w:cs="Arial"/>
          <w:szCs w:val="24"/>
        </w:rPr>
        <w:t xml:space="preserve"> </w:t>
      </w:r>
      <w:r w:rsidR="00B42FE6" w:rsidRPr="00E40443">
        <w:rPr>
          <w:rFonts w:cs="Arial"/>
          <w:szCs w:val="24"/>
        </w:rPr>
        <w:t>flowing</w:t>
      </w:r>
      <w:r w:rsidR="00FA2804" w:rsidRPr="00E40443">
        <w:rPr>
          <w:rFonts w:cs="Arial"/>
          <w:szCs w:val="24"/>
        </w:rPr>
        <w:t xml:space="preserve"> from </w:t>
      </w:r>
      <w:r w:rsidR="00F9300A" w:rsidRPr="00E40443">
        <w:rPr>
          <w:rFonts w:cs="Arial"/>
          <w:szCs w:val="24"/>
        </w:rPr>
        <w:t>the</w:t>
      </w:r>
      <w:r w:rsidR="003C2772" w:rsidRPr="00E40443">
        <w:rPr>
          <w:rFonts w:cs="Arial"/>
          <w:szCs w:val="24"/>
        </w:rPr>
        <w:t xml:space="preserve"> </w:t>
      </w:r>
      <w:r w:rsidR="00F9300A" w:rsidRPr="00E40443">
        <w:rPr>
          <w:rFonts w:cs="Arial"/>
          <w:szCs w:val="24"/>
        </w:rPr>
        <w:t xml:space="preserve">deceased’s </w:t>
      </w:r>
      <w:r w:rsidR="003C2772" w:rsidRPr="00E40443">
        <w:rPr>
          <w:rFonts w:cs="Arial"/>
          <w:szCs w:val="24"/>
        </w:rPr>
        <w:t>death</w:t>
      </w:r>
      <w:r w:rsidR="003D3ED6" w:rsidRPr="00E40443">
        <w:rPr>
          <w:rFonts w:cs="Arial"/>
          <w:szCs w:val="24"/>
        </w:rPr>
        <w:t>, albeit indirectly</w:t>
      </w:r>
      <w:r w:rsidR="003C2772" w:rsidRPr="00E40443">
        <w:rPr>
          <w:rFonts w:cs="Arial"/>
          <w:szCs w:val="24"/>
        </w:rPr>
        <w:t>.</w:t>
      </w:r>
      <w:r w:rsidR="00FA2804" w:rsidRPr="00E40443">
        <w:rPr>
          <w:rStyle w:val="FootnoteReference"/>
          <w:rFonts w:cs="Arial"/>
          <w:szCs w:val="24"/>
        </w:rPr>
        <w:footnoteReference w:id="151"/>
      </w:r>
    </w:p>
    <w:p w14:paraId="774D11C6" w14:textId="01020F97" w:rsidR="00574CF1" w:rsidRPr="00E40443" w:rsidRDefault="00574CF1" w:rsidP="00C5627E">
      <w:pPr>
        <w:rPr>
          <w:rFonts w:cs="Arial"/>
          <w:szCs w:val="24"/>
        </w:rPr>
      </w:pPr>
      <w:r w:rsidRPr="00E40443">
        <w:rPr>
          <w:rFonts w:cs="Arial"/>
          <w:szCs w:val="24"/>
        </w:rPr>
        <w:t xml:space="preserve">The below paragraphs will consider the fields of law to which the application of </w:t>
      </w:r>
      <w:r w:rsidRPr="00E40443">
        <w:rPr>
          <w:rFonts w:cs="Arial"/>
          <w:i/>
          <w:iCs/>
          <w:szCs w:val="24"/>
        </w:rPr>
        <w:t>de bloedige hand</w:t>
      </w:r>
      <w:r w:rsidRPr="00E40443">
        <w:rPr>
          <w:rFonts w:cs="Arial"/>
          <w:szCs w:val="24"/>
        </w:rPr>
        <w:t xml:space="preserve"> is extended, by first discussing various </w:t>
      </w:r>
      <w:r w:rsidR="00362CF1">
        <w:rPr>
          <w:rFonts w:cs="Arial"/>
          <w:szCs w:val="24"/>
        </w:rPr>
        <w:t>judg</w:t>
      </w:r>
      <w:r w:rsidR="00763BC3">
        <w:rPr>
          <w:rFonts w:cs="Arial"/>
          <w:szCs w:val="24"/>
        </w:rPr>
        <w:t>e</w:t>
      </w:r>
      <w:r w:rsidR="00362CF1">
        <w:rPr>
          <w:rFonts w:cs="Arial"/>
          <w:szCs w:val="24"/>
        </w:rPr>
        <w:t>ments</w:t>
      </w:r>
      <w:r w:rsidRPr="00E40443">
        <w:rPr>
          <w:rFonts w:cs="Arial"/>
          <w:szCs w:val="24"/>
        </w:rPr>
        <w:t xml:space="preserve"> pertaining to a declaration of unworthiness</w:t>
      </w:r>
      <w:r w:rsidR="00362CF1">
        <w:rPr>
          <w:rFonts w:cs="Arial"/>
          <w:szCs w:val="24"/>
        </w:rPr>
        <w:t>.</w:t>
      </w:r>
      <w:r w:rsidRPr="00E40443">
        <w:rPr>
          <w:rFonts w:cs="Arial"/>
          <w:szCs w:val="24"/>
        </w:rPr>
        <w:t xml:space="preserve"> </w:t>
      </w:r>
      <w:r w:rsidR="00362CF1">
        <w:rPr>
          <w:rFonts w:cs="Arial"/>
          <w:szCs w:val="24"/>
        </w:rPr>
        <w:t>T</w:t>
      </w:r>
      <w:r w:rsidRPr="00E40443">
        <w:rPr>
          <w:rFonts w:cs="Arial"/>
          <w:szCs w:val="24"/>
        </w:rPr>
        <w:t>hen follows a discussion on the benefits affected by the judgements of the cases discussed.</w:t>
      </w:r>
    </w:p>
    <w:p w14:paraId="2292DE4B" w14:textId="77777777" w:rsidR="00051CEE" w:rsidRPr="00E40443" w:rsidRDefault="00051CEE" w:rsidP="00C5627E">
      <w:pPr>
        <w:rPr>
          <w:rFonts w:cs="Arial"/>
          <w:szCs w:val="24"/>
        </w:rPr>
      </w:pPr>
    </w:p>
    <w:p w14:paraId="151D59A1" w14:textId="2320A5FA" w:rsidR="002977D8" w:rsidRPr="00E40443" w:rsidRDefault="00092A3A" w:rsidP="00C5627E">
      <w:pPr>
        <w:pStyle w:val="Heading2"/>
        <w:numPr>
          <w:ilvl w:val="1"/>
          <w:numId w:val="20"/>
        </w:numPr>
        <w:ind w:left="567" w:hanging="567"/>
        <w:rPr>
          <w:rFonts w:cs="Arial"/>
          <w:b w:val="0"/>
          <w:bCs/>
          <w:szCs w:val="24"/>
        </w:rPr>
      </w:pPr>
      <w:bookmarkStart w:id="24" w:name="_Toc191216270"/>
      <w:r w:rsidRPr="00E40443">
        <w:rPr>
          <w:rFonts w:cs="Arial"/>
          <w:bCs/>
          <w:szCs w:val="24"/>
        </w:rPr>
        <w:t xml:space="preserve">Currently recognised extensions of </w:t>
      </w:r>
      <w:r w:rsidRPr="00E40443">
        <w:rPr>
          <w:rFonts w:cs="Arial"/>
          <w:bCs/>
          <w:i/>
          <w:iCs/>
          <w:szCs w:val="24"/>
        </w:rPr>
        <w:t>de bloedige hand</w:t>
      </w:r>
      <w:bookmarkEnd w:id="24"/>
    </w:p>
    <w:p w14:paraId="22042A77" w14:textId="033C9561" w:rsidR="002977D8" w:rsidRPr="00E40443" w:rsidRDefault="0004713E" w:rsidP="00C5627E">
      <w:pPr>
        <w:rPr>
          <w:rFonts w:cs="Arial"/>
          <w:szCs w:val="24"/>
        </w:rPr>
      </w:pPr>
      <w:r w:rsidRPr="00E40443">
        <w:rPr>
          <w:rFonts w:cs="Arial"/>
          <w:szCs w:val="24"/>
        </w:rPr>
        <w:t>As mentioned in paragraph 1.</w:t>
      </w:r>
      <w:r w:rsidR="00E83C82" w:rsidRPr="00E40443">
        <w:rPr>
          <w:rFonts w:cs="Arial"/>
          <w:szCs w:val="24"/>
        </w:rPr>
        <w:t>4</w:t>
      </w:r>
      <w:r w:rsidRPr="00E40443">
        <w:rPr>
          <w:rFonts w:cs="Arial"/>
          <w:szCs w:val="24"/>
        </w:rPr>
        <w:t xml:space="preserve"> above, </w:t>
      </w:r>
      <w:r w:rsidR="009F4A44" w:rsidRPr="00E40443">
        <w:rPr>
          <w:rFonts w:cs="Arial"/>
          <w:i/>
          <w:iCs/>
          <w:szCs w:val="24"/>
        </w:rPr>
        <w:t xml:space="preserve">de </w:t>
      </w:r>
      <w:r w:rsidR="002977D8" w:rsidRPr="00E40443">
        <w:rPr>
          <w:rFonts w:cs="Arial"/>
          <w:i/>
          <w:iCs/>
          <w:szCs w:val="24"/>
        </w:rPr>
        <w:t>bloedige hand</w:t>
      </w:r>
      <w:r w:rsidR="002977D8" w:rsidRPr="00E40443">
        <w:rPr>
          <w:rFonts w:cs="Arial"/>
          <w:szCs w:val="24"/>
        </w:rPr>
        <w:t xml:space="preserve"> </w:t>
      </w:r>
      <w:r w:rsidRPr="00E40443">
        <w:rPr>
          <w:rFonts w:cs="Arial"/>
          <w:szCs w:val="24"/>
        </w:rPr>
        <w:t xml:space="preserve">has </w:t>
      </w:r>
      <w:r w:rsidR="002001A4" w:rsidRPr="00E40443">
        <w:rPr>
          <w:rFonts w:cs="Arial"/>
          <w:szCs w:val="24"/>
        </w:rPr>
        <w:t xml:space="preserve">been extended to apply </w:t>
      </w:r>
      <w:r w:rsidR="002977D8" w:rsidRPr="00E40443">
        <w:rPr>
          <w:rFonts w:cs="Arial"/>
          <w:szCs w:val="24"/>
        </w:rPr>
        <w:t xml:space="preserve">beyond the law of succession, </w:t>
      </w:r>
      <w:r w:rsidR="002001A4" w:rsidRPr="00E40443">
        <w:rPr>
          <w:rFonts w:cs="Arial"/>
          <w:szCs w:val="24"/>
        </w:rPr>
        <w:t xml:space="preserve">and now finds application in the fields of </w:t>
      </w:r>
      <w:r w:rsidR="002977D8" w:rsidRPr="00E40443">
        <w:rPr>
          <w:rFonts w:cs="Arial"/>
          <w:szCs w:val="24"/>
        </w:rPr>
        <w:t xml:space="preserve">benefits </w:t>
      </w:r>
      <w:r w:rsidR="002977D8" w:rsidRPr="00E40443">
        <w:rPr>
          <w:rFonts w:cs="Arial"/>
          <w:i/>
          <w:iCs/>
          <w:szCs w:val="24"/>
        </w:rPr>
        <w:t>mortis causa</w:t>
      </w:r>
      <w:r w:rsidR="002977D8" w:rsidRPr="00E40443">
        <w:rPr>
          <w:rFonts w:cs="Arial"/>
          <w:szCs w:val="24"/>
        </w:rPr>
        <w:t xml:space="preserve">, insurance benefits, </w:t>
      </w:r>
      <w:r w:rsidR="00E83C82" w:rsidRPr="00E40443">
        <w:rPr>
          <w:rFonts w:cs="Arial"/>
          <w:szCs w:val="24"/>
        </w:rPr>
        <w:t xml:space="preserve">legal costs, </w:t>
      </w:r>
      <w:r w:rsidR="002977D8" w:rsidRPr="00E40443">
        <w:rPr>
          <w:rFonts w:cs="Arial"/>
          <w:szCs w:val="24"/>
        </w:rPr>
        <w:t xml:space="preserve">maintenance, </w:t>
      </w:r>
      <w:r w:rsidR="00E83C82" w:rsidRPr="00E40443">
        <w:rPr>
          <w:rFonts w:cs="Arial"/>
          <w:szCs w:val="24"/>
        </w:rPr>
        <w:t xml:space="preserve">matrimonial benefits, </w:t>
      </w:r>
      <w:r w:rsidR="002977D8" w:rsidRPr="00E40443">
        <w:rPr>
          <w:rFonts w:cs="Arial"/>
          <w:szCs w:val="24"/>
        </w:rPr>
        <w:t>and pension benefits</w:t>
      </w:r>
      <w:r w:rsidR="002001A4" w:rsidRPr="00E40443">
        <w:rPr>
          <w:rFonts w:cs="Arial"/>
          <w:szCs w:val="24"/>
        </w:rPr>
        <w:t>.</w:t>
      </w:r>
      <w:r w:rsidR="00D87AF9" w:rsidRPr="00E40443">
        <w:rPr>
          <w:rStyle w:val="FootnoteReference"/>
          <w:rFonts w:cs="Arial"/>
          <w:szCs w:val="24"/>
        </w:rPr>
        <w:footnoteReference w:id="152"/>
      </w:r>
      <w:r w:rsidR="002977D8" w:rsidRPr="00E40443">
        <w:rPr>
          <w:rFonts w:cs="Arial"/>
          <w:szCs w:val="24"/>
        </w:rPr>
        <w:t xml:space="preserve"> </w:t>
      </w:r>
    </w:p>
    <w:p w14:paraId="14DDDAD2" w14:textId="77777777" w:rsidR="002977D8" w:rsidRPr="00E40443" w:rsidRDefault="002977D8" w:rsidP="00C5627E">
      <w:pPr>
        <w:rPr>
          <w:rFonts w:cs="Arial"/>
          <w:szCs w:val="24"/>
        </w:rPr>
      </w:pPr>
    </w:p>
    <w:p w14:paraId="1E2057A0" w14:textId="7A5754A5" w:rsidR="002977D8" w:rsidRPr="00E40443" w:rsidRDefault="00092A3A" w:rsidP="00C5627E">
      <w:pPr>
        <w:pStyle w:val="Heading2"/>
        <w:numPr>
          <w:ilvl w:val="1"/>
          <w:numId w:val="20"/>
        </w:numPr>
        <w:ind w:left="567" w:hanging="567"/>
        <w:rPr>
          <w:rFonts w:cs="Arial"/>
          <w:b w:val="0"/>
          <w:bCs/>
          <w:szCs w:val="24"/>
        </w:rPr>
      </w:pPr>
      <w:bookmarkStart w:id="25" w:name="_Toc191216271"/>
      <w:r w:rsidRPr="00E40443">
        <w:rPr>
          <w:rFonts w:cs="Arial"/>
          <w:bCs/>
          <w:szCs w:val="24"/>
        </w:rPr>
        <w:t xml:space="preserve">Cases in which </w:t>
      </w:r>
      <w:r w:rsidRPr="00E40443">
        <w:rPr>
          <w:rFonts w:cs="Arial"/>
          <w:bCs/>
          <w:i/>
          <w:iCs/>
          <w:szCs w:val="24"/>
        </w:rPr>
        <w:t>de bloedige hand</w:t>
      </w:r>
      <w:r w:rsidRPr="00E40443">
        <w:rPr>
          <w:rFonts w:cs="Arial"/>
          <w:bCs/>
          <w:szCs w:val="24"/>
        </w:rPr>
        <w:t xml:space="preserve"> was </w:t>
      </w:r>
      <w:bookmarkEnd w:id="25"/>
      <w:r w:rsidR="0079362A">
        <w:rPr>
          <w:rFonts w:cs="Arial"/>
          <w:bCs/>
          <w:szCs w:val="24"/>
        </w:rPr>
        <w:t>considered</w:t>
      </w:r>
    </w:p>
    <w:p w14:paraId="5925F4BB" w14:textId="2D2849BA" w:rsidR="002977D8" w:rsidRPr="00E40443" w:rsidRDefault="00D913BB" w:rsidP="00C5627E">
      <w:pPr>
        <w:rPr>
          <w:rFonts w:cs="Arial"/>
          <w:szCs w:val="24"/>
        </w:rPr>
      </w:pPr>
      <w:r w:rsidRPr="00E40443">
        <w:rPr>
          <w:rFonts w:cs="Arial"/>
          <w:szCs w:val="24"/>
        </w:rPr>
        <w:t xml:space="preserve">The following paragraphs each provide a brief summary of a judgement associated with the application of </w:t>
      </w:r>
      <w:r w:rsidRPr="00E40443">
        <w:rPr>
          <w:rFonts w:cs="Arial"/>
          <w:i/>
          <w:iCs/>
          <w:szCs w:val="24"/>
        </w:rPr>
        <w:t>de bloedige hand</w:t>
      </w:r>
      <w:r w:rsidRPr="00E40443">
        <w:rPr>
          <w:rFonts w:cs="Arial"/>
          <w:szCs w:val="24"/>
        </w:rPr>
        <w:t>. Th</w:t>
      </w:r>
      <w:r w:rsidR="00BB74D8">
        <w:rPr>
          <w:rFonts w:cs="Arial"/>
          <w:szCs w:val="24"/>
        </w:rPr>
        <w:t>e</w:t>
      </w:r>
      <w:r w:rsidRPr="00E40443">
        <w:rPr>
          <w:rFonts w:cs="Arial"/>
          <w:szCs w:val="24"/>
        </w:rPr>
        <w:t>s</w:t>
      </w:r>
      <w:r w:rsidR="00BB74D8">
        <w:rPr>
          <w:rFonts w:cs="Arial"/>
          <w:szCs w:val="24"/>
        </w:rPr>
        <w:t>e</w:t>
      </w:r>
      <w:r w:rsidRPr="00E40443">
        <w:rPr>
          <w:rFonts w:cs="Arial"/>
          <w:szCs w:val="24"/>
        </w:rPr>
        <w:t xml:space="preserve"> cases are listed in chronological order. </w:t>
      </w:r>
    </w:p>
    <w:p w14:paraId="33C154D8" w14:textId="6B828A14" w:rsidR="004B2119" w:rsidRPr="00E40443" w:rsidRDefault="004B2119" w:rsidP="00C5627E">
      <w:pPr>
        <w:rPr>
          <w:rFonts w:cs="Arial"/>
          <w:szCs w:val="24"/>
        </w:rPr>
      </w:pPr>
    </w:p>
    <w:p w14:paraId="36E58145" w14:textId="6407BD92" w:rsidR="002977D8" w:rsidRPr="00E40443" w:rsidRDefault="002977D8" w:rsidP="00C5627E">
      <w:pPr>
        <w:pStyle w:val="Heading3"/>
        <w:numPr>
          <w:ilvl w:val="2"/>
          <w:numId w:val="20"/>
        </w:numPr>
        <w:ind w:left="851" w:hanging="851"/>
        <w:rPr>
          <w:rFonts w:cs="Arial"/>
          <w:b/>
          <w:bCs/>
        </w:rPr>
      </w:pPr>
      <w:bookmarkStart w:id="26" w:name="_Toc191216272"/>
      <w:r w:rsidRPr="00E40443">
        <w:rPr>
          <w:rFonts w:cs="Arial"/>
          <w:b/>
          <w:bCs/>
          <w:i/>
          <w:iCs/>
        </w:rPr>
        <w:t>Ex parte Steenkamp &amp; Steenkamp</w:t>
      </w:r>
      <w:r w:rsidRPr="00E40443">
        <w:rPr>
          <w:rFonts w:cs="Arial"/>
          <w:b/>
          <w:bCs/>
        </w:rPr>
        <w:t xml:space="preserve"> 1952 1 SA 744 (T)</w:t>
      </w:r>
      <w:bookmarkEnd w:id="26"/>
      <w:r w:rsidR="005B1330" w:rsidRPr="00E40443">
        <w:rPr>
          <w:rFonts w:cs="Arial"/>
          <w:b/>
          <w:bCs/>
        </w:rPr>
        <w:t xml:space="preserve"> </w:t>
      </w:r>
    </w:p>
    <w:p w14:paraId="1D9CFE66" w14:textId="46E7AE64" w:rsidR="002977D8" w:rsidRPr="00E40443" w:rsidRDefault="002977D8" w:rsidP="00C5627E">
      <w:pPr>
        <w:rPr>
          <w:rFonts w:cs="Arial"/>
          <w:szCs w:val="24"/>
        </w:rPr>
      </w:pPr>
      <w:r w:rsidRPr="00E40443">
        <w:rPr>
          <w:rFonts w:cs="Arial"/>
          <w:szCs w:val="24"/>
        </w:rPr>
        <w:t>Mr Steenkamp was married to Mrs Steenkamp, the daughter of Mr and Mrs Kleinhaus. From the marriage between the Steenkamps, three children were born.</w:t>
      </w:r>
      <w:r w:rsidRPr="00E40443">
        <w:rPr>
          <w:rStyle w:val="FootnoteReference"/>
          <w:rFonts w:cs="Arial"/>
          <w:szCs w:val="24"/>
        </w:rPr>
        <w:footnoteReference w:id="153"/>
      </w:r>
      <w:r w:rsidR="00F67695" w:rsidRPr="00E40443">
        <w:rPr>
          <w:rFonts w:cs="Arial"/>
          <w:szCs w:val="24"/>
        </w:rPr>
        <w:t xml:space="preserve"> </w:t>
      </w:r>
      <w:r w:rsidR="00072BEE" w:rsidRPr="00E40443">
        <w:rPr>
          <w:rFonts w:cs="Arial"/>
          <w:szCs w:val="24"/>
        </w:rPr>
        <w:t>The third and last child, Mara, passed away</w:t>
      </w:r>
      <w:r w:rsidR="00C57971" w:rsidRPr="00E40443">
        <w:rPr>
          <w:rFonts w:cs="Arial"/>
          <w:szCs w:val="24"/>
        </w:rPr>
        <w:t xml:space="preserve"> six months after her birth</w:t>
      </w:r>
      <w:r w:rsidR="00072BEE" w:rsidRPr="00E40443">
        <w:rPr>
          <w:rFonts w:cs="Arial"/>
          <w:szCs w:val="24"/>
        </w:rPr>
        <w:t>.</w:t>
      </w:r>
      <w:r w:rsidR="00072BEE" w:rsidRPr="00E40443">
        <w:rPr>
          <w:rStyle w:val="FootnoteReference"/>
          <w:rFonts w:cs="Arial"/>
          <w:szCs w:val="24"/>
        </w:rPr>
        <w:footnoteReference w:id="154"/>
      </w:r>
    </w:p>
    <w:p w14:paraId="2AD849BA" w14:textId="77777777" w:rsidR="002977D8" w:rsidRPr="00E40443" w:rsidRDefault="002977D8" w:rsidP="00C5627E">
      <w:pPr>
        <w:rPr>
          <w:rFonts w:cs="Arial"/>
          <w:szCs w:val="24"/>
        </w:rPr>
      </w:pPr>
      <w:r w:rsidRPr="00E40443">
        <w:rPr>
          <w:rFonts w:cs="Arial"/>
          <w:szCs w:val="24"/>
        </w:rPr>
        <w:t>On 3 December 1941 Mr Steenkamp killed both Mr and Mrs Kleinhaus, for which murder he was convicted and sentenced to life in prison.</w:t>
      </w:r>
      <w:r w:rsidRPr="00E40443">
        <w:rPr>
          <w:rStyle w:val="FootnoteReference"/>
          <w:rFonts w:cs="Arial"/>
          <w:szCs w:val="24"/>
        </w:rPr>
        <w:footnoteReference w:id="155"/>
      </w:r>
    </w:p>
    <w:p w14:paraId="25D12A1C" w14:textId="77777777" w:rsidR="0015569A" w:rsidRPr="00E40443" w:rsidRDefault="002977D8" w:rsidP="00C5627E">
      <w:pPr>
        <w:rPr>
          <w:rFonts w:cs="Arial"/>
          <w:szCs w:val="24"/>
        </w:rPr>
      </w:pPr>
      <w:r w:rsidRPr="00E40443">
        <w:rPr>
          <w:rFonts w:cs="Arial"/>
          <w:szCs w:val="24"/>
        </w:rPr>
        <w:t>In terms of the</w:t>
      </w:r>
      <w:r w:rsidR="00EC7CA7" w:rsidRPr="00E40443">
        <w:rPr>
          <w:rFonts w:cs="Arial"/>
          <w:szCs w:val="24"/>
        </w:rPr>
        <w:t>ir</w:t>
      </w:r>
      <w:r w:rsidRPr="00E40443">
        <w:rPr>
          <w:rFonts w:cs="Arial"/>
          <w:szCs w:val="24"/>
        </w:rPr>
        <w:t xml:space="preserve"> last will and testament </w:t>
      </w:r>
      <w:r w:rsidR="00EC7CA7" w:rsidRPr="00E40443">
        <w:rPr>
          <w:rFonts w:cs="Arial"/>
          <w:szCs w:val="24"/>
        </w:rPr>
        <w:t>dated 28 January 1938, the Kleinhaus</w:t>
      </w:r>
      <w:r w:rsidR="0015569A" w:rsidRPr="00E40443">
        <w:rPr>
          <w:rFonts w:cs="Arial"/>
          <w:szCs w:val="24"/>
        </w:rPr>
        <w:t xml:space="preserve"> couple</w:t>
      </w:r>
      <w:r w:rsidR="00EC7CA7" w:rsidRPr="00E40443">
        <w:rPr>
          <w:rFonts w:cs="Arial"/>
          <w:szCs w:val="24"/>
        </w:rPr>
        <w:t xml:space="preserve"> bequeathed </w:t>
      </w:r>
      <w:r w:rsidR="00560A0C" w:rsidRPr="00E40443">
        <w:rPr>
          <w:rFonts w:cs="Arial"/>
          <w:szCs w:val="24"/>
        </w:rPr>
        <w:t xml:space="preserve">a farm </w:t>
      </w:r>
      <w:r w:rsidR="00EC7CA7" w:rsidRPr="00E40443">
        <w:rPr>
          <w:rFonts w:cs="Arial"/>
          <w:szCs w:val="24"/>
        </w:rPr>
        <w:t xml:space="preserve">and certain movables to </w:t>
      </w:r>
      <w:r w:rsidRPr="00E40443">
        <w:rPr>
          <w:rFonts w:cs="Arial"/>
          <w:szCs w:val="24"/>
        </w:rPr>
        <w:t xml:space="preserve">the children born </w:t>
      </w:r>
      <w:r w:rsidR="00DC534A" w:rsidRPr="00E40443">
        <w:rPr>
          <w:rFonts w:cs="Arial"/>
          <w:szCs w:val="24"/>
        </w:rPr>
        <w:t xml:space="preserve">or to be born </w:t>
      </w:r>
      <w:r w:rsidRPr="00E40443">
        <w:rPr>
          <w:rFonts w:cs="Arial"/>
          <w:szCs w:val="24"/>
        </w:rPr>
        <w:t xml:space="preserve">from the marriage </w:t>
      </w:r>
      <w:r w:rsidRPr="00E40443">
        <w:rPr>
          <w:rFonts w:cs="Arial"/>
          <w:szCs w:val="24"/>
        </w:rPr>
        <w:lastRenderedPageBreak/>
        <w:t>between the Steenkamps</w:t>
      </w:r>
      <w:r w:rsidR="00EC7CA7" w:rsidRPr="00E40443">
        <w:rPr>
          <w:rFonts w:cs="Arial"/>
          <w:szCs w:val="24"/>
        </w:rPr>
        <w:t xml:space="preserve">, subject to a </w:t>
      </w:r>
      <w:r w:rsidR="00EC7CA7" w:rsidRPr="00E40443">
        <w:rPr>
          <w:rFonts w:cs="Arial"/>
          <w:i/>
          <w:iCs/>
          <w:szCs w:val="24"/>
        </w:rPr>
        <w:t>usufruct</w:t>
      </w:r>
      <w:r w:rsidR="00EC7CA7" w:rsidRPr="00E40443">
        <w:rPr>
          <w:rFonts w:cs="Arial"/>
          <w:szCs w:val="24"/>
        </w:rPr>
        <w:t xml:space="preserve"> in favour of their daughter</w:t>
      </w:r>
      <w:r w:rsidRPr="00E40443">
        <w:rPr>
          <w:rFonts w:cs="Arial"/>
          <w:szCs w:val="24"/>
        </w:rPr>
        <w:t>.</w:t>
      </w:r>
      <w:r w:rsidR="002F355E" w:rsidRPr="00E40443">
        <w:rPr>
          <w:rStyle w:val="FootnoteReference"/>
          <w:rFonts w:cs="Arial"/>
          <w:szCs w:val="24"/>
        </w:rPr>
        <w:footnoteReference w:id="156"/>
      </w:r>
      <w:r w:rsidRPr="00E40443">
        <w:rPr>
          <w:rFonts w:cs="Arial"/>
          <w:szCs w:val="24"/>
        </w:rPr>
        <w:t xml:space="preserve"> In </w:t>
      </w:r>
      <w:r w:rsidR="00072BEE" w:rsidRPr="00E40443">
        <w:rPr>
          <w:rFonts w:cs="Arial"/>
          <w:szCs w:val="24"/>
        </w:rPr>
        <w:t xml:space="preserve">accordance with </w:t>
      </w:r>
      <w:r w:rsidRPr="00E40443">
        <w:rPr>
          <w:rFonts w:cs="Arial"/>
          <w:szCs w:val="24"/>
        </w:rPr>
        <w:t>intestate succession,</w:t>
      </w:r>
      <w:r w:rsidR="00F16EA7" w:rsidRPr="00E40443">
        <w:rPr>
          <w:rStyle w:val="FootnoteReference"/>
          <w:rFonts w:cs="Arial"/>
          <w:szCs w:val="24"/>
        </w:rPr>
        <w:footnoteReference w:id="157"/>
      </w:r>
      <w:r w:rsidRPr="00E40443">
        <w:rPr>
          <w:rFonts w:cs="Arial"/>
          <w:szCs w:val="24"/>
        </w:rPr>
        <w:t xml:space="preserve"> </w:t>
      </w:r>
      <w:r w:rsidR="00072BEE" w:rsidRPr="00E40443">
        <w:rPr>
          <w:rFonts w:cs="Arial"/>
          <w:szCs w:val="24"/>
        </w:rPr>
        <w:t xml:space="preserve">Mara’s </w:t>
      </w:r>
      <w:r w:rsidRPr="00E40443">
        <w:rPr>
          <w:rFonts w:cs="Arial"/>
          <w:szCs w:val="24"/>
        </w:rPr>
        <w:t xml:space="preserve">estate devolved </w:t>
      </w:r>
      <w:r w:rsidR="00072BEE" w:rsidRPr="00E40443">
        <w:rPr>
          <w:rFonts w:cs="Arial"/>
          <w:szCs w:val="24"/>
        </w:rPr>
        <w:t>up</w:t>
      </w:r>
      <w:r w:rsidRPr="00E40443">
        <w:rPr>
          <w:rFonts w:cs="Arial"/>
          <w:szCs w:val="24"/>
        </w:rPr>
        <w:t>on her parents</w:t>
      </w:r>
      <w:r w:rsidR="00F16EA7" w:rsidRPr="00E40443">
        <w:rPr>
          <w:rFonts w:cs="Arial"/>
          <w:szCs w:val="24"/>
        </w:rPr>
        <w:t>.</w:t>
      </w:r>
    </w:p>
    <w:p w14:paraId="469120AA" w14:textId="579C64BA" w:rsidR="002977D8" w:rsidRPr="00E40443" w:rsidRDefault="0079466D" w:rsidP="00C5627E">
      <w:pPr>
        <w:rPr>
          <w:rFonts w:cs="Arial"/>
          <w:szCs w:val="24"/>
        </w:rPr>
      </w:pPr>
      <w:r w:rsidRPr="00E40443">
        <w:rPr>
          <w:rFonts w:cs="Arial"/>
          <w:szCs w:val="24"/>
        </w:rPr>
        <w:t xml:space="preserve">The </w:t>
      </w:r>
      <w:r w:rsidR="00F16EA7" w:rsidRPr="00E40443">
        <w:rPr>
          <w:rFonts w:cs="Arial"/>
          <w:szCs w:val="24"/>
        </w:rPr>
        <w:t>question before the Court was whether Mr Steenkamp, convicted of the murder of Mara’s grandparents, could benefit from the inheritance that Mara received from her grandparents</w:t>
      </w:r>
      <w:r w:rsidRPr="00E40443">
        <w:rPr>
          <w:rFonts w:cs="Arial"/>
          <w:szCs w:val="24"/>
        </w:rPr>
        <w:t>.</w:t>
      </w:r>
      <w:r w:rsidRPr="00E40443">
        <w:rPr>
          <w:rStyle w:val="FootnoteReference"/>
          <w:rFonts w:cs="Arial"/>
          <w:szCs w:val="24"/>
        </w:rPr>
        <w:footnoteReference w:id="158"/>
      </w:r>
    </w:p>
    <w:p w14:paraId="2FFD78E3" w14:textId="5859A77C" w:rsidR="004E5DD0" w:rsidRPr="00E40443" w:rsidRDefault="004E5DD0" w:rsidP="00C5627E">
      <w:pPr>
        <w:rPr>
          <w:rFonts w:cs="Arial"/>
          <w:szCs w:val="24"/>
        </w:rPr>
      </w:pPr>
      <w:r w:rsidRPr="00E40443">
        <w:rPr>
          <w:rFonts w:cs="Arial"/>
          <w:szCs w:val="24"/>
        </w:rPr>
        <w:t xml:space="preserve">In terms of Roman law, a wrongdoer would not necessarily </w:t>
      </w:r>
      <w:r w:rsidR="00854C8E" w:rsidRPr="00E40443">
        <w:rPr>
          <w:rFonts w:cs="Arial"/>
          <w:szCs w:val="24"/>
        </w:rPr>
        <w:t xml:space="preserve">forfeit </w:t>
      </w:r>
      <w:r w:rsidRPr="00E40443">
        <w:rPr>
          <w:rFonts w:cs="Arial"/>
          <w:szCs w:val="24"/>
        </w:rPr>
        <w:t>their inheritance in the presence of a</w:t>
      </w:r>
      <w:r w:rsidR="00854C8E" w:rsidRPr="00E40443">
        <w:rPr>
          <w:rFonts w:cs="Arial"/>
          <w:szCs w:val="24"/>
        </w:rPr>
        <w:t xml:space="preserve">n </w:t>
      </w:r>
      <w:r w:rsidR="00854C8E" w:rsidRPr="00E40443">
        <w:rPr>
          <w:rFonts w:cs="Arial"/>
          <w:i/>
          <w:iCs/>
          <w:szCs w:val="24"/>
        </w:rPr>
        <w:t>interpositas personas</w:t>
      </w:r>
      <w:r w:rsidRPr="00E40443">
        <w:rPr>
          <w:rFonts w:cs="Arial"/>
          <w:szCs w:val="24"/>
        </w:rPr>
        <w:t xml:space="preserve"> heir</w:t>
      </w:r>
      <w:r w:rsidRPr="00E40443">
        <w:rPr>
          <w:rStyle w:val="FootnoteReference"/>
          <w:rFonts w:cs="Arial"/>
          <w:szCs w:val="24"/>
        </w:rPr>
        <w:footnoteReference w:id="159"/>
      </w:r>
      <w:r w:rsidR="00DE206A" w:rsidRPr="00E40443">
        <w:rPr>
          <w:rFonts w:cs="Arial"/>
          <w:szCs w:val="24"/>
        </w:rPr>
        <w:t xml:space="preserve"> </w:t>
      </w:r>
      <w:r w:rsidR="00CB75C6" w:rsidRPr="00E40443">
        <w:rPr>
          <w:rFonts w:cs="Arial"/>
          <w:szCs w:val="24"/>
        </w:rPr>
        <w:t xml:space="preserve">in that </w:t>
      </w:r>
      <w:r w:rsidR="00DE206A" w:rsidRPr="00E40443">
        <w:rPr>
          <w:rFonts w:cs="Arial"/>
          <w:szCs w:val="24"/>
        </w:rPr>
        <w:t>the wrongdoer does not directly succeed the deceased.</w:t>
      </w:r>
      <w:r w:rsidR="00DE206A" w:rsidRPr="00E40443">
        <w:rPr>
          <w:rStyle w:val="FootnoteReference"/>
          <w:rFonts w:cs="Arial"/>
          <w:szCs w:val="24"/>
        </w:rPr>
        <w:footnoteReference w:id="160"/>
      </w:r>
      <w:r w:rsidR="00CB75C6" w:rsidRPr="00E40443">
        <w:rPr>
          <w:rFonts w:cs="Arial"/>
          <w:szCs w:val="24"/>
        </w:rPr>
        <w:t xml:space="preserve"> The reservation to allow inheritance is dependent upon the unworthiness against the </w:t>
      </w:r>
      <w:r w:rsidR="00CB75C6" w:rsidRPr="00E40443">
        <w:rPr>
          <w:rFonts w:cs="Arial"/>
          <w:i/>
          <w:iCs/>
          <w:szCs w:val="24"/>
        </w:rPr>
        <w:t>de caius</w:t>
      </w:r>
      <w:r w:rsidR="00CB75C6" w:rsidRPr="00E40443">
        <w:rPr>
          <w:rFonts w:cs="Arial"/>
          <w:szCs w:val="24"/>
        </w:rPr>
        <w:t xml:space="preserve"> himself, and not upon the predecessor of such person</w:t>
      </w:r>
      <w:r w:rsidR="00CB75C6" w:rsidRPr="00E40443">
        <w:rPr>
          <w:rStyle w:val="FootnoteReference"/>
          <w:rFonts w:cs="Arial"/>
          <w:szCs w:val="24"/>
        </w:rPr>
        <w:footnoteReference w:id="161"/>
      </w:r>
      <w:r w:rsidR="00087AA8" w:rsidRPr="00E40443">
        <w:rPr>
          <w:rFonts w:cs="Arial"/>
          <w:szCs w:val="24"/>
        </w:rPr>
        <w:t xml:space="preserve"> – the unworthy person must kill the direct </w:t>
      </w:r>
      <w:r w:rsidR="00087AA8" w:rsidRPr="00E40443">
        <w:rPr>
          <w:rFonts w:cs="Arial"/>
          <w:i/>
          <w:iCs/>
          <w:szCs w:val="24"/>
        </w:rPr>
        <w:t>de caius</w:t>
      </w:r>
      <w:r w:rsidR="00087AA8" w:rsidRPr="00E40443">
        <w:rPr>
          <w:rFonts w:cs="Arial"/>
          <w:szCs w:val="24"/>
        </w:rPr>
        <w:t>, not a third person from whom he or she inherits.</w:t>
      </w:r>
    </w:p>
    <w:p w14:paraId="1B97EB1B" w14:textId="1813A983" w:rsidR="00087AA8" w:rsidRPr="00E40443" w:rsidRDefault="00774E14" w:rsidP="00C5627E">
      <w:pPr>
        <w:rPr>
          <w:rFonts w:cs="Arial"/>
          <w:szCs w:val="24"/>
        </w:rPr>
      </w:pPr>
      <w:r w:rsidRPr="00E40443">
        <w:rPr>
          <w:rFonts w:cs="Arial"/>
          <w:szCs w:val="24"/>
        </w:rPr>
        <w:t>In light of the aforementioned, t</w:t>
      </w:r>
      <w:r w:rsidR="002977D8" w:rsidRPr="00E40443">
        <w:rPr>
          <w:rFonts w:cs="Arial"/>
          <w:szCs w:val="24"/>
        </w:rPr>
        <w:t xml:space="preserve">he </w:t>
      </w:r>
      <w:r w:rsidRPr="00E40443">
        <w:rPr>
          <w:rFonts w:cs="Arial"/>
          <w:szCs w:val="24"/>
        </w:rPr>
        <w:t>C</w:t>
      </w:r>
      <w:r w:rsidR="002977D8" w:rsidRPr="00E40443">
        <w:rPr>
          <w:rFonts w:cs="Arial"/>
          <w:szCs w:val="24"/>
        </w:rPr>
        <w:t xml:space="preserve">ourt found </w:t>
      </w:r>
      <w:r w:rsidR="0079061A" w:rsidRPr="00E40443">
        <w:rPr>
          <w:rFonts w:cs="Arial"/>
          <w:szCs w:val="24"/>
        </w:rPr>
        <w:t xml:space="preserve">that </w:t>
      </w:r>
      <w:r w:rsidR="00087AA8" w:rsidRPr="00E40443">
        <w:rPr>
          <w:rFonts w:cs="Arial"/>
          <w:szCs w:val="24"/>
        </w:rPr>
        <w:t xml:space="preserve">Mr Steenkamp </w:t>
      </w:r>
      <w:r w:rsidR="0079061A" w:rsidRPr="00E40443">
        <w:rPr>
          <w:rFonts w:cs="Arial"/>
          <w:szCs w:val="24"/>
        </w:rPr>
        <w:t xml:space="preserve">was not prohibited from </w:t>
      </w:r>
      <w:r w:rsidR="00087AA8" w:rsidRPr="00E40443">
        <w:rPr>
          <w:rFonts w:cs="Arial"/>
          <w:szCs w:val="24"/>
        </w:rPr>
        <w:t>inheriting from Mara</w:t>
      </w:r>
      <w:r w:rsidR="00317F10" w:rsidRPr="00E40443">
        <w:rPr>
          <w:rFonts w:cs="Arial"/>
          <w:szCs w:val="24"/>
        </w:rPr>
        <w:t>.</w:t>
      </w:r>
      <w:r w:rsidR="00087AA8" w:rsidRPr="00E40443">
        <w:rPr>
          <w:rStyle w:val="FootnoteReference"/>
          <w:rFonts w:cs="Arial"/>
          <w:szCs w:val="24"/>
        </w:rPr>
        <w:footnoteReference w:id="162"/>
      </w:r>
      <w:r w:rsidR="00087AA8" w:rsidRPr="00E40443">
        <w:rPr>
          <w:rFonts w:cs="Arial"/>
          <w:szCs w:val="24"/>
        </w:rPr>
        <w:t xml:space="preserve"> </w:t>
      </w:r>
      <w:r w:rsidR="00317F10" w:rsidRPr="00E40443">
        <w:rPr>
          <w:rFonts w:cs="Arial"/>
          <w:szCs w:val="24"/>
        </w:rPr>
        <w:t xml:space="preserve">The first reason was that Mara and her grandparents did not qualify as </w:t>
      </w:r>
      <w:r w:rsidR="00317F10" w:rsidRPr="00E40443">
        <w:rPr>
          <w:rFonts w:cs="Arial"/>
          <w:i/>
          <w:iCs/>
          <w:szCs w:val="24"/>
        </w:rPr>
        <w:t>conjunctissimi</w:t>
      </w:r>
      <w:r w:rsidR="00317F10" w:rsidRPr="00E40443">
        <w:rPr>
          <w:rFonts w:cs="Arial"/>
          <w:szCs w:val="24"/>
        </w:rPr>
        <w:t>.</w:t>
      </w:r>
      <w:r w:rsidR="00317F10" w:rsidRPr="00E40443">
        <w:rPr>
          <w:rStyle w:val="FootnoteReference"/>
          <w:rFonts w:cs="Arial"/>
          <w:szCs w:val="24"/>
        </w:rPr>
        <w:footnoteReference w:id="163"/>
      </w:r>
      <w:r w:rsidR="00DF0893" w:rsidRPr="00E40443">
        <w:rPr>
          <w:rFonts w:cs="Arial"/>
          <w:szCs w:val="24"/>
        </w:rPr>
        <w:t xml:space="preserve"> The second reason was that the benefit did not accrue from his wrongful conduct, but rather as a result of Mara’s death.</w:t>
      </w:r>
      <w:r w:rsidR="0079061A" w:rsidRPr="00E40443">
        <w:rPr>
          <w:rStyle w:val="FootnoteReference"/>
          <w:rFonts w:cs="Arial"/>
          <w:szCs w:val="24"/>
        </w:rPr>
        <w:footnoteReference w:id="164"/>
      </w:r>
      <w:r w:rsidR="00087AA8" w:rsidRPr="00E40443">
        <w:rPr>
          <w:rFonts w:cs="Arial"/>
          <w:szCs w:val="24"/>
        </w:rPr>
        <w:t xml:space="preserve"> </w:t>
      </w:r>
    </w:p>
    <w:p w14:paraId="6D9FBFE5" w14:textId="77777777" w:rsidR="00300258" w:rsidRPr="00E40443" w:rsidRDefault="00300258" w:rsidP="00C5627E">
      <w:pPr>
        <w:rPr>
          <w:rFonts w:cs="Arial"/>
          <w:szCs w:val="24"/>
        </w:rPr>
      </w:pPr>
    </w:p>
    <w:p w14:paraId="3F3683EE" w14:textId="180075B7" w:rsidR="002977D8" w:rsidRPr="00E40443" w:rsidRDefault="002977D8" w:rsidP="00C5627E">
      <w:pPr>
        <w:pStyle w:val="Heading3"/>
        <w:numPr>
          <w:ilvl w:val="2"/>
          <w:numId w:val="20"/>
        </w:numPr>
        <w:ind w:left="851" w:hanging="851"/>
        <w:rPr>
          <w:rFonts w:cs="Arial"/>
          <w:b/>
          <w:bCs/>
        </w:rPr>
      </w:pPr>
      <w:bookmarkStart w:id="27" w:name="_Toc191216273"/>
      <w:r w:rsidRPr="00E40443">
        <w:rPr>
          <w:rFonts w:cs="Arial"/>
          <w:b/>
          <w:bCs/>
          <w:i/>
          <w:iCs/>
        </w:rPr>
        <w:t>Caldwell v Erasmus NO &amp; Another</w:t>
      </w:r>
      <w:r w:rsidRPr="00E40443">
        <w:rPr>
          <w:rFonts w:cs="Arial"/>
          <w:b/>
          <w:bCs/>
        </w:rPr>
        <w:t xml:space="preserve"> 1952 4 All SA 161 (T)</w:t>
      </w:r>
      <w:bookmarkEnd w:id="27"/>
      <w:r w:rsidR="00EE0027" w:rsidRPr="00E40443">
        <w:rPr>
          <w:rFonts w:cs="Arial"/>
          <w:b/>
          <w:bCs/>
        </w:rPr>
        <w:t xml:space="preserve"> </w:t>
      </w:r>
    </w:p>
    <w:p w14:paraId="29701682" w14:textId="2BF2CA31" w:rsidR="002977D8" w:rsidRPr="00E40443" w:rsidRDefault="0037056C" w:rsidP="00C5627E">
      <w:pPr>
        <w:rPr>
          <w:rFonts w:cs="Arial"/>
          <w:szCs w:val="24"/>
        </w:rPr>
      </w:pPr>
      <w:r w:rsidRPr="00E40443">
        <w:rPr>
          <w:rFonts w:cs="Arial"/>
          <w:szCs w:val="24"/>
        </w:rPr>
        <w:t xml:space="preserve">The minor, </w:t>
      </w:r>
      <w:r w:rsidR="002977D8" w:rsidRPr="00E40443">
        <w:rPr>
          <w:rFonts w:cs="Arial"/>
          <w:szCs w:val="24"/>
        </w:rPr>
        <w:t xml:space="preserve">Brian </w:t>
      </w:r>
      <w:r w:rsidR="00350A1C" w:rsidRPr="00E40443">
        <w:rPr>
          <w:rFonts w:cs="Arial"/>
          <w:szCs w:val="24"/>
        </w:rPr>
        <w:t>Clinton Alec Caldwell</w:t>
      </w:r>
      <w:r w:rsidR="00BB74D8">
        <w:rPr>
          <w:rFonts w:cs="Arial"/>
          <w:szCs w:val="24"/>
        </w:rPr>
        <w:t>,</w:t>
      </w:r>
      <w:r w:rsidR="00723E96" w:rsidRPr="00E40443">
        <w:rPr>
          <w:rFonts w:cs="Arial"/>
          <w:szCs w:val="24"/>
        </w:rPr>
        <w:t xml:space="preserve"> </w:t>
      </w:r>
      <w:r w:rsidR="002977D8" w:rsidRPr="00E40443">
        <w:rPr>
          <w:rFonts w:cs="Arial"/>
          <w:szCs w:val="24"/>
        </w:rPr>
        <w:t>died intestate</w:t>
      </w:r>
      <w:r w:rsidR="00EA7788" w:rsidRPr="00E40443">
        <w:rPr>
          <w:rFonts w:cs="Arial"/>
          <w:szCs w:val="24"/>
        </w:rPr>
        <w:t xml:space="preserve"> on the 5</w:t>
      </w:r>
      <w:r w:rsidR="00EA7788" w:rsidRPr="00E40443">
        <w:rPr>
          <w:rFonts w:cs="Arial"/>
          <w:szCs w:val="24"/>
          <w:vertAlign w:val="superscript"/>
        </w:rPr>
        <w:t>th</w:t>
      </w:r>
      <w:r w:rsidR="00EA7788" w:rsidRPr="00E40443">
        <w:rPr>
          <w:rFonts w:cs="Arial"/>
          <w:szCs w:val="24"/>
        </w:rPr>
        <w:t xml:space="preserve"> of April 1952</w:t>
      </w:r>
      <w:r w:rsidR="00215915" w:rsidRPr="00E40443">
        <w:rPr>
          <w:rFonts w:cs="Arial"/>
          <w:szCs w:val="24"/>
        </w:rPr>
        <w:t>.</w:t>
      </w:r>
      <w:r w:rsidR="00350A1C" w:rsidRPr="00E40443">
        <w:rPr>
          <w:rFonts w:cs="Arial"/>
          <w:szCs w:val="24"/>
        </w:rPr>
        <w:t xml:space="preserve"> </w:t>
      </w:r>
      <w:r w:rsidR="00215915" w:rsidRPr="00E40443">
        <w:rPr>
          <w:rFonts w:cs="Arial"/>
          <w:szCs w:val="24"/>
        </w:rPr>
        <w:t xml:space="preserve">In terms of intestate succession, </w:t>
      </w:r>
      <w:r w:rsidR="00350A1C" w:rsidRPr="00E40443">
        <w:rPr>
          <w:rFonts w:cs="Arial"/>
          <w:szCs w:val="24"/>
        </w:rPr>
        <w:t xml:space="preserve">the </w:t>
      </w:r>
      <w:r w:rsidR="00723E96" w:rsidRPr="00E40443">
        <w:rPr>
          <w:rFonts w:cs="Arial"/>
          <w:szCs w:val="24"/>
        </w:rPr>
        <w:t xml:space="preserve">total of the </w:t>
      </w:r>
      <w:r w:rsidR="00EA7788" w:rsidRPr="00E40443">
        <w:rPr>
          <w:rFonts w:cs="Arial"/>
          <w:szCs w:val="24"/>
        </w:rPr>
        <w:t xml:space="preserve">inherited funds </w:t>
      </w:r>
      <w:r w:rsidR="00350A1C" w:rsidRPr="00E40443">
        <w:rPr>
          <w:rFonts w:cs="Arial"/>
          <w:szCs w:val="24"/>
        </w:rPr>
        <w:t>to the value of £ 601 16s. 6d. held by the Guardian’s Fund</w:t>
      </w:r>
      <w:r w:rsidR="00723E96" w:rsidRPr="00E40443">
        <w:rPr>
          <w:rFonts w:cs="Arial"/>
          <w:szCs w:val="24"/>
        </w:rPr>
        <w:t>,</w:t>
      </w:r>
      <w:r w:rsidR="00350A1C" w:rsidRPr="00E40443">
        <w:rPr>
          <w:rFonts w:cs="Arial"/>
          <w:szCs w:val="24"/>
        </w:rPr>
        <w:t xml:space="preserve"> </w:t>
      </w:r>
      <w:r w:rsidR="00215915" w:rsidRPr="00E40443">
        <w:rPr>
          <w:rFonts w:cs="Arial"/>
          <w:szCs w:val="24"/>
        </w:rPr>
        <w:t xml:space="preserve">would </w:t>
      </w:r>
      <w:r w:rsidR="00350A1C" w:rsidRPr="00E40443">
        <w:rPr>
          <w:rFonts w:cs="Arial"/>
          <w:szCs w:val="24"/>
        </w:rPr>
        <w:t>have passed to Mr Caldwell Snr</w:t>
      </w:r>
      <w:r w:rsidRPr="00E40443">
        <w:rPr>
          <w:rFonts w:cs="Arial"/>
          <w:szCs w:val="24"/>
        </w:rPr>
        <w:t xml:space="preserve"> as Brian’s sole intestate heir</w:t>
      </w:r>
      <w:r w:rsidR="00350A1C" w:rsidRPr="00E40443">
        <w:rPr>
          <w:rFonts w:cs="Arial"/>
          <w:szCs w:val="24"/>
        </w:rPr>
        <w:t>.</w:t>
      </w:r>
      <w:r w:rsidR="00006C7E" w:rsidRPr="00E40443">
        <w:rPr>
          <w:rStyle w:val="FootnoteReference"/>
          <w:rFonts w:cs="Arial"/>
          <w:szCs w:val="24"/>
        </w:rPr>
        <w:footnoteReference w:id="165"/>
      </w:r>
      <w:r w:rsidR="00350A1C" w:rsidRPr="00E40443">
        <w:rPr>
          <w:rFonts w:cs="Arial"/>
          <w:szCs w:val="24"/>
        </w:rPr>
        <w:t xml:space="preserve"> Mr Caldwell Snr</w:t>
      </w:r>
      <w:r w:rsidR="00987F8D" w:rsidRPr="00E40443">
        <w:rPr>
          <w:rFonts w:cs="Arial"/>
          <w:szCs w:val="24"/>
        </w:rPr>
        <w:t xml:space="preserve"> </w:t>
      </w:r>
      <w:r w:rsidR="00350A1C" w:rsidRPr="00E40443">
        <w:rPr>
          <w:rFonts w:cs="Arial"/>
          <w:szCs w:val="24"/>
        </w:rPr>
        <w:t>was indicted</w:t>
      </w:r>
      <w:r w:rsidR="00987F8D" w:rsidRPr="00E40443">
        <w:rPr>
          <w:rFonts w:cs="Arial"/>
          <w:szCs w:val="24"/>
        </w:rPr>
        <w:t>,</w:t>
      </w:r>
      <w:r w:rsidR="00350A1C" w:rsidRPr="00E40443">
        <w:rPr>
          <w:rFonts w:cs="Arial"/>
          <w:szCs w:val="24"/>
        </w:rPr>
        <w:t xml:space="preserve"> </w:t>
      </w:r>
      <w:r w:rsidR="00987F8D" w:rsidRPr="00E40443">
        <w:rPr>
          <w:rFonts w:cs="Arial"/>
          <w:szCs w:val="24"/>
        </w:rPr>
        <w:t xml:space="preserve">on </w:t>
      </w:r>
      <w:r w:rsidR="00987F8D" w:rsidRPr="00E40443">
        <w:rPr>
          <w:rFonts w:cs="Arial"/>
          <w:i/>
          <w:iCs/>
          <w:szCs w:val="24"/>
        </w:rPr>
        <w:t>prima facie</w:t>
      </w:r>
      <w:r w:rsidR="00987F8D" w:rsidRPr="00E40443">
        <w:rPr>
          <w:rFonts w:cs="Arial"/>
          <w:szCs w:val="24"/>
        </w:rPr>
        <w:t xml:space="preserve"> evidence, for </w:t>
      </w:r>
      <w:r w:rsidR="00006C7E" w:rsidRPr="00E40443">
        <w:rPr>
          <w:rFonts w:cs="Arial"/>
          <w:szCs w:val="24"/>
        </w:rPr>
        <w:t xml:space="preserve">murdering </w:t>
      </w:r>
      <w:r w:rsidR="00350A1C" w:rsidRPr="00E40443">
        <w:rPr>
          <w:rFonts w:cs="Arial"/>
          <w:szCs w:val="24"/>
        </w:rPr>
        <w:t>Brian</w:t>
      </w:r>
      <w:r w:rsidR="00006C7E" w:rsidRPr="00E40443">
        <w:rPr>
          <w:rFonts w:cs="Arial"/>
          <w:szCs w:val="24"/>
        </w:rPr>
        <w:t xml:space="preserve"> by stabbing him, which wound involved the heart and left lung</w:t>
      </w:r>
      <w:r w:rsidR="00350A1C" w:rsidRPr="00E40443">
        <w:rPr>
          <w:rFonts w:cs="Arial"/>
          <w:szCs w:val="24"/>
        </w:rPr>
        <w:t>.</w:t>
      </w:r>
      <w:r w:rsidR="00006C7E" w:rsidRPr="00E40443">
        <w:rPr>
          <w:rStyle w:val="FootnoteReference"/>
          <w:rFonts w:cs="Arial"/>
          <w:szCs w:val="24"/>
        </w:rPr>
        <w:footnoteReference w:id="166"/>
      </w:r>
    </w:p>
    <w:p w14:paraId="4C1C32EC" w14:textId="63B20A00" w:rsidR="002977D8" w:rsidRPr="00E40443" w:rsidRDefault="002977D8" w:rsidP="00C5627E">
      <w:pPr>
        <w:rPr>
          <w:rFonts w:cs="Arial"/>
          <w:szCs w:val="24"/>
        </w:rPr>
      </w:pPr>
      <w:r w:rsidRPr="00E40443">
        <w:rPr>
          <w:rFonts w:cs="Arial"/>
          <w:szCs w:val="24"/>
        </w:rPr>
        <w:t xml:space="preserve">Mr Caldwell </w:t>
      </w:r>
      <w:r w:rsidR="00350A1C" w:rsidRPr="00E40443">
        <w:rPr>
          <w:rFonts w:cs="Arial"/>
          <w:szCs w:val="24"/>
        </w:rPr>
        <w:t xml:space="preserve">Snr </w:t>
      </w:r>
      <w:r w:rsidR="00F66BC1" w:rsidRPr="00E40443">
        <w:rPr>
          <w:rFonts w:cs="Arial"/>
          <w:szCs w:val="24"/>
        </w:rPr>
        <w:t xml:space="preserve">who </w:t>
      </w:r>
      <w:r w:rsidR="00BD7800" w:rsidRPr="00E40443">
        <w:rPr>
          <w:rFonts w:cs="Arial"/>
          <w:szCs w:val="24"/>
        </w:rPr>
        <w:t>claimed to be completely indigent</w:t>
      </w:r>
      <w:r w:rsidR="00F66BC1" w:rsidRPr="00E40443">
        <w:rPr>
          <w:rFonts w:cs="Arial"/>
          <w:szCs w:val="24"/>
        </w:rPr>
        <w:t xml:space="preserve"> and suffering from health issues,</w:t>
      </w:r>
      <w:r w:rsidR="00BD7800" w:rsidRPr="00E40443">
        <w:rPr>
          <w:rFonts w:cs="Arial"/>
          <w:szCs w:val="24"/>
        </w:rPr>
        <w:t xml:space="preserve"> </w:t>
      </w:r>
      <w:r w:rsidRPr="00E40443">
        <w:rPr>
          <w:rFonts w:cs="Arial"/>
          <w:szCs w:val="24"/>
        </w:rPr>
        <w:t xml:space="preserve">applied to the </w:t>
      </w:r>
      <w:r w:rsidR="00F66BC1" w:rsidRPr="00E40443">
        <w:rPr>
          <w:rFonts w:cs="Arial"/>
          <w:szCs w:val="24"/>
        </w:rPr>
        <w:t>C</w:t>
      </w:r>
      <w:r w:rsidRPr="00E40443">
        <w:rPr>
          <w:rFonts w:cs="Arial"/>
          <w:szCs w:val="24"/>
        </w:rPr>
        <w:t xml:space="preserve">ourt for an order </w:t>
      </w:r>
      <w:r w:rsidR="00F66BC1" w:rsidRPr="00E40443">
        <w:rPr>
          <w:rFonts w:cs="Arial"/>
          <w:szCs w:val="24"/>
        </w:rPr>
        <w:t xml:space="preserve">that funds be provided </w:t>
      </w:r>
      <w:r w:rsidRPr="00E40443">
        <w:rPr>
          <w:rFonts w:cs="Arial"/>
          <w:szCs w:val="24"/>
        </w:rPr>
        <w:t xml:space="preserve">in respect of </w:t>
      </w:r>
      <w:r w:rsidR="00F66BC1" w:rsidRPr="00E40443">
        <w:rPr>
          <w:rFonts w:cs="Arial"/>
          <w:szCs w:val="24"/>
        </w:rPr>
        <w:t xml:space="preserve">necessities </w:t>
      </w:r>
      <w:r w:rsidRPr="00E40443">
        <w:rPr>
          <w:rFonts w:cs="Arial"/>
          <w:szCs w:val="24"/>
        </w:rPr>
        <w:t xml:space="preserve">for himself and Brian’s minor half-sister, special food, </w:t>
      </w:r>
      <w:r w:rsidR="00F66BC1" w:rsidRPr="00E40443">
        <w:rPr>
          <w:rFonts w:cs="Arial"/>
          <w:szCs w:val="24"/>
        </w:rPr>
        <w:t xml:space="preserve">and funds for his bail application and the </w:t>
      </w:r>
      <w:r w:rsidR="00F66BC1" w:rsidRPr="00E40443">
        <w:rPr>
          <w:rFonts w:cs="Arial"/>
          <w:szCs w:val="24"/>
        </w:rPr>
        <w:lastRenderedPageBreak/>
        <w:t xml:space="preserve">appointment of </w:t>
      </w:r>
      <w:r w:rsidRPr="00E40443">
        <w:rPr>
          <w:rFonts w:cs="Arial"/>
          <w:szCs w:val="24"/>
        </w:rPr>
        <w:t>private defence for the upcoming trial.</w:t>
      </w:r>
      <w:r w:rsidR="00215915" w:rsidRPr="00E40443">
        <w:rPr>
          <w:rFonts w:cs="Arial"/>
          <w:szCs w:val="24"/>
        </w:rPr>
        <w:t xml:space="preserve"> </w:t>
      </w:r>
      <w:r w:rsidR="00F66BC1" w:rsidRPr="00E40443">
        <w:rPr>
          <w:rFonts w:cs="Arial"/>
          <w:szCs w:val="24"/>
        </w:rPr>
        <w:t xml:space="preserve">It was further argued that Mr Caldwell Snr </w:t>
      </w:r>
      <w:r w:rsidR="00215915" w:rsidRPr="00E40443">
        <w:rPr>
          <w:rFonts w:cs="Arial"/>
          <w:szCs w:val="24"/>
        </w:rPr>
        <w:t xml:space="preserve">was entitled to such interim benefits, based on </w:t>
      </w:r>
      <w:r w:rsidR="00F66BC1" w:rsidRPr="00E40443">
        <w:rPr>
          <w:rFonts w:cs="Arial"/>
          <w:szCs w:val="24"/>
        </w:rPr>
        <w:t xml:space="preserve">the </w:t>
      </w:r>
      <w:r w:rsidR="00215915" w:rsidRPr="00E40443">
        <w:rPr>
          <w:rFonts w:cs="Arial"/>
          <w:szCs w:val="24"/>
        </w:rPr>
        <w:t>presumption of innocence.</w:t>
      </w:r>
      <w:r w:rsidR="00215915" w:rsidRPr="00E40443">
        <w:rPr>
          <w:rStyle w:val="FootnoteReference"/>
          <w:rFonts w:cs="Arial"/>
          <w:szCs w:val="24"/>
        </w:rPr>
        <w:footnoteReference w:id="167"/>
      </w:r>
    </w:p>
    <w:p w14:paraId="6AEB2C9A" w14:textId="1C43834F" w:rsidR="00723E96" w:rsidRPr="00E40443" w:rsidRDefault="00723E96" w:rsidP="00C5627E">
      <w:pPr>
        <w:rPr>
          <w:rFonts w:cs="Arial"/>
          <w:szCs w:val="24"/>
        </w:rPr>
      </w:pPr>
      <w:r w:rsidRPr="00E40443">
        <w:rPr>
          <w:rFonts w:cs="Arial"/>
          <w:szCs w:val="24"/>
        </w:rPr>
        <w:t>The Court had to consider whether Mr Caldwell Snr</w:t>
      </w:r>
      <w:r w:rsidR="002416C5" w:rsidRPr="00E40443">
        <w:rPr>
          <w:rFonts w:cs="Arial"/>
          <w:szCs w:val="24"/>
        </w:rPr>
        <w:t>, as father of his minor daughter</w:t>
      </w:r>
      <w:r w:rsidR="0067776C" w:rsidRPr="00E40443">
        <w:rPr>
          <w:rFonts w:cs="Arial"/>
          <w:szCs w:val="24"/>
        </w:rPr>
        <w:t>, Martha</w:t>
      </w:r>
      <w:r w:rsidR="002416C5" w:rsidRPr="00E40443">
        <w:rPr>
          <w:rFonts w:cs="Arial"/>
          <w:szCs w:val="24"/>
        </w:rPr>
        <w:t xml:space="preserve">, Brian’s half-sister, </w:t>
      </w:r>
      <w:r w:rsidR="00FC5476" w:rsidRPr="00E40443">
        <w:rPr>
          <w:rFonts w:cs="Arial"/>
          <w:szCs w:val="24"/>
        </w:rPr>
        <w:t xml:space="preserve">was entitled to seek aid from </w:t>
      </w:r>
      <w:r w:rsidR="0067776C" w:rsidRPr="00E40443">
        <w:rPr>
          <w:rFonts w:cs="Arial"/>
          <w:szCs w:val="24"/>
        </w:rPr>
        <w:t xml:space="preserve">Martha’s </w:t>
      </w:r>
      <w:r w:rsidR="00FC5476" w:rsidRPr="00E40443">
        <w:rPr>
          <w:rFonts w:cs="Arial"/>
          <w:szCs w:val="24"/>
        </w:rPr>
        <w:t>estate for the relief claimed.</w:t>
      </w:r>
      <w:r w:rsidR="00FC5476" w:rsidRPr="00E40443">
        <w:rPr>
          <w:rStyle w:val="FootnoteReference"/>
          <w:rFonts w:cs="Arial"/>
          <w:szCs w:val="24"/>
        </w:rPr>
        <w:footnoteReference w:id="168"/>
      </w:r>
    </w:p>
    <w:p w14:paraId="249DF78A" w14:textId="710A3CB5" w:rsidR="00923F10" w:rsidRPr="00E40443" w:rsidRDefault="00006C7E" w:rsidP="00C5627E">
      <w:pPr>
        <w:rPr>
          <w:rFonts w:cs="Arial"/>
          <w:szCs w:val="24"/>
        </w:rPr>
      </w:pPr>
      <w:r w:rsidRPr="00E40443">
        <w:rPr>
          <w:rFonts w:cs="Arial"/>
          <w:szCs w:val="24"/>
        </w:rPr>
        <w:t xml:space="preserve">Dowling J granted a rule </w:t>
      </w:r>
      <w:r w:rsidRPr="00E40443">
        <w:rPr>
          <w:rFonts w:cs="Arial"/>
          <w:i/>
          <w:iCs/>
          <w:szCs w:val="24"/>
        </w:rPr>
        <w:t>nisi</w:t>
      </w:r>
      <w:r w:rsidRPr="00E40443">
        <w:rPr>
          <w:rFonts w:cs="Arial"/>
          <w:szCs w:val="24"/>
        </w:rPr>
        <w:t xml:space="preserve"> awarding funds to Mr Caldwell Snr for special food and medicine, </w:t>
      </w:r>
      <w:r w:rsidR="00BB74D8">
        <w:rPr>
          <w:rFonts w:cs="Arial"/>
          <w:szCs w:val="24"/>
        </w:rPr>
        <w:t xml:space="preserve">and </w:t>
      </w:r>
      <w:r w:rsidRPr="00E40443">
        <w:rPr>
          <w:rFonts w:cs="Arial"/>
          <w:szCs w:val="24"/>
        </w:rPr>
        <w:t>funds for his private defence</w:t>
      </w:r>
      <w:r w:rsidR="00BB74D8">
        <w:rPr>
          <w:rFonts w:cs="Arial"/>
          <w:szCs w:val="24"/>
        </w:rPr>
        <w:t xml:space="preserve">. </w:t>
      </w:r>
      <w:r w:rsidR="00923F10" w:rsidRPr="00E40443">
        <w:rPr>
          <w:rFonts w:cs="Arial"/>
          <w:szCs w:val="24"/>
        </w:rPr>
        <w:t xml:space="preserve">On the return date, </w:t>
      </w:r>
      <w:r w:rsidR="002977D8" w:rsidRPr="00E40443">
        <w:rPr>
          <w:rFonts w:cs="Arial"/>
          <w:szCs w:val="24"/>
        </w:rPr>
        <w:t xml:space="preserve">Blackwell J </w:t>
      </w:r>
      <w:r w:rsidR="00923F10" w:rsidRPr="00E40443">
        <w:rPr>
          <w:rFonts w:cs="Arial"/>
          <w:szCs w:val="24"/>
        </w:rPr>
        <w:t xml:space="preserve">discharged the rule </w:t>
      </w:r>
      <w:r w:rsidR="00923F10" w:rsidRPr="00E40443">
        <w:rPr>
          <w:rFonts w:cs="Arial"/>
          <w:i/>
          <w:iCs/>
          <w:szCs w:val="24"/>
        </w:rPr>
        <w:t>nisi</w:t>
      </w:r>
      <w:r w:rsidR="00923F10" w:rsidRPr="00E40443">
        <w:rPr>
          <w:rStyle w:val="FootnoteReference"/>
          <w:rFonts w:cs="Arial"/>
          <w:szCs w:val="24"/>
        </w:rPr>
        <w:footnoteReference w:id="169"/>
      </w:r>
      <w:r w:rsidR="00723E96" w:rsidRPr="00E40443">
        <w:rPr>
          <w:rFonts w:cs="Arial"/>
          <w:szCs w:val="24"/>
        </w:rPr>
        <w:t xml:space="preserve"> by holding </w:t>
      </w:r>
      <w:r w:rsidR="0028173B" w:rsidRPr="00E40443">
        <w:rPr>
          <w:rFonts w:cs="Arial"/>
          <w:szCs w:val="24"/>
        </w:rPr>
        <w:t>it unfathomable that the child of a destitute father was under a duty to hand</w:t>
      </w:r>
      <w:r w:rsidR="00BB74D8">
        <w:rPr>
          <w:rFonts w:cs="Arial"/>
          <w:szCs w:val="24"/>
        </w:rPr>
        <w:t xml:space="preserve"> over her inheritance</w:t>
      </w:r>
      <w:r w:rsidR="0028173B" w:rsidRPr="00E40443">
        <w:rPr>
          <w:rFonts w:cs="Arial"/>
          <w:szCs w:val="24"/>
        </w:rPr>
        <w:t xml:space="preserve"> for the benefit of a person accused of killing the </w:t>
      </w:r>
      <w:r w:rsidR="0028173B" w:rsidRPr="00E40443">
        <w:rPr>
          <w:rFonts w:cs="Arial"/>
          <w:i/>
          <w:iCs/>
          <w:szCs w:val="24"/>
        </w:rPr>
        <w:t>de caius</w:t>
      </w:r>
      <w:r w:rsidR="0028173B" w:rsidRPr="00E40443">
        <w:rPr>
          <w:rFonts w:cs="Arial"/>
          <w:szCs w:val="24"/>
        </w:rPr>
        <w:t xml:space="preserve"> from which the inheritance originated. It was also considered to be against public policy that Mr Caldwell should benefit from the murder of his son, Brian</w:t>
      </w:r>
      <w:r w:rsidR="00723E96" w:rsidRPr="00E40443">
        <w:rPr>
          <w:rFonts w:cs="Arial"/>
          <w:szCs w:val="24"/>
        </w:rPr>
        <w:t>.</w:t>
      </w:r>
      <w:r w:rsidR="00723E96" w:rsidRPr="00E40443">
        <w:rPr>
          <w:rStyle w:val="FootnoteReference"/>
          <w:rFonts w:cs="Arial"/>
          <w:szCs w:val="24"/>
        </w:rPr>
        <w:footnoteReference w:id="170"/>
      </w:r>
    </w:p>
    <w:p w14:paraId="688A62F6" w14:textId="428AE2A1" w:rsidR="0067776C" w:rsidRPr="00E40443" w:rsidRDefault="0067776C" w:rsidP="00C5627E">
      <w:pPr>
        <w:rPr>
          <w:rFonts w:cs="Arial"/>
          <w:szCs w:val="24"/>
        </w:rPr>
      </w:pPr>
      <w:r w:rsidRPr="00E40443">
        <w:rPr>
          <w:rFonts w:cs="Arial"/>
          <w:szCs w:val="24"/>
        </w:rPr>
        <w:t xml:space="preserve">First, he found that Martha’s entire estate would </w:t>
      </w:r>
      <w:r w:rsidR="002864EB" w:rsidRPr="00E40443">
        <w:rPr>
          <w:rFonts w:cs="Arial"/>
          <w:szCs w:val="24"/>
        </w:rPr>
        <w:t xml:space="preserve">eventually </w:t>
      </w:r>
      <w:r w:rsidRPr="00E40443">
        <w:rPr>
          <w:rFonts w:cs="Arial"/>
          <w:szCs w:val="24"/>
        </w:rPr>
        <w:t>be depleted to fund the legal proceedings</w:t>
      </w:r>
      <w:r w:rsidR="00283719" w:rsidRPr="00E40443">
        <w:rPr>
          <w:rFonts w:cs="Arial"/>
          <w:szCs w:val="24"/>
        </w:rPr>
        <w:t xml:space="preserve">, and </w:t>
      </w:r>
      <w:r w:rsidR="00BB74D8">
        <w:rPr>
          <w:rFonts w:cs="Arial"/>
          <w:szCs w:val="24"/>
        </w:rPr>
        <w:t>t</w:t>
      </w:r>
      <w:r w:rsidR="002864EB" w:rsidRPr="00E40443">
        <w:rPr>
          <w:rFonts w:cs="Arial"/>
          <w:szCs w:val="24"/>
        </w:rPr>
        <w:t>his, along with the fact that the request for food and medicine did not amount to necessities, lead to the Court dismissing such claim.</w:t>
      </w:r>
      <w:r w:rsidR="002864EB" w:rsidRPr="00E40443">
        <w:rPr>
          <w:rStyle w:val="FootnoteReference"/>
          <w:rFonts w:cs="Arial"/>
          <w:szCs w:val="24"/>
        </w:rPr>
        <w:footnoteReference w:id="171"/>
      </w:r>
    </w:p>
    <w:p w14:paraId="70DA5C53" w14:textId="5A44AF4A" w:rsidR="002977D8" w:rsidRPr="00E40443" w:rsidRDefault="00283719" w:rsidP="00C5627E">
      <w:pPr>
        <w:rPr>
          <w:rFonts w:cs="Arial"/>
          <w:szCs w:val="24"/>
        </w:rPr>
      </w:pPr>
      <w:r w:rsidRPr="00E40443">
        <w:rPr>
          <w:rFonts w:cs="Arial"/>
          <w:szCs w:val="24"/>
        </w:rPr>
        <w:t>Second</w:t>
      </w:r>
      <w:r w:rsidR="00BB74D8">
        <w:rPr>
          <w:rFonts w:cs="Arial"/>
          <w:szCs w:val="24"/>
        </w:rPr>
        <w:t>ly</w:t>
      </w:r>
      <w:r w:rsidRPr="00E40443">
        <w:rPr>
          <w:rFonts w:cs="Arial"/>
          <w:szCs w:val="24"/>
        </w:rPr>
        <w:t>, the Court held private defence to be a luxury rather than a necessity considering the State availed counsel to the indigent accused</w:t>
      </w:r>
      <w:r w:rsidR="002977D8" w:rsidRPr="00E40443">
        <w:rPr>
          <w:rFonts w:cs="Arial"/>
          <w:szCs w:val="24"/>
        </w:rPr>
        <w:t>.</w:t>
      </w:r>
      <w:r w:rsidR="002977D8" w:rsidRPr="00E40443">
        <w:rPr>
          <w:rStyle w:val="FootnoteReference"/>
          <w:rFonts w:cs="Arial"/>
          <w:szCs w:val="24"/>
        </w:rPr>
        <w:footnoteReference w:id="172"/>
      </w:r>
    </w:p>
    <w:p w14:paraId="0B22E62B" w14:textId="77777777" w:rsidR="008C4A0C" w:rsidRPr="00E40443" w:rsidRDefault="008C4A0C" w:rsidP="00C5627E">
      <w:pPr>
        <w:rPr>
          <w:rFonts w:cs="Arial"/>
          <w:szCs w:val="24"/>
        </w:rPr>
      </w:pPr>
    </w:p>
    <w:p w14:paraId="2FC0BBF2" w14:textId="27FE46A5" w:rsidR="002977D8" w:rsidRPr="00E40443" w:rsidRDefault="002977D8" w:rsidP="00C5627E">
      <w:pPr>
        <w:pStyle w:val="Heading3"/>
        <w:numPr>
          <w:ilvl w:val="2"/>
          <w:numId w:val="20"/>
        </w:numPr>
        <w:ind w:left="851" w:hanging="851"/>
        <w:rPr>
          <w:rFonts w:cs="Arial"/>
          <w:b/>
          <w:bCs/>
          <w:i/>
          <w:iCs/>
        </w:rPr>
      </w:pPr>
      <w:bookmarkStart w:id="28" w:name="_Toc191216274"/>
      <w:r w:rsidRPr="00E40443">
        <w:rPr>
          <w:rFonts w:cs="Arial"/>
          <w:b/>
          <w:bCs/>
          <w:i/>
          <w:iCs/>
        </w:rPr>
        <w:t xml:space="preserve">Ex parte Vonzell </w:t>
      </w:r>
      <w:r w:rsidRPr="00E40443">
        <w:rPr>
          <w:rFonts w:cs="Arial"/>
          <w:b/>
          <w:bCs/>
        </w:rPr>
        <w:t>1953 1 All SA 46 (C)</w:t>
      </w:r>
      <w:bookmarkEnd w:id="28"/>
      <w:r w:rsidR="00894ED0" w:rsidRPr="00E40443">
        <w:rPr>
          <w:rFonts w:cs="Arial"/>
          <w:b/>
          <w:bCs/>
        </w:rPr>
        <w:t xml:space="preserve"> </w:t>
      </w:r>
    </w:p>
    <w:p w14:paraId="0FF70D48" w14:textId="6F4A1461" w:rsidR="002977D8" w:rsidRPr="00E40443" w:rsidRDefault="00002077" w:rsidP="00C5627E">
      <w:pPr>
        <w:rPr>
          <w:rFonts w:cs="Arial"/>
          <w:szCs w:val="24"/>
        </w:rPr>
      </w:pPr>
      <w:r w:rsidRPr="00E40443">
        <w:rPr>
          <w:rFonts w:cs="Arial"/>
          <w:szCs w:val="24"/>
        </w:rPr>
        <w:t xml:space="preserve">A marriage in community of property was concluded between </w:t>
      </w:r>
      <w:r w:rsidR="002977D8" w:rsidRPr="00E40443">
        <w:rPr>
          <w:rFonts w:cs="Arial"/>
          <w:szCs w:val="24"/>
        </w:rPr>
        <w:t xml:space="preserve">Mr and Mrs Vonzell during August 1951. </w:t>
      </w:r>
      <w:r w:rsidRPr="00E40443">
        <w:rPr>
          <w:rFonts w:cs="Arial"/>
          <w:szCs w:val="24"/>
        </w:rPr>
        <w:t>On the 5</w:t>
      </w:r>
      <w:r w:rsidRPr="00E40443">
        <w:rPr>
          <w:rFonts w:cs="Arial"/>
          <w:szCs w:val="24"/>
          <w:vertAlign w:val="superscript"/>
        </w:rPr>
        <w:t>th</w:t>
      </w:r>
      <w:r w:rsidRPr="00E40443">
        <w:rPr>
          <w:rFonts w:cs="Arial"/>
          <w:szCs w:val="24"/>
        </w:rPr>
        <w:t xml:space="preserve"> of March 1952</w:t>
      </w:r>
      <w:r w:rsidR="00575A4A" w:rsidRPr="00E40443">
        <w:rPr>
          <w:rStyle w:val="FootnoteReference"/>
          <w:rFonts w:cs="Arial"/>
          <w:szCs w:val="24"/>
        </w:rPr>
        <w:footnoteReference w:id="173"/>
      </w:r>
      <w:r w:rsidRPr="00E40443">
        <w:rPr>
          <w:rFonts w:cs="Arial"/>
          <w:szCs w:val="24"/>
        </w:rPr>
        <w:t xml:space="preserve"> Mrs </w:t>
      </w:r>
      <w:r w:rsidR="002977D8" w:rsidRPr="00E40443">
        <w:rPr>
          <w:rFonts w:cs="Arial"/>
          <w:szCs w:val="24"/>
        </w:rPr>
        <w:t xml:space="preserve">Vonzell </w:t>
      </w:r>
      <w:r w:rsidRPr="00E40443">
        <w:rPr>
          <w:rFonts w:cs="Arial"/>
          <w:szCs w:val="24"/>
        </w:rPr>
        <w:t xml:space="preserve">obtained a rule </w:t>
      </w:r>
      <w:r w:rsidRPr="00E40443">
        <w:rPr>
          <w:rFonts w:cs="Arial"/>
          <w:i/>
          <w:iCs/>
          <w:szCs w:val="24"/>
        </w:rPr>
        <w:t>nisi</w:t>
      </w:r>
      <w:r w:rsidRPr="00E40443">
        <w:rPr>
          <w:rFonts w:cs="Arial"/>
          <w:szCs w:val="24"/>
        </w:rPr>
        <w:t xml:space="preserve"> order from the </w:t>
      </w:r>
      <w:r w:rsidR="002977D8" w:rsidRPr="00E40443">
        <w:rPr>
          <w:rFonts w:cs="Arial"/>
          <w:szCs w:val="24"/>
        </w:rPr>
        <w:t xml:space="preserve">Cape Provincial Division of the [then] Supreme Court </w:t>
      </w:r>
      <w:r w:rsidRPr="00E40443">
        <w:rPr>
          <w:rFonts w:cs="Arial"/>
          <w:szCs w:val="24"/>
        </w:rPr>
        <w:t xml:space="preserve">prohibiting </w:t>
      </w:r>
      <w:r w:rsidR="002977D8" w:rsidRPr="00E40443">
        <w:rPr>
          <w:rFonts w:cs="Arial"/>
          <w:szCs w:val="24"/>
        </w:rPr>
        <w:t xml:space="preserve">Mr Vonzell from withdrawing any </w:t>
      </w:r>
      <w:r w:rsidR="00CF2FE5" w:rsidRPr="00E40443">
        <w:rPr>
          <w:rFonts w:cs="Arial"/>
          <w:szCs w:val="24"/>
        </w:rPr>
        <w:t xml:space="preserve">further </w:t>
      </w:r>
      <w:r w:rsidR="002977D8" w:rsidRPr="00E40443">
        <w:rPr>
          <w:rFonts w:cs="Arial"/>
          <w:szCs w:val="24"/>
        </w:rPr>
        <w:t>mon</w:t>
      </w:r>
      <w:r w:rsidR="00CF2FE5" w:rsidRPr="00E40443">
        <w:rPr>
          <w:rFonts w:cs="Arial"/>
          <w:szCs w:val="24"/>
        </w:rPr>
        <w:t>ies</w:t>
      </w:r>
      <w:r w:rsidR="002977D8" w:rsidRPr="00E40443">
        <w:rPr>
          <w:rFonts w:cs="Arial"/>
          <w:szCs w:val="24"/>
        </w:rPr>
        <w:t xml:space="preserve"> from her account held at Barclays Bank, pending </w:t>
      </w:r>
      <w:r w:rsidRPr="00E40443">
        <w:rPr>
          <w:rFonts w:cs="Arial"/>
          <w:szCs w:val="24"/>
        </w:rPr>
        <w:t xml:space="preserve">an </w:t>
      </w:r>
      <w:r w:rsidR="002977D8" w:rsidRPr="00E40443">
        <w:rPr>
          <w:rFonts w:cs="Arial"/>
          <w:szCs w:val="24"/>
        </w:rPr>
        <w:t>action for judicial separation and forfeiture of Mr Vonzell’s half-share in the communal estate.</w:t>
      </w:r>
      <w:r w:rsidRPr="00E40443">
        <w:rPr>
          <w:rFonts w:cs="Arial"/>
          <w:szCs w:val="24"/>
        </w:rPr>
        <w:t xml:space="preserve"> The order was made final by consent</w:t>
      </w:r>
      <w:r w:rsidR="005D0842" w:rsidRPr="00E40443">
        <w:rPr>
          <w:rFonts w:cs="Arial"/>
          <w:szCs w:val="24"/>
        </w:rPr>
        <w:t xml:space="preserve"> on the 25</w:t>
      </w:r>
      <w:r w:rsidR="005D0842" w:rsidRPr="00E40443">
        <w:rPr>
          <w:rFonts w:cs="Arial"/>
          <w:szCs w:val="24"/>
          <w:vertAlign w:val="superscript"/>
        </w:rPr>
        <w:t xml:space="preserve">th </w:t>
      </w:r>
      <w:r w:rsidR="005D0842" w:rsidRPr="00E40443">
        <w:rPr>
          <w:rFonts w:cs="Arial"/>
          <w:szCs w:val="24"/>
        </w:rPr>
        <w:t>of March 1952</w:t>
      </w:r>
      <w:r w:rsidRPr="00E40443">
        <w:rPr>
          <w:rFonts w:cs="Arial"/>
          <w:szCs w:val="24"/>
        </w:rPr>
        <w:t>, subject to the institution of judicial separation proceedings</w:t>
      </w:r>
      <w:r w:rsidR="005D0842" w:rsidRPr="00E40443">
        <w:rPr>
          <w:rFonts w:cs="Arial"/>
          <w:szCs w:val="24"/>
        </w:rPr>
        <w:t xml:space="preserve"> within 30 days</w:t>
      </w:r>
      <w:r w:rsidRPr="00E40443">
        <w:rPr>
          <w:rFonts w:cs="Arial"/>
          <w:szCs w:val="24"/>
        </w:rPr>
        <w:t>.</w:t>
      </w:r>
      <w:r w:rsidRPr="00E40443">
        <w:rPr>
          <w:rStyle w:val="FootnoteReference"/>
          <w:rFonts w:cs="Arial"/>
          <w:szCs w:val="24"/>
        </w:rPr>
        <w:footnoteReference w:id="174"/>
      </w:r>
    </w:p>
    <w:p w14:paraId="13C538E2" w14:textId="0C38298A" w:rsidR="002977D8" w:rsidRPr="00E40443" w:rsidRDefault="002977D8" w:rsidP="00C5627E">
      <w:pPr>
        <w:rPr>
          <w:rFonts w:cs="Arial"/>
          <w:szCs w:val="24"/>
        </w:rPr>
      </w:pPr>
      <w:r w:rsidRPr="00E40443">
        <w:rPr>
          <w:rFonts w:cs="Arial"/>
          <w:szCs w:val="24"/>
        </w:rPr>
        <w:lastRenderedPageBreak/>
        <w:t xml:space="preserve">Mr Vonzell was charged with shooting his wife with a pistol and killing her in her place of abode on </w:t>
      </w:r>
      <w:r w:rsidR="00002077" w:rsidRPr="00E40443">
        <w:rPr>
          <w:rFonts w:cs="Arial"/>
          <w:szCs w:val="24"/>
        </w:rPr>
        <w:t xml:space="preserve">the </w:t>
      </w:r>
      <w:r w:rsidRPr="00E40443">
        <w:rPr>
          <w:rFonts w:cs="Arial"/>
          <w:szCs w:val="24"/>
        </w:rPr>
        <w:t>21</w:t>
      </w:r>
      <w:r w:rsidR="00002077" w:rsidRPr="00E40443">
        <w:rPr>
          <w:rFonts w:cs="Arial"/>
          <w:szCs w:val="24"/>
          <w:vertAlign w:val="superscript"/>
        </w:rPr>
        <w:t>st</w:t>
      </w:r>
      <w:r w:rsidR="00002077" w:rsidRPr="00E40443">
        <w:rPr>
          <w:rFonts w:cs="Arial"/>
          <w:szCs w:val="24"/>
        </w:rPr>
        <w:t xml:space="preserve"> of</w:t>
      </w:r>
      <w:r w:rsidRPr="00E40443">
        <w:rPr>
          <w:rFonts w:cs="Arial"/>
          <w:szCs w:val="24"/>
        </w:rPr>
        <w:t xml:space="preserve"> April 1952</w:t>
      </w:r>
      <w:r w:rsidR="000F069B" w:rsidRPr="00E40443">
        <w:rPr>
          <w:rFonts w:cs="Arial"/>
          <w:szCs w:val="24"/>
        </w:rPr>
        <w:t>,</w:t>
      </w:r>
      <w:r w:rsidR="000F069B" w:rsidRPr="00E40443">
        <w:rPr>
          <w:rStyle w:val="FootnoteReference"/>
          <w:rFonts w:cs="Arial"/>
          <w:szCs w:val="24"/>
        </w:rPr>
        <w:footnoteReference w:id="175"/>
      </w:r>
      <w:r w:rsidR="000F069B" w:rsidRPr="00E40443">
        <w:rPr>
          <w:rFonts w:cs="Arial"/>
          <w:szCs w:val="24"/>
        </w:rPr>
        <w:t xml:space="preserve"> a mere eight months after conclusion of the marriage.</w:t>
      </w:r>
      <w:r w:rsidR="000F069B" w:rsidRPr="00E40443">
        <w:rPr>
          <w:rStyle w:val="FootnoteReference"/>
          <w:rFonts w:cs="Arial"/>
          <w:szCs w:val="24"/>
        </w:rPr>
        <w:footnoteReference w:id="176"/>
      </w:r>
    </w:p>
    <w:p w14:paraId="66696731" w14:textId="04D4F72B" w:rsidR="004B57C5" w:rsidRPr="00E40443" w:rsidRDefault="002977D8" w:rsidP="00C5627E">
      <w:pPr>
        <w:rPr>
          <w:rFonts w:cs="Arial"/>
          <w:szCs w:val="24"/>
        </w:rPr>
      </w:pPr>
      <w:r w:rsidRPr="00E40443">
        <w:rPr>
          <w:rFonts w:cs="Arial"/>
          <w:szCs w:val="24"/>
        </w:rPr>
        <w:t xml:space="preserve">Mr Vonzell brought an application </w:t>
      </w:r>
      <w:r w:rsidR="001E2E9F" w:rsidRPr="00E40443">
        <w:rPr>
          <w:rFonts w:cs="Arial"/>
          <w:szCs w:val="24"/>
        </w:rPr>
        <w:t xml:space="preserve">that the </w:t>
      </w:r>
      <w:r w:rsidRPr="00E40443">
        <w:rPr>
          <w:rFonts w:cs="Arial"/>
          <w:szCs w:val="24"/>
        </w:rPr>
        <w:t xml:space="preserve">prohibitory interdict be </w:t>
      </w:r>
      <w:r w:rsidR="001E2E9F" w:rsidRPr="00E40443">
        <w:rPr>
          <w:rFonts w:cs="Arial"/>
          <w:szCs w:val="24"/>
        </w:rPr>
        <w:t>discharged</w:t>
      </w:r>
      <w:r w:rsidR="004B57C5" w:rsidRPr="00E40443">
        <w:rPr>
          <w:rFonts w:cs="Arial"/>
          <w:szCs w:val="24"/>
        </w:rPr>
        <w:t>, which application was opposed by the executor of the estate.</w:t>
      </w:r>
      <w:r w:rsidR="001E2E9F" w:rsidRPr="00E40443">
        <w:rPr>
          <w:rFonts w:cs="Arial"/>
          <w:szCs w:val="24"/>
        </w:rPr>
        <w:t xml:space="preserve"> </w:t>
      </w:r>
      <w:r w:rsidR="004B57C5" w:rsidRPr="00E40443">
        <w:rPr>
          <w:rFonts w:cs="Arial"/>
          <w:szCs w:val="24"/>
        </w:rPr>
        <w:t xml:space="preserve">Mr Vonzell argued that the order was </w:t>
      </w:r>
      <w:r w:rsidR="001E2E9F" w:rsidRPr="00E40443">
        <w:rPr>
          <w:rFonts w:cs="Arial"/>
          <w:szCs w:val="24"/>
        </w:rPr>
        <w:t>obsolete</w:t>
      </w:r>
      <w:r w:rsidR="004B57C5" w:rsidRPr="00E40443">
        <w:rPr>
          <w:rFonts w:cs="Arial"/>
          <w:szCs w:val="24"/>
        </w:rPr>
        <w:t>,</w:t>
      </w:r>
      <w:r w:rsidR="001E2E9F" w:rsidRPr="00E40443">
        <w:rPr>
          <w:rFonts w:cs="Arial"/>
          <w:szCs w:val="24"/>
        </w:rPr>
        <w:t xml:space="preserve"> </w:t>
      </w:r>
      <w:r w:rsidR="004B57C5" w:rsidRPr="00E40443">
        <w:rPr>
          <w:rFonts w:cs="Arial"/>
          <w:szCs w:val="24"/>
        </w:rPr>
        <w:t xml:space="preserve">as it was impossible for the </w:t>
      </w:r>
      <w:r w:rsidR="001E2E9F" w:rsidRPr="00E40443">
        <w:rPr>
          <w:rFonts w:cs="Arial"/>
          <w:szCs w:val="24"/>
        </w:rPr>
        <w:t>action for judicial separation and forfeitur</w:t>
      </w:r>
      <w:r w:rsidR="004B57C5" w:rsidRPr="00E40443">
        <w:rPr>
          <w:rFonts w:cs="Arial"/>
          <w:szCs w:val="24"/>
        </w:rPr>
        <w:t>e to proceed. In addition to this averment, Mr Vonzell averred that his marital regime entitled him to one half of the assets in the dissolved communal estate, which monies were to fund his legal defence against the murder charge. The executor’s argument was that such an order would amount to Mr Vonzell being benefitted by his wrongful killing of Mrs Vonzell</w:t>
      </w:r>
      <w:r w:rsidR="00F704B7" w:rsidRPr="00E40443">
        <w:rPr>
          <w:rFonts w:cs="Arial"/>
          <w:szCs w:val="24"/>
        </w:rPr>
        <w:t xml:space="preserve">. The executor further requested the Court to </w:t>
      </w:r>
      <w:r w:rsidR="0094227F" w:rsidRPr="00E40443">
        <w:rPr>
          <w:rFonts w:cs="Arial"/>
          <w:szCs w:val="24"/>
        </w:rPr>
        <w:t xml:space="preserve">amend and </w:t>
      </w:r>
      <w:r w:rsidR="00F704B7" w:rsidRPr="00E40443">
        <w:rPr>
          <w:rFonts w:cs="Arial"/>
          <w:szCs w:val="24"/>
        </w:rPr>
        <w:t>extend the current interdict pending the outcome of the action to have Mr Vonzell declared unworthy to succeed Mrs Vonzell.</w:t>
      </w:r>
      <w:r w:rsidR="00F704B7" w:rsidRPr="00E40443">
        <w:rPr>
          <w:rStyle w:val="FootnoteReference"/>
          <w:rFonts w:cs="Arial"/>
          <w:szCs w:val="24"/>
        </w:rPr>
        <w:footnoteReference w:id="177"/>
      </w:r>
    </w:p>
    <w:p w14:paraId="35790522" w14:textId="078203E4" w:rsidR="00F524A1" w:rsidRPr="00E40443" w:rsidRDefault="00F524A1" w:rsidP="00C5627E">
      <w:pPr>
        <w:rPr>
          <w:rFonts w:cs="Arial"/>
          <w:szCs w:val="24"/>
        </w:rPr>
      </w:pPr>
      <w:r w:rsidRPr="00E40443">
        <w:rPr>
          <w:rFonts w:cs="Arial"/>
          <w:szCs w:val="24"/>
        </w:rPr>
        <w:t xml:space="preserve">The Court was tasked to determine whether </w:t>
      </w:r>
      <w:r w:rsidR="00AC5030" w:rsidRPr="00E40443">
        <w:rPr>
          <w:rFonts w:cs="Arial"/>
          <w:szCs w:val="24"/>
        </w:rPr>
        <w:t xml:space="preserve">the prohibitory interdict was still effective, and if so, whether he </w:t>
      </w:r>
      <w:r w:rsidRPr="00E40443">
        <w:rPr>
          <w:rFonts w:cs="Arial"/>
          <w:szCs w:val="24"/>
        </w:rPr>
        <w:t>was entitled to his half-share in the joint estate, as at date of death.</w:t>
      </w:r>
      <w:r w:rsidRPr="00E40443">
        <w:rPr>
          <w:rStyle w:val="FootnoteReference"/>
          <w:rFonts w:cs="Arial"/>
          <w:szCs w:val="24"/>
        </w:rPr>
        <w:footnoteReference w:id="178"/>
      </w:r>
    </w:p>
    <w:p w14:paraId="4E2074CA" w14:textId="39548A9A" w:rsidR="002977D8" w:rsidRPr="00E40443" w:rsidRDefault="002977D8" w:rsidP="00C5627E">
      <w:pPr>
        <w:rPr>
          <w:rFonts w:cs="Arial"/>
          <w:szCs w:val="24"/>
        </w:rPr>
      </w:pPr>
      <w:r w:rsidRPr="00E40443">
        <w:rPr>
          <w:rFonts w:cs="Arial"/>
          <w:szCs w:val="24"/>
        </w:rPr>
        <w:t xml:space="preserve">The </w:t>
      </w:r>
      <w:r w:rsidR="006A6F65" w:rsidRPr="00E40443">
        <w:rPr>
          <w:rFonts w:cs="Arial"/>
          <w:szCs w:val="24"/>
        </w:rPr>
        <w:t>C</w:t>
      </w:r>
      <w:r w:rsidRPr="00E40443">
        <w:rPr>
          <w:rFonts w:cs="Arial"/>
          <w:szCs w:val="24"/>
        </w:rPr>
        <w:t xml:space="preserve">ourt </w:t>
      </w:r>
      <w:r w:rsidR="006A6F65" w:rsidRPr="00E40443">
        <w:rPr>
          <w:rFonts w:cs="Arial"/>
          <w:szCs w:val="24"/>
        </w:rPr>
        <w:t xml:space="preserve">upheld Mr Vonzell’s claim by holding that it could find no authority </w:t>
      </w:r>
      <w:r w:rsidR="00BB5BC6" w:rsidRPr="00E40443">
        <w:rPr>
          <w:rFonts w:cs="Arial"/>
          <w:szCs w:val="24"/>
        </w:rPr>
        <w:t>akin to the principle preventing a murderer to benefit from his wrongdoing, to deprive an accused murderer from his share in the communal estate dissolved by death</w:t>
      </w:r>
      <w:r w:rsidRPr="00E40443">
        <w:rPr>
          <w:rFonts w:cs="Arial"/>
          <w:szCs w:val="24"/>
        </w:rPr>
        <w:t>.</w:t>
      </w:r>
      <w:r w:rsidRPr="00E40443">
        <w:rPr>
          <w:rStyle w:val="FootnoteReference"/>
          <w:rFonts w:cs="Arial"/>
          <w:szCs w:val="24"/>
        </w:rPr>
        <w:footnoteReference w:id="179"/>
      </w:r>
    </w:p>
    <w:p w14:paraId="3D0ACE53" w14:textId="70B82B16" w:rsidR="008614B6" w:rsidRPr="00E40443" w:rsidRDefault="008614B6" w:rsidP="00C5627E">
      <w:pPr>
        <w:rPr>
          <w:rFonts w:cs="Arial"/>
          <w:szCs w:val="24"/>
        </w:rPr>
      </w:pPr>
      <w:r w:rsidRPr="00E40443">
        <w:rPr>
          <w:rFonts w:cs="Arial"/>
          <w:szCs w:val="24"/>
        </w:rPr>
        <w:t xml:space="preserve">This ruling </w:t>
      </w:r>
      <w:r w:rsidR="009E3B7F" w:rsidRPr="00E40443">
        <w:rPr>
          <w:rFonts w:cs="Arial"/>
          <w:szCs w:val="24"/>
        </w:rPr>
        <w:t>that, despite unlawfully killing the deceased, a spouse married in community of property is not prohibited from taking their half-share in the joint estate</w:t>
      </w:r>
      <w:r w:rsidR="009E3B7F" w:rsidRPr="00E40443">
        <w:rPr>
          <w:rStyle w:val="FootnoteReference"/>
          <w:rFonts w:cs="Arial"/>
          <w:szCs w:val="24"/>
        </w:rPr>
        <w:footnoteReference w:id="180"/>
      </w:r>
      <w:r w:rsidR="009E3B7F" w:rsidRPr="00E40443">
        <w:rPr>
          <w:rFonts w:cs="Arial"/>
          <w:szCs w:val="24"/>
        </w:rPr>
        <w:t xml:space="preserve"> </w:t>
      </w:r>
      <w:r w:rsidRPr="00E40443">
        <w:rPr>
          <w:rFonts w:cs="Arial"/>
          <w:szCs w:val="24"/>
        </w:rPr>
        <w:t>received severe criticism for cementing in law the position that Mr Vonzell be allowed to retain the benefit he would not have been entitled to but for the unlawful killing of the deceased.</w:t>
      </w:r>
      <w:r w:rsidRPr="00E40443">
        <w:rPr>
          <w:rStyle w:val="FootnoteReference"/>
          <w:rFonts w:cs="Arial"/>
          <w:szCs w:val="24"/>
        </w:rPr>
        <w:footnoteReference w:id="181"/>
      </w:r>
    </w:p>
    <w:p w14:paraId="4E2D42D9" w14:textId="77777777" w:rsidR="002977D8" w:rsidRPr="00E40443" w:rsidRDefault="002977D8" w:rsidP="00C5627E">
      <w:pPr>
        <w:rPr>
          <w:rFonts w:cs="Arial"/>
          <w:szCs w:val="24"/>
        </w:rPr>
      </w:pPr>
    </w:p>
    <w:p w14:paraId="0612280B" w14:textId="64B0A1A1" w:rsidR="002977D8" w:rsidRPr="00E40443" w:rsidRDefault="002977D8" w:rsidP="00C5627E">
      <w:pPr>
        <w:pStyle w:val="Heading3"/>
        <w:numPr>
          <w:ilvl w:val="2"/>
          <w:numId w:val="20"/>
        </w:numPr>
        <w:ind w:left="851" w:hanging="851"/>
        <w:rPr>
          <w:rFonts w:cs="Arial"/>
          <w:b/>
          <w:bCs/>
        </w:rPr>
      </w:pPr>
      <w:bookmarkStart w:id="29" w:name="_Toc191216275"/>
      <w:r w:rsidRPr="00E40443">
        <w:rPr>
          <w:rFonts w:cs="Arial"/>
          <w:b/>
          <w:bCs/>
          <w:i/>
          <w:iCs/>
        </w:rPr>
        <w:t xml:space="preserve">Nell v Nell </w:t>
      </w:r>
      <w:r w:rsidR="00C74944" w:rsidRPr="00E40443">
        <w:rPr>
          <w:rFonts w:cs="Arial"/>
          <w:b/>
          <w:bCs/>
          <w:i/>
          <w:iCs/>
        </w:rPr>
        <w:t>&amp;</w:t>
      </w:r>
      <w:r w:rsidRPr="00E40443">
        <w:rPr>
          <w:rFonts w:cs="Arial"/>
          <w:b/>
          <w:bCs/>
          <w:i/>
          <w:iCs/>
        </w:rPr>
        <w:t xml:space="preserve"> ‘n Ander</w:t>
      </w:r>
      <w:r w:rsidRPr="00E40443">
        <w:rPr>
          <w:rFonts w:cs="Arial"/>
          <w:b/>
          <w:bCs/>
        </w:rPr>
        <w:t xml:space="preserve"> 1976 3 SA 700 (T)</w:t>
      </w:r>
      <w:bookmarkEnd w:id="29"/>
    </w:p>
    <w:p w14:paraId="0D7E3E5A" w14:textId="471CCF80" w:rsidR="009A5AEB" w:rsidRPr="00E40443" w:rsidRDefault="002977D8" w:rsidP="00C5627E">
      <w:pPr>
        <w:rPr>
          <w:rFonts w:cs="Arial"/>
          <w:szCs w:val="24"/>
        </w:rPr>
      </w:pPr>
      <w:r w:rsidRPr="00E40443">
        <w:rPr>
          <w:rFonts w:cs="Arial"/>
          <w:szCs w:val="24"/>
        </w:rPr>
        <w:t>Mr and Mrs Nell married each other in community of property on 16 January 1956</w:t>
      </w:r>
      <w:r w:rsidR="00CC17F9">
        <w:rPr>
          <w:rFonts w:cs="Arial"/>
          <w:szCs w:val="24"/>
        </w:rPr>
        <w:t>.</w:t>
      </w:r>
      <w:r w:rsidR="009A5AEB" w:rsidRPr="00E40443">
        <w:rPr>
          <w:rFonts w:cs="Arial"/>
          <w:szCs w:val="24"/>
        </w:rPr>
        <w:t xml:space="preserve"> Mr Nell was an employee of Yskor, Vanderbijlpark</w:t>
      </w:r>
      <w:r w:rsidRPr="00E40443">
        <w:rPr>
          <w:rFonts w:cs="Arial"/>
          <w:szCs w:val="24"/>
        </w:rPr>
        <w:t xml:space="preserve">. </w:t>
      </w:r>
      <w:r w:rsidR="00974F22" w:rsidRPr="00E40443">
        <w:rPr>
          <w:rFonts w:cs="Arial"/>
          <w:szCs w:val="24"/>
        </w:rPr>
        <w:t>Mr Nell died intestate on the 23</w:t>
      </w:r>
      <w:r w:rsidR="00974F22" w:rsidRPr="00E40443">
        <w:rPr>
          <w:rFonts w:cs="Arial"/>
          <w:szCs w:val="24"/>
          <w:vertAlign w:val="superscript"/>
        </w:rPr>
        <w:t>rd</w:t>
      </w:r>
      <w:r w:rsidR="00974F22" w:rsidRPr="00E40443">
        <w:rPr>
          <w:rFonts w:cs="Arial"/>
          <w:szCs w:val="24"/>
        </w:rPr>
        <w:t xml:space="preserve"> of April 1973. At the time of his death, t</w:t>
      </w:r>
      <w:r w:rsidR="009A5AEB" w:rsidRPr="00E40443">
        <w:rPr>
          <w:rFonts w:cs="Arial"/>
          <w:szCs w:val="24"/>
        </w:rPr>
        <w:t xml:space="preserve">he communal estate comprised of an immovable property in </w:t>
      </w:r>
      <w:r w:rsidR="009A5AEB" w:rsidRPr="00E40443">
        <w:rPr>
          <w:rFonts w:cs="Arial"/>
          <w:szCs w:val="24"/>
        </w:rPr>
        <w:lastRenderedPageBreak/>
        <w:t>Vanderbijlpark, various movable assets and claims in favour of the estate, amounting to about R 33</w:t>
      </w:r>
      <w:r w:rsidR="00C84801">
        <w:rPr>
          <w:rFonts w:cs="Arial"/>
          <w:szCs w:val="24"/>
        </w:rPr>
        <w:t> </w:t>
      </w:r>
      <w:r w:rsidR="009A5AEB" w:rsidRPr="00E40443">
        <w:rPr>
          <w:rFonts w:cs="Arial"/>
          <w:szCs w:val="24"/>
        </w:rPr>
        <w:t>545</w:t>
      </w:r>
      <w:r w:rsidR="00C84801">
        <w:rPr>
          <w:rFonts w:cs="Arial"/>
          <w:szCs w:val="24"/>
        </w:rPr>
        <w:t>,</w:t>
      </w:r>
      <w:r w:rsidR="009A5AEB" w:rsidRPr="00E40443">
        <w:rPr>
          <w:rFonts w:cs="Arial"/>
          <w:szCs w:val="24"/>
        </w:rPr>
        <w:t>00.</w:t>
      </w:r>
      <w:r w:rsidR="00974F22" w:rsidRPr="00E40443">
        <w:rPr>
          <w:rStyle w:val="FootnoteReference"/>
          <w:rFonts w:cs="Arial"/>
          <w:szCs w:val="24"/>
        </w:rPr>
        <w:footnoteReference w:id="182"/>
      </w:r>
    </w:p>
    <w:p w14:paraId="153AA649" w14:textId="6B8955B7" w:rsidR="002977D8" w:rsidRPr="00E40443" w:rsidRDefault="00A72094" w:rsidP="00C5627E">
      <w:pPr>
        <w:rPr>
          <w:rFonts w:cs="Arial"/>
          <w:szCs w:val="24"/>
        </w:rPr>
      </w:pPr>
      <w:r w:rsidRPr="00E40443">
        <w:rPr>
          <w:rFonts w:cs="Arial"/>
          <w:szCs w:val="24"/>
        </w:rPr>
        <w:t>After the death of her husband,</w:t>
      </w:r>
      <w:r w:rsidR="00943CE9" w:rsidRPr="00E40443">
        <w:rPr>
          <w:rFonts w:cs="Arial"/>
          <w:szCs w:val="24"/>
        </w:rPr>
        <w:t xml:space="preserve"> </w:t>
      </w:r>
      <w:r w:rsidR="002977D8" w:rsidRPr="00E40443">
        <w:rPr>
          <w:rFonts w:cs="Arial"/>
          <w:szCs w:val="24"/>
        </w:rPr>
        <w:t>Mrs Nell received an amount of R 11</w:t>
      </w:r>
      <w:r w:rsidR="00C84801">
        <w:rPr>
          <w:rFonts w:cs="Arial"/>
          <w:szCs w:val="24"/>
        </w:rPr>
        <w:t> </w:t>
      </w:r>
      <w:r w:rsidR="002977D8" w:rsidRPr="00E40443">
        <w:rPr>
          <w:rFonts w:cs="Arial"/>
          <w:szCs w:val="24"/>
        </w:rPr>
        <w:t>748</w:t>
      </w:r>
      <w:r w:rsidR="00C84801">
        <w:rPr>
          <w:rFonts w:cs="Arial"/>
          <w:szCs w:val="24"/>
        </w:rPr>
        <w:t>,</w:t>
      </w:r>
      <w:r w:rsidR="002977D8" w:rsidRPr="00E40443">
        <w:rPr>
          <w:rFonts w:cs="Arial"/>
          <w:szCs w:val="24"/>
        </w:rPr>
        <w:t xml:space="preserve">59 from Yskor, which comprised </w:t>
      </w:r>
      <w:r w:rsidR="00974F22" w:rsidRPr="00E40443">
        <w:rPr>
          <w:rFonts w:cs="Arial"/>
          <w:szCs w:val="24"/>
        </w:rPr>
        <w:t xml:space="preserve">of </w:t>
      </w:r>
      <w:r w:rsidR="002977D8" w:rsidRPr="00E40443">
        <w:rPr>
          <w:rFonts w:cs="Arial"/>
          <w:szCs w:val="24"/>
        </w:rPr>
        <w:t xml:space="preserve">leave bonus, Yskor Group Life-Insurance Scheme, </w:t>
      </w:r>
      <w:r w:rsidR="00974F22" w:rsidRPr="00E40443">
        <w:rPr>
          <w:rFonts w:cs="Arial"/>
          <w:szCs w:val="24"/>
        </w:rPr>
        <w:t xml:space="preserve">and </w:t>
      </w:r>
      <w:r w:rsidR="002977D8" w:rsidRPr="00E40443">
        <w:rPr>
          <w:rFonts w:cs="Arial"/>
          <w:szCs w:val="24"/>
        </w:rPr>
        <w:t>pension due to Mr Nell. According to the records of the Master, a further pension benefit was paid directly to Mrs Nell, as nominated beneficiary, amounting to R 3</w:t>
      </w:r>
      <w:r w:rsidR="00C84801">
        <w:rPr>
          <w:rFonts w:cs="Arial"/>
          <w:szCs w:val="24"/>
        </w:rPr>
        <w:t> </w:t>
      </w:r>
      <w:r w:rsidR="002977D8" w:rsidRPr="00E40443">
        <w:rPr>
          <w:rFonts w:cs="Arial"/>
          <w:szCs w:val="24"/>
        </w:rPr>
        <w:t>242</w:t>
      </w:r>
      <w:r w:rsidR="00C84801">
        <w:rPr>
          <w:rFonts w:cs="Arial"/>
          <w:szCs w:val="24"/>
        </w:rPr>
        <w:t>,</w:t>
      </w:r>
      <w:r w:rsidR="002977D8" w:rsidRPr="00E40443">
        <w:rPr>
          <w:rFonts w:cs="Arial"/>
          <w:szCs w:val="24"/>
        </w:rPr>
        <w:t>60.</w:t>
      </w:r>
      <w:r w:rsidR="002977D8" w:rsidRPr="00E40443">
        <w:rPr>
          <w:rStyle w:val="FootnoteReference"/>
          <w:rFonts w:cs="Arial"/>
          <w:szCs w:val="24"/>
        </w:rPr>
        <w:footnoteReference w:id="183"/>
      </w:r>
    </w:p>
    <w:p w14:paraId="1D88CDEA" w14:textId="194207C0" w:rsidR="008B4AD2" w:rsidRPr="00E40443" w:rsidRDefault="00CB5F11" w:rsidP="00C5627E">
      <w:pPr>
        <w:rPr>
          <w:rFonts w:cs="Arial"/>
          <w:szCs w:val="24"/>
        </w:rPr>
      </w:pPr>
      <w:r w:rsidRPr="00E40443">
        <w:rPr>
          <w:rFonts w:cs="Arial"/>
          <w:szCs w:val="24"/>
        </w:rPr>
        <w:t>The Court was requested to determine whether Mrs Nell was entitled to her half-share in the communal property, or whether she forfeited same as a result of murdering her husband</w:t>
      </w:r>
      <w:r w:rsidR="008B4AD2" w:rsidRPr="00E40443">
        <w:rPr>
          <w:rFonts w:cs="Arial"/>
          <w:szCs w:val="24"/>
        </w:rPr>
        <w:t>.</w:t>
      </w:r>
      <w:r w:rsidR="008B4AD2" w:rsidRPr="00E40443">
        <w:rPr>
          <w:rStyle w:val="FootnoteReference"/>
          <w:rFonts w:cs="Arial"/>
          <w:szCs w:val="24"/>
        </w:rPr>
        <w:footnoteReference w:id="184"/>
      </w:r>
    </w:p>
    <w:p w14:paraId="7C3C1B62" w14:textId="31D63D2B" w:rsidR="008F2933" w:rsidRPr="00E40443" w:rsidRDefault="002977D8" w:rsidP="00C5627E">
      <w:pPr>
        <w:rPr>
          <w:rFonts w:cs="Arial"/>
          <w:szCs w:val="24"/>
        </w:rPr>
      </w:pPr>
      <w:r w:rsidRPr="00E40443">
        <w:rPr>
          <w:rFonts w:cs="Arial"/>
          <w:szCs w:val="24"/>
        </w:rPr>
        <w:t xml:space="preserve">The </w:t>
      </w:r>
      <w:r w:rsidR="00C84801">
        <w:rPr>
          <w:rFonts w:cs="Arial"/>
          <w:szCs w:val="24"/>
        </w:rPr>
        <w:t>C</w:t>
      </w:r>
      <w:r w:rsidRPr="00E40443">
        <w:rPr>
          <w:rFonts w:cs="Arial"/>
          <w:szCs w:val="24"/>
        </w:rPr>
        <w:t xml:space="preserve">ourt </w:t>
      </w:r>
      <w:r w:rsidR="00133688" w:rsidRPr="00E40443">
        <w:rPr>
          <w:rFonts w:cs="Arial"/>
          <w:szCs w:val="24"/>
        </w:rPr>
        <w:t xml:space="preserve">found no causal connection between </w:t>
      </w:r>
      <w:r w:rsidR="00B53DB9" w:rsidRPr="00E40443">
        <w:rPr>
          <w:rFonts w:cs="Arial"/>
          <w:szCs w:val="24"/>
        </w:rPr>
        <w:t xml:space="preserve">the </w:t>
      </w:r>
      <w:r w:rsidR="00133688" w:rsidRPr="00E40443">
        <w:rPr>
          <w:rFonts w:cs="Arial"/>
          <w:szCs w:val="24"/>
        </w:rPr>
        <w:t xml:space="preserve">killing </w:t>
      </w:r>
      <w:r w:rsidR="00CC17F9">
        <w:rPr>
          <w:rFonts w:cs="Arial"/>
          <w:szCs w:val="24"/>
        </w:rPr>
        <w:t xml:space="preserve">of </w:t>
      </w:r>
      <w:r w:rsidR="00133688" w:rsidRPr="00E40443">
        <w:rPr>
          <w:rFonts w:cs="Arial"/>
          <w:szCs w:val="24"/>
        </w:rPr>
        <w:t>her husband, and the benefit which Mrs Nell acquired</w:t>
      </w:r>
      <w:r w:rsidR="00B53DB9" w:rsidRPr="00E40443">
        <w:rPr>
          <w:rFonts w:cs="Arial"/>
          <w:szCs w:val="24"/>
        </w:rPr>
        <w:t>; the benefit which accrued to her was thus not as a result of her criminal conduct, and she was</w:t>
      </w:r>
      <w:r w:rsidR="00C84801">
        <w:rPr>
          <w:rFonts w:cs="Arial"/>
          <w:szCs w:val="24"/>
        </w:rPr>
        <w:t xml:space="preserve"> thus </w:t>
      </w:r>
      <w:r w:rsidR="00B53DB9" w:rsidRPr="00E40443">
        <w:rPr>
          <w:rFonts w:cs="Arial"/>
          <w:szCs w:val="24"/>
        </w:rPr>
        <w:t>entitled to the benefit she received</w:t>
      </w:r>
      <w:r w:rsidR="00BB270E" w:rsidRPr="00E40443">
        <w:rPr>
          <w:rFonts w:cs="Arial"/>
          <w:szCs w:val="24"/>
        </w:rPr>
        <w:t xml:space="preserve"> by virtue of her marriage in community of property</w:t>
      </w:r>
      <w:r w:rsidR="00B53DB9" w:rsidRPr="00E40443">
        <w:rPr>
          <w:rFonts w:cs="Arial"/>
          <w:szCs w:val="24"/>
        </w:rPr>
        <w:t>.</w:t>
      </w:r>
      <w:r w:rsidR="00984ADC" w:rsidRPr="00E40443">
        <w:rPr>
          <w:rFonts w:cs="Arial"/>
          <w:szCs w:val="24"/>
        </w:rPr>
        <w:t xml:space="preserve"> </w:t>
      </w:r>
      <w:r w:rsidR="008F2933" w:rsidRPr="00E40443">
        <w:rPr>
          <w:rFonts w:cs="Arial"/>
          <w:szCs w:val="24"/>
        </w:rPr>
        <w:t>Mrs Nell was accordingly not deprived of any asset in the communal estate as on date of death.</w:t>
      </w:r>
      <w:r w:rsidR="0016205C" w:rsidRPr="00E40443">
        <w:rPr>
          <w:rStyle w:val="FootnoteReference"/>
          <w:rFonts w:cs="Arial"/>
          <w:szCs w:val="24"/>
        </w:rPr>
        <w:footnoteReference w:id="185"/>
      </w:r>
    </w:p>
    <w:p w14:paraId="72D41CDC" w14:textId="3E68CC41" w:rsidR="007E22EF" w:rsidRPr="00E40443" w:rsidRDefault="007E22EF" w:rsidP="00C5627E">
      <w:pPr>
        <w:rPr>
          <w:rFonts w:cs="Arial"/>
          <w:szCs w:val="24"/>
        </w:rPr>
      </w:pPr>
      <w:r w:rsidRPr="00E40443">
        <w:rPr>
          <w:rFonts w:cs="Arial"/>
          <w:szCs w:val="24"/>
        </w:rPr>
        <w:t xml:space="preserve">The Court </w:t>
      </w:r>
      <w:r w:rsidR="00892C0D" w:rsidRPr="00E40443">
        <w:rPr>
          <w:rFonts w:cs="Arial"/>
          <w:szCs w:val="24"/>
        </w:rPr>
        <w:t xml:space="preserve">proceeded to </w:t>
      </w:r>
      <w:r w:rsidRPr="00E40443">
        <w:rPr>
          <w:rFonts w:cs="Arial"/>
          <w:szCs w:val="24"/>
        </w:rPr>
        <w:t>declare that Mrs Nell was not entitled to inherit from the deceased, whether testate or intestate</w:t>
      </w:r>
      <w:r w:rsidR="00892C0D" w:rsidRPr="00E40443">
        <w:rPr>
          <w:rFonts w:cs="Arial"/>
          <w:szCs w:val="24"/>
        </w:rPr>
        <w:t xml:space="preserve">, and </w:t>
      </w:r>
      <w:r w:rsidRPr="00E40443">
        <w:rPr>
          <w:rFonts w:cs="Arial"/>
          <w:szCs w:val="24"/>
        </w:rPr>
        <w:t xml:space="preserve">prohibited </w:t>
      </w:r>
      <w:r w:rsidR="00892C0D" w:rsidRPr="00E40443">
        <w:rPr>
          <w:rFonts w:cs="Arial"/>
          <w:szCs w:val="24"/>
        </w:rPr>
        <w:t xml:space="preserve">Mrs Nell from taking any </w:t>
      </w:r>
      <w:r w:rsidRPr="00E40443">
        <w:rPr>
          <w:rFonts w:cs="Arial"/>
          <w:szCs w:val="24"/>
        </w:rPr>
        <w:t>benefit accruing from the policies.</w:t>
      </w:r>
      <w:r w:rsidRPr="00E40443">
        <w:rPr>
          <w:rStyle w:val="FootnoteReference"/>
          <w:rFonts w:cs="Arial"/>
          <w:szCs w:val="24"/>
        </w:rPr>
        <w:footnoteReference w:id="186"/>
      </w:r>
      <w:r w:rsidR="00320DDC" w:rsidRPr="00E40443">
        <w:rPr>
          <w:rFonts w:cs="Arial"/>
          <w:szCs w:val="24"/>
        </w:rPr>
        <w:t xml:space="preserve"> </w:t>
      </w:r>
      <w:r w:rsidR="00892C0D" w:rsidRPr="00E40443">
        <w:rPr>
          <w:rFonts w:cs="Arial"/>
          <w:szCs w:val="24"/>
        </w:rPr>
        <w:t>Sonnekus deems i</w:t>
      </w:r>
      <w:r w:rsidR="00C84801">
        <w:rPr>
          <w:rFonts w:cs="Arial"/>
          <w:szCs w:val="24"/>
        </w:rPr>
        <w:t>t</w:t>
      </w:r>
      <w:r w:rsidR="00892C0D" w:rsidRPr="00E40443">
        <w:rPr>
          <w:rFonts w:cs="Arial"/>
          <w:szCs w:val="24"/>
        </w:rPr>
        <w:t xml:space="preserve"> relevant to note that depriving Mrs Nell of the policy proceeds is justified by the causal link between her wrongful conduct and the potential benefit.</w:t>
      </w:r>
      <w:r w:rsidR="00892C0D" w:rsidRPr="00E40443">
        <w:rPr>
          <w:rStyle w:val="FootnoteReference"/>
          <w:rFonts w:cs="Arial"/>
          <w:szCs w:val="24"/>
        </w:rPr>
        <w:footnoteReference w:id="187"/>
      </w:r>
      <w:r w:rsidR="00892C0D" w:rsidRPr="00E40443">
        <w:rPr>
          <w:rFonts w:cs="Arial"/>
          <w:szCs w:val="24"/>
        </w:rPr>
        <w:t xml:space="preserve"> </w:t>
      </w:r>
    </w:p>
    <w:p w14:paraId="1550A92A" w14:textId="77777777" w:rsidR="00682A6C" w:rsidRPr="00E40443" w:rsidRDefault="00682A6C" w:rsidP="00C5627E">
      <w:pPr>
        <w:rPr>
          <w:rFonts w:cs="Arial"/>
          <w:szCs w:val="24"/>
        </w:rPr>
      </w:pPr>
    </w:p>
    <w:p w14:paraId="78D69B26" w14:textId="67358782" w:rsidR="002977D8" w:rsidRPr="00E40443" w:rsidRDefault="002977D8" w:rsidP="00C5627E">
      <w:pPr>
        <w:pStyle w:val="Heading3"/>
        <w:numPr>
          <w:ilvl w:val="2"/>
          <w:numId w:val="20"/>
        </w:numPr>
        <w:ind w:left="851" w:hanging="851"/>
        <w:rPr>
          <w:rFonts w:cs="Arial"/>
          <w:b/>
          <w:bCs/>
        </w:rPr>
      </w:pPr>
      <w:bookmarkStart w:id="30" w:name="_Toc191216276"/>
      <w:r w:rsidRPr="00E40443">
        <w:rPr>
          <w:rFonts w:cs="Arial"/>
          <w:b/>
          <w:bCs/>
          <w:i/>
          <w:iCs/>
        </w:rPr>
        <w:t>Ex parte Meier &amp; Andere</w:t>
      </w:r>
      <w:r w:rsidRPr="00E40443">
        <w:rPr>
          <w:rFonts w:cs="Arial"/>
          <w:b/>
          <w:bCs/>
        </w:rPr>
        <w:t xml:space="preserve"> 1980 3 SA 154 (T)</w:t>
      </w:r>
      <w:bookmarkEnd w:id="30"/>
    </w:p>
    <w:p w14:paraId="5C0AF4CB" w14:textId="306C485A" w:rsidR="002977D8" w:rsidRPr="00E40443" w:rsidRDefault="00A577DB" w:rsidP="00C5627E">
      <w:pPr>
        <w:rPr>
          <w:rFonts w:cs="Arial"/>
          <w:szCs w:val="24"/>
        </w:rPr>
      </w:pPr>
      <w:r w:rsidRPr="00E40443">
        <w:rPr>
          <w:rFonts w:cs="Arial"/>
          <w:szCs w:val="24"/>
        </w:rPr>
        <w:t xml:space="preserve">Since a young age, </w:t>
      </w:r>
      <w:r w:rsidR="00683DEC" w:rsidRPr="00E40443">
        <w:rPr>
          <w:rFonts w:cs="Arial"/>
          <w:szCs w:val="24"/>
        </w:rPr>
        <w:t>Armin Karel Meier</w:t>
      </w:r>
      <w:r w:rsidR="002977D8" w:rsidRPr="00E40443">
        <w:rPr>
          <w:rFonts w:cs="Arial"/>
          <w:szCs w:val="24"/>
        </w:rPr>
        <w:t xml:space="preserve"> exhibited behavioural </w:t>
      </w:r>
      <w:r w:rsidR="003E1E28" w:rsidRPr="00E40443">
        <w:rPr>
          <w:rFonts w:cs="Arial"/>
          <w:szCs w:val="24"/>
        </w:rPr>
        <w:t>abnormalities</w:t>
      </w:r>
      <w:r w:rsidR="002977D8" w:rsidRPr="00E40443">
        <w:rPr>
          <w:rFonts w:cs="Arial"/>
          <w:szCs w:val="24"/>
        </w:rPr>
        <w:t xml:space="preserve">, </w:t>
      </w:r>
      <w:r w:rsidRPr="00E40443">
        <w:rPr>
          <w:rFonts w:cs="Arial"/>
          <w:szCs w:val="24"/>
        </w:rPr>
        <w:t xml:space="preserve">necessitating his admission to psychiatric units for treatment. As time </w:t>
      </w:r>
      <w:r w:rsidR="005C2B29" w:rsidRPr="00E40443">
        <w:rPr>
          <w:rFonts w:cs="Arial"/>
          <w:szCs w:val="24"/>
        </w:rPr>
        <w:t>progressed,</w:t>
      </w:r>
      <w:r w:rsidRPr="00E40443">
        <w:rPr>
          <w:rFonts w:cs="Arial"/>
          <w:szCs w:val="24"/>
        </w:rPr>
        <w:t xml:space="preserve"> he became more aggressive and started acting irresponsibly, which resulted in his </w:t>
      </w:r>
      <w:r w:rsidR="002977D8" w:rsidRPr="00E40443">
        <w:rPr>
          <w:rFonts w:cs="Arial"/>
          <w:szCs w:val="24"/>
        </w:rPr>
        <w:t>certif</w:t>
      </w:r>
      <w:r w:rsidRPr="00E40443">
        <w:rPr>
          <w:rFonts w:cs="Arial"/>
          <w:szCs w:val="24"/>
        </w:rPr>
        <w:t>ication</w:t>
      </w:r>
      <w:r w:rsidR="002977D8" w:rsidRPr="00E40443">
        <w:rPr>
          <w:rFonts w:cs="Arial"/>
          <w:szCs w:val="24"/>
        </w:rPr>
        <w:t xml:space="preserve"> and admi</w:t>
      </w:r>
      <w:r w:rsidRPr="00E40443">
        <w:rPr>
          <w:rFonts w:cs="Arial"/>
          <w:szCs w:val="24"/>
        </w:rPr>
        <w:t>ssion</w:t>
      </w:r>
      <w:r w:rsidR="002977D8" w:rsidRPr="00E40443">
        <w:rPr>
          <w:rFonts w:cs="Arial"/>
          <w:szCs w:val="24"/>
        </w:rPr>
        <w:t xml:space="preserve"> to Weskoppies psychiatric hospital where he received treatment for eight months. </w:t>
      </w:r>
      <w:r w:rsidR="00EB14A1">
        <w:rPr>
          <w:rFonts w:cs="Arial"/>
          <w:szCs w:val="24"/>
        </w:rPr>
        <w:t>Mr Meier</w:t>
      </w:r>
      <w:r w:rsidR="002977D8" w:rsidRPr="00E40443">
        <w:rPr>
          <w:rFonts w:cs="Arial"/>
          <w:szCs w:val="24"/>
        </w:rPr>
        <w:t xml:space="preserve"> took </w:t>
      </w:r>
      <w:r w:rsidR="00A10C89" w:rsidRPr="00E40443">
        <w:rPr>
          <w:rFonts w:cs="Arial"/>
          <w:szCs w:val="24"/>
        </w:rPr>
        <w:t>Armin</w:t>
      </w:r>
      <w:r w:rsidR="009F2F09" w:rsidRPr="00E40443">
        <w:rPr>
          <w:rFonts w:cs="Arial"/>
          <w:szCs w:val="24"/>
        </w:rPr>
        <w:t xml:space="preserve"> </w:t>
      </w:r>
      <w:r w:rsidR="002977D8" w:rsidRPr="00E40443">
        <w:rPr>
          <w:rFonts w:cs="Arial"/>
          <w:szCs w:val="24"/>
        </w:rPr>
        <w:t xml:space="preserve">home for a holiday, </w:t>
      </w:r>
      <w:r w:rsidR="00A10C89" w:rsidRPr="00E40443">
        <w:rPr>
          <w:rFonts w:cs="Arial"/>
          <w:szCs w:val="24"/>
        </w:rPr>
        <w:t xml:space="preserve">without </w:t>
      </w:r>
      <w:r w:rsidR="002977D8" w:rsidRPr="00E40443">
        <w:rPr>
          <w:rFonts w:cs="Arial"/>
          <w:szCs w:val="24"/>
        </w:rPr>
        <w:t>return</w:t>
      </w:r>
      <w:r w:rsidR="00A10C89" w:rsidRPr="00E40443">
        <w:rPr>
          <w:rFonts w:cs="Arial"/>
          <w:szCs w:val="24"/>
        </w:rPr>
        <w:t>ing</w:t>
      </w:r>
      <w:r w:rsidR="002977D8" w:rsidRPr="00E40443">
        <w:rPr>
          <w:rFonts w:cs="Arial"/>
          <w:szCs w:val="24"/>
        </w:rPr>
        <w:t xml:space="preserve"> </w:t>
      </w:r>
      <w:r w:rsidR="00A10C89" w:rsidRPr="00E40443">
        <w:rPr>
          <w:rFonts w:cs="Arial"/>
          <w:szCs w:val="24"/>
        </w:rPr>
        <w:t>him</w:t>
      </w:r>
      <w:r w:rsidR="009F2F09" w:rsidRPr="00E40443">
        <w:rPr>
          <w:rFonts w:cs="Arial"/>
          <w:szCs w:val="24"/>
        </w:rPr>
        <w:t xml:space="preserve"> to the hospital</w:t>
      </w:r>
      <w:r w:rsidR="002977D8" w:rsidRPr="00E40443">
        <w:rPr>
          <w:rFonts w:cs="Arial"/>
          <w:szCs w:val="24"/>
        </w:rPr>
        <w:t>. After some time</w:t>
      </w:r>
      <w:r w:rsidR="009F2F09" w:rsidRPr="00E40443">
        <w:rPr>
          <w:rFonts w:cs="Arial"/>
          <w:szCs w:val="24"/>
        </w:rPr>
        <w:t xml:space="preserve"> had lapsed</w:t>
      </w:r>
      <w:r w:rsidR="002977D8" w:rsidRPr="00E40443">
        <w:rPr>
          <w:rFonts w:cs="Arial"/>
          <w:szCs w:val="24"/>
        </w:rPr>
        <w:t xml:space="preserve">, a psychiatrist advised that the child </w:t>
      </w:r>
      <w:r w:rsidR="003C52FF" w:rsidRPr="00E40443">
        <w:rPr>
          <w:rFonts w:cs="Arial"/>
          <w:szCs w:val="24"/>
        </w:rPr>
        <w:t>should</w:t>
      </w:r>
      <w:r w:rsidR="002977D8" w:rsidRPr="00E40443">
        <w:rPr>
          <w:rFonts w:cs="Arial"/>
          <w:szCs w:val="24"/>
        </w:rPr>
        <w:t xml:space="preserve"> be hospitalised again, but the officials </w:t>
      </w:r>
      <w:r w:rsidR="002977D8" w:rsidRPr="00E40443">
        <w:rPr>
          <w:rFonts w:cs="Arial"/>
          <w:szCs w:val="24"/>
        </w:rPr>
        <w:lastRenderedPageBreak/>
        <w:t xml:space="preserve">refused to do so in the absence of </w:t>
      </w:r>
      <w:r w:rsidR="009F2F09" w:rsidRPr="00E40443">
        <w:rPr>
          <w:rFonts w:cs="Arial"/>
          <w:szCs w:val="24"/>
        </w:rPr>
        <w:t xml:space="preserve">the relevant </w:t>
      </w:r>
      <w:r w:rsidR="002977D8" w:rsidRPr="00E40443">
        <w:rPr>
          <w:rFonts w:cs="Arial"/>
          <w:szCs w:val="24"/>
        </w:rPr>
        <w:t>certificate. Before the certification process could be completed, the child shot and killed his father</w:t>
      </w:r>
      <w:r w:rsidR="00EF2369" w:rsidRPr="00E40443">
        <w:rPr>
          <w:rFonts w:cs="Arial"/>
          <w:szCs w:val="24"/>
        </w:rPr>
        <w:t xml:space="preserve"> in cold blood</w:t>
      </w:r>
      <w:r w:rsidR="002977D8" w:rsidRPr="00E40443">
        <w:rPr>
          <w:rFonts w:cs="Arial"/>
          <w:szCs w:val="24"/>
        </w:rPr>
        <w:t>.</w:t>
      </w:r>
      <w:r w:rsidR="002977D8" w:rsidRPr="00E40443">
        <w:rPr>
          <w:rStyle w:val="FootnoteReference"/>
          <w:rFonts w:cs="Arial"/>
          <w:szCs w:val="24"/>
        </w:rPr>
        <w:footnoteReference w:id="188"/>
      </w:r>
    </w:p>
    <w:p w14:paraId="478ED286" w14:textId="5A9FD80E" w:rsidR="00A10C89" w:rsidRPr="00E40443" w:rsidRDefault="00A10C89" w:rsidP="00C5627E">
      <w:pPr>
        <w:rPr>
          <w:rFonts w:cs="Arial"/>
          <w:szCs w:val="24"/>
        </w:rPr>
      </w:pPr>
      <w:r w:rsidRPr="00E40443">
        <w:rPr>
          <w:rFonts w:cs="Arial"/>
          <w:szCs w:val="24"/>
        </w:rPr>
        <w:t>The Court had to determine whether Armin was unaccountable for his action on the day he killed his father, and accordingly whether he was entitled to inherit from his late father.</w:t>
      </w:r>
      <w:r w:rsidRPr="00E40443">
        <w:rPr>
          <w:rStyle w:val="FootnoteReference"/>
          <w:rFonts w:cs="Arial"/>
          <w:szCs w:val="24"/>
        </w:rPr>
        <w:footnoteReference w:id="189"/>
      </w:r>
    </w:p>
    <w:p w14:paraId="4D99984C" w14:textId="2D81F560" w:rsidR="00513184" w:rsidRPr="00E40443" w:rsidRDefault="002977D8" w:rsidP="00C5627E">
      <w:pPr>
        <w:rPr>
          <w:rFonts w:cs="Arial"/>
          <w:szCs w:val="24"/>
        </w:rPr>
      </w:pPr>
      <w:r w:rsidRPr="00E40443">
        <w:rPr>
          <w:rFonts w:cs="Arial"/>
          <w:szCs w:val="24"/>
        </w:rPr>
        <w:t>Based on the medical</w:t>
      </w:r>
      <w:r w:rsidR="00675ED7" w:rsidRPr="00E40443">
        <w:rPr>
          <w:rFonts w:cs="Arial"/>
          <w:szCs w:val="24"/>
        </w:rPr>
        <w:t xml:space="preserve"> diagnosis of schizophrenia</w:t>
      </w:r>
      <w:r w:rsidRPr="00E40443">
        <w:rPr>
          <w:rFonts w:cs="Arial"/>
          <w:szCs w:val="24"/>
        </w:rPr>
        <w:t xml:space="preserve">, the Court held the child to be mentally </w:t>
      </w:r>
      <w:r w:rsidR="00675ED7" w:rsidRPr="00E40443">
        <w:rPr>
          <w:rFonts w:cs="Arial"/>
          <w:szCs w:val="24"/>
        </w:rPr>
        <w:t>incapacitated</w:t>
      </w:r>
      <w:r w:rsidRPr="00E40443">
        <w:rPr>
          <w:rFonts w:cs="Arial"/>
          <w:szCs w:val="24"/>
        </w:rPr>
        <w:t xml:space="preserve">, even </w:t>
      </w:r>
      <w:r w:rsidR="000925A1" w:rsidRPr="00E40443">
        <w:rPr>
          <w:rFonts w:cs="Arial"/>
          <w:szCs w:val="24"/>
        </w:rPr>
        <w:t>insane</w:t>
      </w:r>
      <w:r w:rsidRPr="00E40443">
        <w:rPr>
          <w:rFonts w:cs="Arial"/>
          <w:szCs w:val="24"/>
        </w:rPr>
        <w:t>, and found that the child was not criminally liable for the murder.</w:t>
      </w:r>
      <w:r w:rsidRPr="00E40443">
        <w:rPr>
          <w:rStyle w:val="FootnoteReference"/>
          <w:rFonts w:cs="Arial"/>
          <w:szCs w:val="24"/>
        </w:rPr>
        <w:footnoteReference w:id="190"/>
      </w:r>
      <w:r w:rsidRPr="00E40443">
        <w:rPr>
          <w:rFonts w:cs="Arial"/>
          <w:szCs w:val="24"/>
        </w:rPr>
        <w:t xml:space="preserve"> </w:t>
      </w:r>
      <w:r w:rsidR="00675ED7" w:rsidRPr="00E40443">
        <w:rPr>
          <w:rFonts w:cs="Arial"/>
          <w:szCs w:val="24"/>
        </w:rPr>
        <w:t xml:space="preserve">Based on the </w:t>
      </w:r>
      <w:r w:rsidR="003C52FF" w:rsidRPr="00E40443">
        <w:rPr>
          <w:rFonts w:cs="Arial"/>
          <w:szCs w:val="24"/>
        </w:rPr>
        <w:t xml:space="preserve">justification ground </w:t>
      </w:r>
      <w:r w:rsidR="00675ED7" w:rsidRPr="00E40443">
        <w:rPr>
          <w:rFonts w:cs="Arial"/>
          <w:szCs w:val="24"/>
        </w:rPr>
        <w:t xml:space="preserve">raised, no fault could be found on Armin’s </w:t>
      </w:r>
      <w:r w:rsidR="00822E9F" w:rsidRPr="00E40443">
        <w:rPr>
          <w:rFonts w:cs="Arial"/>
          <w:szCs w:val="24"/>
        </w:rPr>
        <w:t>part and</w:t>
      </w:r>
      <w:r w:rsidR="00675ED7" w:rsidRPr="00E40443">
        <w:rPr>
          <w:rFonts w:cs="Arial"/>
          <w:szCs w:val="24"/>
        </w:rPr>
        <w:t xml:space="preserve"> </w:t>
      </w:r>
      <w:r w:rsidR="00746FF0">
        <w:rPr>
          <w:rFonts w:cs="Arial"/>
          <w:szCs w:val="24"/>
        </w:rPr>
        <w:t xml:space="preserve">the Court </w:t>
      </w:r>
      <w:r w:rsidR="00675ED7" w:rsidRPr="00E40443">
        <w:rPr>
          <w:rFonts w:cs="Arial"/>
          <w:szCs w:val="24"/>
        </w:rPr>
        <w:t>ordered Armin worthy of inheriting from his late father</w:t>
      </w:r>
      <w:r w:rsidRPr="00E40443">
        <w:rPr>
          <w:rFonts w:cs="Arial"/>
          <w:szCs w:val="24"/>
        </w:rPr>
        <w:t>.</w:t>
      </w:r>
      <w:r w:rsidRPr="00E40443">
        <w:rPr>
          <w:rStyle w:val="FootnoteReference"/>
          <w:rFonts w:cs="Arial"/>
          <w:szCs w:val="24"/>
        </w:rPr>
        <w:footnoteReference w:id="191"/>
      </w:r>
    </w:p>
    <w:p w14:paraId="4DDF6544" w14:textId="77777777" w:rsidR="002977D8" w:rsidRPr="00E40443" w:rsidRDefault="002977D8" w:rsidP="00C5627E">
      <w:pPr>
        <w:rPr>
          <w:rFonts w:cs="Arial"/>
          <w:szCs w:val="24"/>
        </w:rPr>
      </w:pPr>
    </w:p>
    <w:p w14:paraId="0E3CBF97" w14:textId="0B9C8742" w:rsidR="002977D8" w:rsidRPr="00E40443" w:rsidRDefault="002977D8" w:rsidP="00C5627E">
      <w:pPr>
        <w:pStyle w:val="Heading3"/>
        <w:numPr>
          <w:ilvl w:val="2"/>
          <w:numId w:val="20"/>
        </w:numPr>
        <w:ind w:left="851" w:hanging="851"/>
        <w:rPr>
          <w:rFonts w:cs="Arial"/>
          <w:b/>
          <w:bCs/>
        </w:rPr>
      </w:pPr>
      <w:bookmarkStart w:id="31" w:name="_Toc191216277"/>
      <w:r w:rsidRPr="00E40443">
        <w:rPr>
          <w:rFonts w:cs="Arial"/>
          <w:b/>
          <w:bCs/>
          <w:i/>
          <w:iCs/>
        </w:rPr>
        <w:t>Gafin NO v Kavin</w:t>
      </w:r>
      <w:r w:rsidRPr="00E40443">
        <w:rPr>
          <w:rFonts w:cs="Arial"/>
          <w:b/>
          <w:bCs/>
        </w:rPr>
        <w:t xml:space="preserve"> 1980 4 All SA 354 (W)</w:t>
      </w:r>
      <w:bookmarkEnd w:id="31"/>
      <w:r w:rsidR="00546282" w:rsidRPr="00E40443">
        <w:rPr>
          <w:rFonts w:cs="Arial"/>
          <w:b/>
          <w:bCs/>
        </w:rPr>
        <w:t xml:space="preserve"> </w:t>
      </w:r>
    </w:p>
    <w:p w14:paraId="4B8ECE2F" w14:textId="2517AEB9" w:rsidR="002977D8" w:rsidRPr="00E40443" w:rsidRDefault="002977D8" w:rsidP="00C5627E">
      <w:pPr>
        <w:rPr>
          <w:rFonts w:cs="Arial"/>
          <w:szCs w:val="24"/>
        </w:rPr>
      </w:pPr>
      <w:r w:rsidRPr="00E40443">
        <w:rPr>
          <w:rFonts w:cs="Arial"/>
          <w:szCs w:val="24"/>
        </w:rPr>
        <w:t>Mr and Mrs Kavin were married to each other, and three children</w:t>
      </w:r>
      <w:r w:rsidR="00575A4A" w:rsidRPr="00E40443">
        <w:rPr>
          <w:rFonts w:cs="Arial"/>
          <w:szCs w:val="24"/>
        </w:rPr>
        <w:t>, to wit Adelle, Lance Jay and Debbie-Ann,</w:t>
      </w:r>
      <w:r w:rsidRPr="00E40443">
        <w:rPr>
          <w:rFonts w:cs="Arial"/>
          <w:szCs w:val="24"/>
        </w:rPr>
        <w:t xml:space="preserve"> were born from such marriage.</w:t>
      </w:r>
      <w:r w:rsidR="00341849" w:rsidRPr="00E40443">
        <w:rPr>
          <w:rStyle w:val="FootnoteReference"/>
          <w:rFonts w:cs="Arial"/>
          <w:szCs w:val="24"/>
        </w:rPr>
        <w:footnoteReference w:id="192"/>
      </w:r>
    </w:p>
    <w:p w14:paraId="4088C21B" w14:textId="02A6E282" w:rsidR="002977D8" w:rsidRPr="00E40443" w:rsidRDefault="002977D8" w:rsidP="00C5627E">
      <w:pPr>
        <w:rPr>
          <w:rFonts w:cs="Arial"/>
          <w:szCs w:val="24"/>
        </w:rPr>
      </w:pPr>
      <w:r w:rsidRPr="00E40443">
        <w:rPr>
          <w:rFonts w:cs="Arial"/>
          <w:szCs w:val="24"/>
        </w:rPr>
        <w:t xml:space="preserve">The joint will executed </w:t>
      </w:r>
      <w:r w:rsidR="000D0533" w:rsidRPr="00E40443">
        <w:rPr>
          <w:rFonts w:cs="Arial"/>
          <w:szCs w:val="24"/>
        </w:rPr>
        <w:t xml:space="preserve">by the parties </w:t>
      </w:r>
      <w:r w:rsidRPr="00E40443">
        <w:rPr>
          <w:rFonts w:cs="Arial"/>
          <w:szCs w:val="24"/>
        </w:rPr>
        <w:t xml:space="preserve">on 8 March 1971, which was supplemented by a codicil dated 11 June 1975, appointed the surviving spouse as sole </w:t>
      </w:r>
      <w:r w:rsidR="0058650E" w:rsidRPr="00E40443">
        <w:rPr>
          <w:rFonts w:cs="Arial"/>
          <w:szCs w:val="24"/>
        </w:rPr>
        <w:t xml:space="preserve">and exclusive </w:t>
      </w:r>
      <w:r w:rsidR="009F2F09" w:rsidRPr="00E40443">
        <w:rPr>
          <w:rFonts w:cs="Arial"/>
          <w:szCs w:val="24"/>
        </w:rPr>
        <w:t>heir</w:t>
      </w:r>
      <w:r w:rsidRPr="00E40443">
        <w:rPr>
          <w:rFonts w:cs="Arial"/>
          <w:szCs w:val="24"/>
        </w:rPr>
        <w:t xml:space="preserve"> of the deceased’s </w:t>
      </w:r>
      <w:r w:rsidR="000D0533" w:rsidRPr="00E40443">
        <w:rPr>
          <w:rFonts w:cs="Arial"/>
          <w:szCs w:val="24"/>
        </w:rPr>
        <w:t xml:space="preserve">entire </w:t>
      </w:r>
      <w:r w:rsidR="0058650E" w:rsidRPr="00E40443">
        <w:rPr>
          <w:rFonts w:cs="Arial"/>
          <w:szCs w:val="24"/>
        </w:rPr>
        <w:t>estate</w:t>
      </w:r>
      <w:r w:rsidR="000D0533" w:rsidRPr="00E40443">
        <w:rPr>
          <w:rFonts w:cs="Arial"/>
          <w:szCs w:val="24"/>
        </w:rPr>
        <w:t xml:space="preserve">, both </w:t>
      </w:r>
      <w:r w:rsidR="0058650E" w:rsidRPr="00E40443">
        <w:rPr>
          <w:rFonts w:cs="Arial"/>
          <w:szCs w:val="24"/>
        </w:rPr>
        <w:t xml:space="preserve">movable </w:t>
      </w:r>
      <w:r w:rsidR="000D0533" w:rsidRPr="00E40443">
        <w:rPr>
          <w:rFonts w:cs="Arial"/>
          <w:szCs w:val="24"/>
        </w:rPr>
        <w:t xml:space="preserve">and </w:t>
      </w:r>
      <w:r w:rsidR="0058650E" w:rsidRPr="00E40443">
        <w:rPr>
          <w:rFonts w:cs="Arial"/>
          <w:szCs w:val="24"/>
        </w:rPr>
        <w:t>immovable</w:t>
      </w:r>
      <w:r w:rsidRPr="00E40443">
        <w:rPr>
          <w:rFonts w:cs="Arial"/>
          <w:szCs w:val="24"/>
        </w:rPr>
        <w:t>.</w:t>
      </w:r>
      <w:r w:rsidRPr="00E40443">
        <w:rPr>
          <w:rStyle w:val="FootnoteReference"/>
          <w:rFonts w:cs="Arial"/>
          <w:szCs w:val="24"/>
        </w:rPr>
        <w:footnoteReference w:id="193"/>
      </w:r>
    </w:p>
    <w:p w14:paraId="598B6843" w14:textId="3EFD5846" w:rsidR="002977D8" w:rsidRPr="00E40443" w:rsidRDefault="002977D8" w:rsidP="00C5627E">
      <w:pPr>
        <w:rPr>
          <w:rFonts w:cs="Arial"/>
          <w:szCs w:val="24"/>
        </w:rPr>
      </w:pPr>
      <w:r w:rsidRPr="00E40443">
        <w:rPr>
          <w:rFonts w:cs="Arial"/>
          <w:szCs w:val="24"/>
        </w:rPr>
        <w:t>On 7 June 1977, Mr Kavin shot and killed</w:t>
      </w:r>
      <w:r w:rsidR="002D1611" w:rsidRPr="00E40443">
        <w:rPr>
          <w:rFonts w:cs="Arial"/>
          <w:szCs w:val="24"/>
        </w:rPr>
        <w:t xml:space="preserve"> Denise,</w:t>
      </w:r>
      <w:r w:rsidR="0058650E" w:rsidRPr="00E40443">
        <w:rPr>
          <w:rFonts w:cs="Arial"/>
          <w:szCs w:val="24"/>
        </w:rPr>
        <w:t xml:space="preserve"> Adelle and Lance Jay,</w:t>
      </w:r>
      <w:r w:rsidRPr="00E40443">
        <w:rPr>
          <w:rFonts w:cs="Arial"/>
          <w:szCs w:val="24"/>
        </w:rPr>
        <w:t xml:space="preserve"> </w:t>
      </w:r>
      <w:r w:rsidR="000D0533" w:rsidRPr="00E40443">
        <w:rPr>
          <w:rFonts w:cs="Arial"/>
          <w:szCs w:val="24"/>
        </w:rPr>
        <w:t xml:space="preserve">and </w:t>
      </w:r>
      <w:r w:rsidR="0058650E" w:rsidRPr="00E40443">
        <w:rPr>
          <w:rFonts w:cs="Arial"/>
          <w:szCs w:val="24"/>
        </w:rPr>
        <w:t>seriously inju</w:t>
      </w:r>
      <w:r w:rsidR="000D0533" w:rsidRPr="00E40443">
        <w:rPr>
          <w:rFonts w:cs="Arial"/>
          <w:szCs w:val="24"/>
        </w:rPr>
        <w:t>r</w:t>
      </w:r>
      <w:r w:rsidR="00EB14A1">
        <w:rPr>
          <w:rFonts w:cs="Arial"/>
          <w:szCs w:val="24"/>
        </w:rPr>
        <w:t>ed</w:t>
      </w:r>
      <w:r w:rsidR="0058650E" w:rsidRPr="00E40443">
        <w:rPr>
          <w:rFonts w:cs="Arial"/>
          <w:szCs w:val="24"/>
        </w:rPr>
        <w:t xml:space="preserve"> Debbie-Ann, wher</w:t>
      </w:r>
      <w:r w:rsidR="00515103" w:rsidRPr="00E40443">
        <w:rPr>
          <w:rFonts w:cs="Arial"/>
          <w:szCs w:val="24"/>
        </w:rPr>
        <w:t>e</w:t>
      </w:r>
      <w:r w:rsidR="0058650E" w:rsidRPr="00E40443">
        <w:rPr>
          <w:rFonts w:cs="Arial"/>
          <w:szCs w:val="24"/>
        </w:rPr>
        <w:t xml:space="preserve">after he was charged with </w:t>
      </w:r>
      <w:r w:rsidRPr="00E40443">
        <w:rPr>
          <w:rFonts w:cs="Arial"/>
          <w:szCs w:val="24"/>
        </w:rPr>
        <w:t xml:space="preserve">three counts of murder and one of attempted murder. </w:t>
      </w:r>
      <w:r w:rsidR="002D1611" w:rsidRPr="00E40443">
        <w:rPr>
          <w:rFonts w:cs="Arial"/>
          <w:szCs w:val="24"/>
        </w:rPr>
        <w:t xml:space="preserve">By virtue of the agreement that the </w:t>
      </w:r>
      <w:r w:rsidR="0058650E" w:rsidRPr="00E40443">
        <w:rPr>
          <w:rFonts w:cs="Arial"/>
          <w:szCs w:val="24"/>
        </w:rPr>
        <w:t>evidence</w:t>
      </w:r>
      <w:r w:rsidR="0058650E" w:rsidRPr="00E40443">
        <w:rPr>
          <w:rStyle w:val="FootnoteReference"/>
          <w:rFonts w:cs="Arial"/>
          <w:szCs w:val="24"/>
        </w:rPr>
        <w:footnoteReference w:id="194"/>
      </w:r>
      <w:r w:rsidR="0058650E" w:rsidRPr="00E40443">
        <w:rPr>
          <w:rFonts w:cs="Arial"/>
          <w:szCs w:val="24"/>
        </w:rPr>
        <w:t xml:space="preserve"> </w:t>
      </w:r>
      <w:r w:rsidR="002D1611" w:rsidRPr="00E40443">
        <w:rPr>
          <w:rFonts w:cs="Arial"/>
          <w:szCs w:val="24"/>
        </w:rPr>
        <w:t xml:space="preserve">of the criminal </w:t>
      </w:r>
      <w:r w:rsidR="00EB14A1">
        <w:rPr>
          <w:rFonts w:cs="Arial"/>
          <w:szCs w:val="24"/>
        </w:rPr>
        <w:t xml:space="preserve">trial </w:t>
      </w:r>
      <w:r w:rsidR="002D1611" w:rsidRPr="00E40443">
        <w:rPr>
          <w:rFonts w:cs="Arial"/>
          <w:szCs w:val="24"/>
        </w:rPr>
        <w:t>be admitted</w:t>
      </w:r>
      <w:r w:rsidR="0023356C" w:rsidRPr="00E40443">
        <w:rPr>
          <w:rFonts w:cs="Arial"/>
          <w:szCs w:val="24"/>
        </w:rPr>
        <w:t>, various facts could be accepted</w:t>
      </w:r>
      <w:r w:rsidRPr="00E40443">
        <w:rPr>
          <w:rFonts w:cs="Arial"/>
          <w:szCs w:val="24"/>
        </w:rPr>
        <w:t>.</w:t>
      </w:r>
      <w:r w:rsidRPr="00E40443">
        <w:rPr>
          <w:rStyle w:val="FootnoteReference"/>
          <w:rFonts w:cs="Arial"/>
          <w:szCs w:val="24"/>
        </w:rPr>
        <w:footnoteReference w:id="195"/>
      </w:r>
      <w:r w:rsidR="002D1611" w:rsidRPr="00E40443">
        <w:rPr>
          <w:rFonts w:cs="Arial"/>
          <w:szCs w:val="24"/>
        </w:rPr>
        <w:t xml:space="preserve"> </w:t>
      </w:r>
    </w:p>
    <w:p w14:paraId="7813F0CF" w14:textId="48681EAD" w:rsidR="000D0533" w:rsidRPr="00E40443" w:rsidRDefault="000D0533" w:rsidP="00C5627E">
      <w:pPr>
        <w:rPr>
          <w:rFonts w:cs="Arial"/>
          <w:szCs w:val="24"/>
        </w:rPr>
      </w:pPr>
      <w:r w:rsidRPr="00E40443">
        <w:rPr>
          <w:rFonts w:cs="Arial"/>
          <w:szCs w:val="24"/>
        </w:rPr>
        <w:t>Amongst others, was accepted the medical experts’ unanimous finding that Mr Kavin</w:t>
      </w:r>
      <w:r w:rsidR="009F7269" w:rsidRPr="00E40443">
        <w:rPr>
          <w:rFonts w:cs="Arial"/>
          <w:szCs w:val="24"/>
        </w:rPr>
        <w:t>’s mental illness prevented him f</w:t>
      </w:r>
      <w:r w:rsidR="006912C9" w:rsidRPr="00E40443">
        <w:rPr>
          <w:rFonts w:cs="Arial"/>
          <w:szCs w:val="24"/>
        </w:rPr>
        <w:t>r</w:t>
      </w:r>
      <w:r w:rsidR="009F7269" w:rsidRPr="00E40443">
        <w:rPr>
          <w:rFonts w:cs="Arial"/>
          <w:szCs w:val="24"/>
        </w:rPr>
        <w:t xml:space="preserve">om acting in accordance with the </w:t>
      </w:r>
      <w:r w:rsidRPr="00E40443">
        <w:rPr>
          <w:rFonts w:cs="Arial"/>
          <w:szCs w:val="24"/>
        </w:rPr>
        <w:t>appreciation of the wrongfulness of his conduct</w:t>
      </w:r>
      <w:r w:rsidR="00124C0B" w:rsidRPr="00E40443">
        <w:rPr>
          <w:rFonts w:cs="Arial"/>
          <w:szCs w:val="24"/>
        </w:rPr>
        <w:t>, and the criminal Court’s finding that Mr Kavin was not guilty of the charges against him</w:t>
      </w:r>
      <w:r w:rsidR="009F7269" w:rsidRPr="00E40443">
        <w:rPr>
          <w:rFonts w:cs="Arial"/>
          <w:szCs w:val="24"/>
        </w:rPr>
        <w:t>.</w:t>
      </w:r>
      <w:r w:rsidR="00C40DD8" w:rsidRPr="00E40443">
        <w:rPr>
          <w:rStyle w:val="FootnoteReference"/>
          <w:rFonts w:cs="Arial"/>
          <w:szCs w:val="24"/>
        </w:rPr>
        <w:footnoteReference w:id="196"/>
      </w:r>
    </w:p>
    <w:p w14:paraId="2A40DA9A" w14:textId="7709087E" w:rsidR="0058650E" w:rsidRPr="00E40443" w:rsidRDefault="00124C0B" w:rsidP="00C5627E">
      <w:pPr>
        <w:rPr>
          <w:rFonts w:cs="Arial"/>
          <w:szCs w:val="24"/>
        </w:rPr>
      </w:pPr>
      <w:r w:rsidRPr="00E40443">
        <w:rPr>
          <w:rFonts w:cs="Arial"/>
          <w:szCs w:val="24"/>
        </w:rPr>
        <w:lastRenderedPageBreak/>
        <w:t>There appeared to be uncertainty regarding Mr Kavin’s worthiness to inherit in terms of the will</w:t>
      </w:r>
      <w:r w:rsidR="004C7380" w:rsidRPr="00E40443">
        <w:rPr>
          <w:rFonts w:cs="Arial"/>
          <w:szCs w:val="24"/>
        </w:rPr>
        <w:t>, and the</w:t>
      </w:r>
      <w:r w:rsidRPr="00E40443">
        <w:rPr>
          <w:rFonts w:cs="Arial"/>
          <w:szCs w:val="24"/>
        </w:rPr>
        <w:t xml:space="preserve"> </w:t>
      </w:r>
      <w:r w:rsidR="004C7380" w:rsidRPr="00E40443">
        <w:rPr>
          <w:rFonts w:cs="Arial"/>
          <w:szCs w:val="24"/>
        </w:rPr>
        <w:t xml:space="preserve">Court was then approached for a </w:t>
      </w:r>
      <w:r w:rsidR="00E6449D" w:rsidRPr="00E40443">
        <w:rPr>
          <w:rFonts w:cs="Arial"/>
          <w:szCs w:val="24"/>
        </w:rPr>
        <w:t>declaratory</w:t>
      </w:r>
      <w:r w:rsidR="004C7380" w:rsidRPr="00E40443">
        <w:rPr>
          <w:rFonts w:cs="Arial"/>
          <w:szCs w:val="24"/>
        </w:rPr>
        <w:t xml:space="preserve"> order on advice of the </w:t>
      </w:r>
      <w:r w:rsidRPr="00E40443">
        <w:rPr>
          <w:rFonts w:cs="Arial"/>
          <w:szCs w:val="24"/>
        </w:rPr>
        <w:t>Master</w:t>
      </w:r>
      <w:r w:rsidR="004C7380" w:rsidRPr="00E40443">
        <w:rPr>
          <w:rFonts w:cs="Arial"/>
          <w:szCs w:val="24"/>
        </w:rPr>
        <w:t>.</w:t>
      </w:r>
      <w:r w:rsidR="008F1A99" w:rsidRPr="00E40443">
        <w:rPr>
          <w:rStyle w:val="FootnoteReference"/>
          <w:rFonts w:cs="Arial"/>
          <w:szCs w:val="24"/>
        </w:rPr>
        <w:footnoteReference w:id="197"/>
      </w:r>
    </w:p>
    <w:p w14:paraId="6182CB3C" w14:textId="5CACAD14" w:rsidR="001B5702" w:rsidRPr="00E40443" w:rsidRDefault="001B5702" w:rsidP="00C5627E">
      <w:pPr>
        <w:rPr>
          <w:rFonts w:cs="Arial"/>
          <w:szCs w:val="24"/>
        </w:rPr>
      </w:pPr>
      <w:r w:rsidRPr="00E40443">
        <w:rPr>
          <w:rFonts w:cs="Arial"/>
          <w:szCs w:val="24"/>
        </w:rPr>
        <w:t>The Court was tasked to determine whether Mr Kavin’s unlawful conduct rendered him unworthy to inherit in accordance with provisions of the will, as supplemented.</w:t>
      </w:r>
    </w:p>
    <w:p w14:paraId="5548C462" w14:textId="37512B75" w:rsidR="00CA14D5" w:rsidRPr="00E40443" w:rsidRDefault="001B5702" w:rsidP="00C5627E">
      <w:pPr>
        <w:rPr>
          <w:rFonts w:cs="Arial"/>
          <w:szCs w:val="24"/>
        </w:rPr>
      </w:pPr>
      <w:r w:rsidRPr="00E40443">
        <w:rPr>
          <w:rFonts w:cs="Arial"/>
          <w:szCs w:val="24"/>
        </w:rPr>
        <w:t xml:space="preserve">Considering Voet’s view that </w:t>
      </w:r>
      <w:r w:rsidR="00EB14A1">
        <w:rPr>
          <w:rFonts w:cs="Arial"/>
          <w:szCs w:val="24"/>
        </w:rPr>
        <w:t xml:space="preserve">there </w:t>
      </w:r>
      <w:r w:rsidRPr="00E40443">
        <w:rPr>
          <w:rFonts w:cs="Arial"/>
          <w:szCs w:val="24"/>
        </w:rPr>
        <w:t>ought not be a penalty in the absence of blame, Grotius’ submission that entitlement to inherit is founded on criminal conduct, and Lee &amp; Honoré’s statement that a person is unworthy if he or she intentionally and recklessly</w:t>
      </w:r>
      <w:r w:rsidR="00ED0A51" w:rsidRPr="00E40443">
        <w:rPr>
          <w:rFonts w:cs="Arial"/>
          <w:szCs w:val="24"/>
        </w:rPr>
        <w:t xml:space="preserve"> caused the testators death</w:t>
      </w:r>
      <w:r w:rsidRPr="00E40443">
        <w:rPr>
          <w:rFonts w:cs="Arial"/>
          <w:szCs w:val="24"/>
        </w:rPr>
        <w:t>,</w:t>
      </w:r>
      <w:r w:rsidR="00ED0A51" w:rsidRPr="00E40443">
        <w:rPr>
          <w:rStyle w:val="FootnoteReference"/>
          <w:rFonts w:cs="Arial"/>
          <w:szCs w:val="24"/>
        </w:rPr>
        <w:footnoteReference w:id="198"/>
      </w:r>
      <w:r w:rsidR="00EB14A1">
        <w:rPr>
          <w:rFonts w:cs="Arial"/>
          <w:szCs w:val="24"/>
        </w:rPr>
        <w:t xml:space="preserve"> t</w:t>
      </w:r>
      <w:r w:rsidR="00DC30F2" w:rsidRPr="00E40443">
        <w:rPr>
          <w:rFonts w:cs="Arial"/>
          <w:szCs w:val="24"/>
        </w:rPr>
        <w:t xml:space="preserve">he </w:t>
      </w:r>
      <w:r w:rsidR="009C5EC3">
        <w:rPr>
          <w:rFonts w:cs="Arial"/>
          <w:szCs w:val="24"/>
        </w:rPr>
        <w:t>a</w:t>
      </w:r>
      <w:r w:rsidR="00DC30F2" w:rsidRPr="00E40443">
        <w:rPr>
          <w:rFonts w:cs="Arial"/>
          <w:szCs w:val="24"/>
        </w:rPr>
        <w:t>pplicant’s case was dismissed for fail</w:t>
      </w:r>
      <w:r w:rsidR="00EB14A1">
        <w:rPr>
          <w:rFonts w:cs="Arial"/>
          <w:szCs w:val="24"/>
        </w:rPr>
        <w:t>ing</w:t>
      </w:r>
      <w:r w:rsidR="00DC30F2" w:rsidRPr="00E40443">
        <w:rPr>
          <w:rFonts w:cs="Arial"/>
          <w:szCs w:val="24"/>
        </w:rPr>
        <w:t xml:space="preserve"> </w:t>
      </w:r>
      <w:r w:rsidR="00EB14A1">
        <w:rPr>
          <w:rFonts w:cs="Arial"/>
          <w:szCs w:val="24"/>
        </w:rPr>
        <w:t>to discharge</w:t>
      </w:r>
      <w:r w:rsidR="00DC30F2" w:rsidRPr="00E40443">
        <w:rPr>
          <w:rFonts w:cs="Arial"/>
          <w:szCs w:val="24"/>
        </w:rPr>
        <w:t xml:space="preserve"> the onus on him, and the Court accordingly held that Mr Kavin is entitled to inherit from the deceased</w:t>
      </w:r>
      <w:r w:rsidR="00CA14D5" w:rsidRPr="00E40443">
        <w:rPr>
          <w:rFonts w:cs="Arial"/>
          <w:szCs w:val="24"/>
        </w:rPr>
        <w:t>.</w:t>
      </w:r>
      <w:r w:rsidR="00CA14D5" w:rsidRPr="00E40443">
        <w:rPr>
          <w:rStyle w:val="FootnoteReference"/>
          <w:rFonts w:cs="Arial"/>
          <w:szCs w:val="24"/>
        </w:rPr>
        <w:footnoteReference w:id="199"/>
      </w:r>
    </w:p>
    <w:p w14:paraId="3F7A1B67" w14:textId="77777777" w:rsidR="00784DCC" w:rsidRPr="00E40443" w:rsidRDefault="00784DCC" w:rsidP="00C5627E">
      <w:pPr>
        <w:rPr>
          <w:rFonts w:cs="Arial"/>
          <w:szCs w:val="24"/>
        </w:rPr>
      </w:pPr>
    </w:p>
    <w:p w14:paraId="11B9D12A" w14:textId="0EFD9A37" w:rsidR="002977D8" w:rsidRPr="00E40443" w:rsidRDefault="002977D8" w:rsidP="00C5627E">
      <w:pPr>
        <w:pStyle w:val="Heading3"/>
        <w:numPr>
          <w:ilvl w:val="2"/>
          <w:numId w:val="20"/>
        </w:numPr>
        <w:ind w:left="851" w:hanging="851"/>
        <w:rPr>
          <w:rFonts w:cs="Arial"/>
          <w:b/>
          <w:bCs/>
        </w:rPr>
      </w:pPr>
      <w:bookmarkStart w:id="32" w:name="_Toc191216278"/>
      <w:r w:rsidRPr="00E40443">
        <w:rPr>
          <w:rFonts w:cs="Arial"/>
          <w:b/>
          <w:bCs/>
          <w:i/>
          <w:iCs/>
        </w:rPr>
        <w:t>Casey NO v The Master &amp; Others</w:t>
      </w:r>
      <w:r w:rsidRPr="00E40443">
        <w:rPr>
          <w:rFonts w:cs="Arial"/>
          <w:b/>
          <w:bCs/>
        </w:rPr>
        <w:t xml:space="preserve"> 1992 4 SA 505 (N)</w:t>
      </w:r>
      <w:bookmarkEnd w:id="32"/>
      <w:r w:rsidR="00CA3441" w:rsidRPr="00E40443">
        <w:rPr>
          <w:rFonts w:cs="Arial"/>
          <w:b/>
          <w:bCs/>
        </w:rPr>
        <w:t xml:space="preserve"> </w:t>
      </w:r>
    </w:p>
    <w:p w14:paraId="6946A704" w14:textId="1027F174" w:rsidR="006871F3" w:rsidRPr="00E40443" w:rsidRDefault="006871F3" w:rsidP="00C5627E">
      <w:pPr>
        <w:rPr>
          <w:rFonts w:cs="Arial"/>
          <w:szCs w:val="24"/>
        </w:rPr>
      </w:pPr>
      <w:r w:rsidRPr="00E40443">
        <w:rPr>
          <w:rFonts w:cs="Arial"/>
          <w:szCs w:val="24"/>
        </w:rPr>
        <w:t xml:space="preserve">Colin Brian Davies and Lynn Margaret </w:t>
      </w:r>
      <w:r w:rsidR="002977D8" w:rsidRPr="00E40443">
        <w:rPr>
          <w:rFonts w:cs="Arial"/>
          <w:szCs w:val="24"/>
        </w:rPr>
        <w:t xml:space="preserve">Davies, who were married to each other in community of property, executed a joint will </w:t>
      </w:r>
      <w:r w:rsidR="00EC6E9E" w:rsidRPr="00E40443">
        <w:rPr>
          <w:rFonts w:cs="Arial"/>
          <w:szCs w:val="24"/>
        </w:rPr>
        <w:t>on 17 October 1</w:t>
      </w:r>
      <w:r w:rsidR="002977D8" w:rsidRPr="00E40443">
        <w:rPr>
          <w:rFonts w:cs="Arial"/>
          <w:szCs w:val="24"/>
        </w:rPr>
        <w:t>985</w:t>
      </w:r>
      <w:r w:rsidRPr="00E40443">
        <w:rPr>
          <w:rFonts w:cs="Arial"/>
          <w:szCs w:val="24"/>
        </w:rPr>
        <w:t>. The said will appointed the surviving spouse as sole heir to the joint estate.</w:t>
      </w:r>
      <w:r w:rsidR="00391BDC" w:rsidRPr="00E40443">
        <w:rPr>
          <w:rStyle w:val="FootnoteReference"/>
          <w:rFonts w:cs="Arial"/>
          <w:szCs w:val="24"/>
        </w:rPr>
        <w:footnoteReference w:id="200"/>
      </w:r>
    </w:p>
    <w:p w14:paraId="2099EEA8" w14:textId="65BC7A93" w:rsidR="002977D8" w:rsidRPr="00E40443" w:rsidRDefault="006871F3" w:rsidP="00C5627E">
      <w:pPr>
        <w:rPr>
          <w:rFonts w:cs="Arial"/>
          <w:szCs w:val="24"/>
        </w:rPr>
      </w:pPr>
      <w:r w:rsidRPr="00E40443">
        <w:rPr>
          <w:rFonts w:cs="Arial"/>
          <w:szCs w:val="24"/>
        </w:rPr>
        <w:t>On the 8</w:t>
      </w:r>
      <w:r w:rsidRPr="00E40443">
        <w:rPr>
          <w:rFonts w:cs="Arial"/>
          <w:szCs w:val="24"/>
          <w:vertAlign w:val="superscript"/>
        </w:rPr>
        <w:t>th</w:t>
      </w:r>
      <w:r w:rsidRPr="00E40443">
        <w:rPr>
          <w:rFonts w:cs="Arial"/>
          <w:szCs w:val="24"/>
        </w:rPr>
        <w:t xml:space="preserve"> of February 19</w:t>
      </w:r>
      <w:r w:rsidR="00FE1D11" w:rsidRPr="00E40443">
        <w:rPr>
          <w:rFonts w:cs="Arial"/>
          <w:szCs w:val="24"/>
        </w:rPr>
        <w:t>89</w:t>
      </w:r>
      <w:r w:rsidRPr="00E40443">
        <w:rPr>
          <w:rFonts w:cs="Arial"/>
          <w:szCs w:val="24"/>
        </w:rPr>
        <w:t xml:space="preserve">, </w:t>
      </w:r>
      <w:r w:rsidR="002977D8" w:rsidRPr="00E40443">
        <w:rPr>
          <w:rFonts w:cs="Arial"/>
          <w:szCs w:val="24"/>
        </w:rPr>
        <w:t xml:space="preserve">Mr Davies </w:t>
      </w:r>
      <w:r w:rsidR="00355231" w:rsidRPr="00E40443">
        <w:rPr>
          <w:rFonts w:cs="Arial"/>
          <w:szCs w:val="24"/>
        </w:rPr>
        <w:t>was under the influence of the intoxicating liquor he had consumed</w:t>
      </w:r>
      <w:r w:rsidR="001F7C15">
        <w:rPr>
          <w:rFonts w:cs="Arial"/>
          <w:szCs w:val="24"/>
        </w:rPr>
        <w:t>.</w:t>
      </w:r>
      <w:r w:rsidR="00355231" w:rsidRPr="00E40443">
        <w:rPr>
          <w:rFonts w:cs="Arial"/>
          <w:szCs w:val="24"/>
        </w:rPr>
        <w:t xml:space="preserve"> </w:t>
      </w:r>
      <w:r w:rsidR="001F7C15">
        <w:rPr>
          <w:rFonts w:cs="Arial"/>
          <w:szCs w:val="24"/>
        </w:rPr>
        <w:t>H</w:t>
      </w:r>
      <w:r w:rsidR="00355231" w:rsidRPr="00E40443">
        <w:rPr>
          <w:rFonts w:cs="Arial"/>
          <w:szCs w:val="24"/>
        </w:rPr>
        <w:t>e was</w:t>
      </w:r>
      <w:r w:rsidR="001F7C15">
        <w:rPr>
          <w:rFonts w:cs="Arial"/>
          <w:szCs w:val="24"/>
        </w:rPr>
        <w:t>,</w:t>
      </w:r>
      <w:r w:rsidR="00355231" w:rsidRPr="00E40443">
        <w:rPr>
          <w:rFonts w:cs="Arial"/>
          <w:szCs w:val="24"/>
        </w:rPr>
        <w:t xml:space="preserve"> however</w:t>
      </w:r>
      <w:r w:rsidR="001F7C15">
        <w:rPr>
          <w:rFonts w:cs="Arial"/>
          <w:szCs w:val="24"/>
        </w:rPr>
        <w:t>,</w:t>
      </w:r>
      <w:r w:rsidR="00355231" w:rsidRPr="00E40443">
        <w:rPr>
          <w:rFonts w:cs="Arial"/>
          <w:szCs w:val="24"/>
        </w:rPr>
        <w:t xml:space="preserve"> still aware of what he was doing. He pressed the hammer of the pistol down, but the hammer slipped from beneath his thumb and discharged a single round. As a result of this wound, Mrs Davies died on 9 February 1990.</w:t>
      </w:r>
      <w:r w:rsidR="00FE1D11" w:rsidRPr="00E40443">
        <w:rPr>
          <w:rStyle w:val="FootnoteReference"/>
          <w:rFonts w:cs="Arial"/>
          <w:szCs w:val="24"/>
        </w:rPr>
        <w:footnoteReference w:id="201"/>
      </w:r>
    </w:p>
    <w:p w14:paraId="1AFC961F" w14:textId="700EDC13" w:rsidR="002263E5" w:rsidRPr="00E40443" w:rsidRDefault="00AB4586" w:rsidP="00C5627E">
      <w:pPr>
        <w:rPr>
          <w:rFonts w:cs="Arial"/>
          <w:szCs w:val="24"/>
        </w:rPr>
      </w:pPr>
      <w:r w:rsidRPr="00E40443">
        <w:rPr>
          <w:rFonts w:cs="Arial"/>
          <w:szCs w:val="24"/>
        </w:rPr>
        <w:t xml:space="preserve">Mr Davies </w:t>
      </w:r>
      <w:r w:rsidR="002263E5" w:rsidRPr="00E40443">
        <w:rPr>
          <w:rFonts w:cs="Arial"/>
          <w:szCs w:val="24"/>
        </w:rPr>
        <w:t xml:space="preserve">was convicted of culpable homicide for the negligent killing of his wife after pleading guilty </w:t>
      </w:r>
      <w:r w:rsidR="00EB14A1">
        <w:rPr>
          <w:rFonts w:cs="Arial"/>
          <w:szCs w:val="24"/>
        </w:rPr>
        <w:t>t</w:t>
      </w:r>
      <w:r w:rsidR="002263E5" w:rsidRPr="00E40443">
        <w:rPr>
          <w:rFonts w:cs="Arial"/>
          <w:szCs w:val="24"/>
        </w:rPr>
        <w:t>o such crime</w:t>
      </w:r>
      <w:r w:rsidR="00C257C2" w:rsidRPr="00E40443">
        <w:rPr>
          <w:rFonts w:cs="Arial"/>
          <w:szCs w:val="24"/>
        </w:rPr>
        <w:t xml:space="preserve">, and </w:t>
      </w:r>
      <w:r w:rsidR="002263E5" w:rsidRPr="00E40443">
        <w:rPr>
          <w:rFonts w:cs="Arial"/>
          <w:szCs w:val="24"/>
        </w:rPr>
        <w:t>sentence</w:t>
      </w:r>
      <w:r w:rsidR="00C257C2" w:rsidRPr="00E40443">
        <w:rPr>
          <w:rFonts w:cs="Arial"/>
          <w:szCs w:val="24"/>
        </w:rPr>
        <w:t xml:space="preserve">d to </w:t>
      </w:r>
      <w:r w:rsidR="002263E5" w:rsidRPr="00E40443">
        <w:rPr>
          <w:rFonts w:cs="Arial"/>
          <w:szCs w:val="24"/>
        </w:rPr>
        <w:t>3 years</w:t>
      </w:r>
      <w:r w:rsidR="00C257C2" w:rsidRPr="00E40443">
        <w:rPr>
          <w:rFonts w:cs="Arial"/>
          <w:szCs w:val="24"/>
        </w:rPr>
        <w:t>’ imprisonment, which sentence was wholly suspended</w:t>
      </w:r>
      <w:r w:rsidR="002263E5" w:rsidRPr="00E40443">
        <w:rPr>
          <w:rFonts w:cs="Arial"/>
          <w:szCs w:val="24"/>
        </w:rPr>
        <w:t>.</w:t>
      </w:r>
      <w:r w:rsidR="002263E5" w:rsidRPr="00E40443">
        <w:rPr>
          <w:rStyle w:val="FootnoteReference"/>
          <w:rFonts w:cs="Arial"/>
          <w:szCs w:val="24"/>
        </w:rPr>
        <w:footnoteReference w:id="202"/>
      </w:r>
    </w:p>
    <w:p w14:paraId="23988631" w14:textId="3613F7E9" w:rsidR="00AB4586" w:rsidRPr="00E40443" w:rsidRDefault="003B1C2A" w:rsidP="00C5627E">
      <w:pPr>
        <w:rPr>
          <w:rFonts w:cs="Arial"/>
          <w:szCs w:val="24"/>
        </w:rPr>
      </w:pPr>
      <w:r w:rsidRPr="00E40443">
        <w:rPr>
          <w:rFonts w:cs="Arial"/>
          <w:szCs w:val="24"/>
        </w:rPr>
        <w:t xml:space="preserve">The issue before </w:t>
      </w:r>
      <w:r w:rsidR="001F7C15">
        <w:rPr>
          <w:rFonts w:cs="Arial"/>
          <w:szCs w:val="24"/>
        </w:rPr>
        <w:t xml:space="preserve">the </w:t>
      </w:r>
      <w:r w:rsidRPr="00E40443">
        <w:rPr>
          <w:rFonts w:cs="Arial"/>
          <w:szCs w:val="24"/>
        </w:rPr>
        <w:t xml:space="preserve">Court was whether Mr Davies may inherit </w:t>
      </w:r>
      <w:r w:rsidR="007D12A3" w:rsidRPr="00E40443">
        <w:rPr>
          <w:rFonts w:cs="Arial"/>
          <w:szCs w:val="24"/>
        </w:rPr>
        <w:t>f</w:t>
      </w:r>
      <w:r w:rsidR="00EB14A1">
        <w:rPr>
          <w:rFonts w:cs="Arial"/>
          <w:szCs w:val="24"/>
        </w:rPr>
        <w:t>r</w:t>
      </w:r>
      <w:r w:rsidR="007D12A3" w:rsidRPr="00E40443">
        <w:rPr>
          <w:rFonts w:cs="Arial"/>
          <w:szCs w:val="24"/>
        </w:rPr>
        <w:t xml:space="preserve">om </w:t>
      </w:r>
      <w:r w:rsidR="002F0C8C" w:rsidRPr="00E40443">
        <w:rPr>
          <w:rFonts w:cs="Arial"/>
          <w:szCs w:val="24"/>
        </w:rPr>
        <w:t xml:space="preserve">the </w:t>
      </w:r>
      <w:r w:rsidRPr="00E40443">
        <w:rPr>
          <w:rFonts w:cs="Arial"/>
          <w:szCs w:val="24"/>
        </w:rPr>
        <w:t>wife he negligently killed</w:t>
      </w:r>
      <w:r w:rsidR="00AB4586" w:rsidRPr="00E40443">
        <w:rPr>
          <w:rFonts w:cs="Arial"/>
          <w:szCs w:val="24"/>
        </w:rPr>
        <w:t>.</w:t>
      </w:r>
      <w:r w:rsidR="00AB4586" w:rsidRPr="00E40443">
        <w:rPr>
          <w:rStyle w:val="FootnoteReference"/>
          <w:rFonts w:cs="Arial"/>
          <w:szCs w:val="24"/>
        </w:rPr>
        <w:footnoteReference w:id="203"/>
      </w:r>
      <w:r w:rsidR="00D16969" w:rsidRPr="00E40443">
        <w:rPr>
          <w:rFonts w:cs="Arial"/>
          <w:szCs w:val="24"/>
        </w:rPr>
        <w:t xml:space="preserve"> The Court </w:t>
      </w:r>
      <w:r w:rsidR="00D16969" w:rsidRPr="00E40443">
        <w:rPr>
          <w:rFonts w:cs="Arial"/>
          <w:i/>
          <w:iCs/>
          <w:szCs w:val="24"/>
        </w:rPr>
        <w:t>a quo</w:t>
      </w:r>
      <w:r w:rsidR="00D16969" w:rsidRPr="00E40443">
        <w:rPr>
          <w:rFonts w:cs="Arial"/>
          <w:szCs w:val="24"/>
        </w:rPr>
        <w:t xml:space="preserve"> held that he was entitled to one half of the joint estate by virtue of the marriage in community of property</w:t>
      </w:r>
      <w:r w:rsidR="002F0C8C" w:rsidRPr="00E40443">
        <w:rPr>
          <w:rFonts w:cs="Arial"/>
          <w:szCs w:val="24"/>
        </w:rPr>
        <w:t xml:space="preserve">, which fact </w:t>
      </w:r>
      <w:r w:rsidR="007D12A3" w:rsidRPr="00E40443">
        <w:rPr>
          <w:rFonts w:cs="Arial"/>
          <w:szCs w:val="24"/>
        </w:rPr>
        <w:t xml:space="preserve">was agreed upon at </w:t>
      </w:r>
      <w:r w:rsidR="002F0C8C" w:rsidRPr="00E40443">
        <w:rPr>
          <w:rFonts w:cs="Arial"/>
          <w:szCs w:val="24"/>
        </w:rPr>
        <w:t>the return date.</w:t>
      </w:r>
      <w:r w:rsidR="00D16969" w:rsidRPr="00E40443">
        <w:rPr>
          <w:rStyle w:val="FootnoteReference"/>
          <w:rFonts w:cs="Arial"/>
          <w:szCs w:val="24"/>
        </w:rPr>
        <w:footnoteReference w:id="204"/>
      </w:r>
      <w:r w:rsidR="00D16969" w:rsidRPr="00E40443">
        <w:rPr>
          <w:rFonts w:cs="Arial"/>
          <w:szCs w:val="24"/>
        </w:rPr>
        <w:t xml:space="preserve"> </w:t>
      </w:r>
    </w:p>
    <w:p w14:paraId="4C6577ED" w14:textId="77777777" w:rsidR="002977D8" w:rsidRPr="00E40443" w:rsidRDefault="002977D8" w:rsidP="00C5627E">
      <w:pPr>
        <w:rPr>
          <w:rFonts w:cs="Arial"/>
          <w:szCs w:val="24"/>
        </w:rPr>
      </w:pPr>
      <w:r w:rsidRPr="00E40443">
        <w:rPr>
          <w:rFonts w:cs="Arial"/>
          <w:szCs w:val="24"/>
        </w:rPr>
        <w:lastRenderedPageBreak/>
        <w:t>McLaren J reiterated that any person could benefit under a will, and if a party opposes such inheritance, the burden of proof rests on the party alleging disqualification.</w:t>
      </w:r>
      <w:r w:rsidRPr="00E40443">
        <w:rPr>
          <w:rStyle w:val="FootnoteReference"/>
          <w:rFonts w:cs="Arial"/>
          <w:szCs w:val="24"/>
        </w:rPr>
        <w:footnoteReference w:id="205"/>
      </w:r>
      <w:r w:rsidRPr="00E40443">
        <w:rPr>
          <w:rFonts w:cs="Arial"/>
          <w:szCs w:val="24"/>
        </w:rPr>
        <w:t xml:space="preserve"> However, he also pointed out that no person may profit from conduct that is punishable,</w:t>
      </w:r>
      <w:r w:rsidRPr="00E40443">
        <w:rPr>
          <w:rStyle w:val="FootnoteReference"/>
          <w:rFonts w:cs="Arial"/>
          <w:szCs w:val="24"/>
        </w:rPr>
        <w:footnoteReference w:id="206"/>
      </w:r>
      <w:r w:rsidRPr="00E40443">
        <w:rPr>
          <w:rFonts w:cs="Arial"/>
          <w:szCs w:val="24"/>
        </w:rPr>
        <w:t xml:space="preserve"> and that a person who negligently killed another may not inherit from the deceased victim.</w:t>
      </w:r>
      <w:r w:rsidRPr="00E40443">
        <w:rPr>
          <w:rStyle w:val="FootnoteReference"/>
          <w:rFonts w:cs="Arial"/>
          <w:szCs w:val="24"/>
        </w:rPr>
        <w:footnoteReference w:id="207"/>
      </w:r>
    </w:p>
    <w:p w14:paraId="6BB69137" w14:textId="2D7B07B9" w:rsidR="002977D8" w:rsidRPr="00E40443" w:rsidRDefault="002977D8" w:rsidP="00C5627E">
      <w:pPr>
        <w:rPr>
          <w:rFonts w:cs="Arial"/>
          <w:szCs w:val="24"/>
        </w:rPr>
      </w:pPr>
      <w:r w:rsidRPr="00E40443">
        <w:rPr>
          <w:rFonts w:cs="Arial"/>
          <w:szCs w:val="24"/>
        </w:rPr>
        <w:t xml:space="preserve">The </w:t>
      </w:r>
      <w:r w:rsidR="00C84801">
        <w:rPr>
          <w:rFonts w:cs="Arial"/>
          <w:szCs w:val="24"/>
        </w:rPr>
        <w:t>C</w:t>
      </w:r>
      <w:r w:rsidRPr="00E40443">
        <w:rPr>
          <w:rFonts w:cs="Arial"/>
          <w:szCs w:val="24"/>
        </w:rPr>
        <w:t>ourt held it against public policy that Mr Davies could benefit from the negligent killing of Mrs Davies,</w:t>
      </w:r>
      <w:r w:rsidRPr="00E40443">
        <w:rPr>
          <w:rStyle w:val="FootnoteReference"/>
          <w:rFonts w:cs="Arial"/>
          <w:szCs w:val="24"/>
        </w:rPr>
        <w:footnoteReference w:id="208"/>
      </w:r>
      <w:r w:rsidRPr="00E40443">
        <w:rPr>
          <w:rFonts w:cs="Arial"/>
          <w:szCs w:val="24"/>
        </w:rPr>
        <w:t xml:space="preserve"> and </w:t>
      </w:r>
      <w:r w:rsidR="00EC5DBA" w:rsidRPr="00E40443">
        <w:rPr>
          <w:rFonts w:cs="Arial"/>
          <w:szCs w:val="24"/>
        </w:rPr>
        <w:t xml:space="preserve">found </w:t>
      </w:r>
      <w:r w:rsidRPr="00E40443">
        <w:rPr>
          <w:rFonts w:cs="Arial"/>
          <w:szCs w:val="24"/>
        </w:rPr>
        <w:t>that he is not eligible to inherit from the deceased.</w:t>
      </w:r>
      <w:r w:rsidR="006D57D4" w:rsidRPr="00E40443">
        <w:rPr>
          <w:rStyle w:val="FootnoteReference"/>
          <w:rFonts w:cs="Arial"/>
          <w:szCs w:val="24"/>
        </w:rPr>
        <w:footnoteReference w:id="209"/>
      </w:r>
    </w:p>
    <w:p w14:paraId="76878134" w14:textId="77777777" w:rsidR="00012FA1" w:rsidRPr="00E40443" w:rsidRDefault="00012FA1" w:rsidP="00C5627E">
      <w:pPr>
        <w:rPr>
          <w:rFonts w:cs="Arial"/>
          <w:szCs w:val="24"/>
        </w:rPr>
      </w:pPr>
    </w:p>
    <w:p w14:paraId="55EDEE2E" w14:textId="3211DC0A" w:rsidR="002977D8" w:rsidRPr="00E40443" w:rsidRDefault="002977D8" w:rsidP="00C5627E">
      <w:pPr>
        <w:pStyle w:val="Heading3"/>
        <w:numPr>
          <w:ilvl w:val="2"/>
          <w:numId w:val="20"/>
        </w:numPr>
        <w:ind w:left="851" w:hanging="851"/>
        <w:rPr>
          <w:rFonts w:cs="Arial"/>
          <w:b/>
          <w:bCs/>
        </w:rPr>
      </w:pPr>
      <w:bookmarkStart w:id="33" w:name="_Toc191216279"/>
      <w:r w:rsidRPr="00E40443">
        <w:rPr>
          <w:rFonts w:cs="Arial"/>
          <w:b/>
          <w:bCs/>
          <w:i/>
          <w:iCs/>
        </w:rPr>
        <w:t>Leeb &amp; Another v Leeb &amp; Another</w:t>
      </w:r>
      <w:r w:rsidRPr="00E40443">
        <w:rPr>
          <w:rFonts w:cs="Arial"/>
          <w:b/>
          <w:bCs/>
        </w:rPr>
        <w:t xml:space="preserve"> 1999 2 All SA 588 (N)</w:t>
      </w:r>
      <w:bookmarkEnd w:id="33"/>
      <w:r w:rsidR="006B0EC2" w:rsidRPr="00E40443">
        <w:rPr>
          <w:rFonts w:cs="Arial"/>
          <w:b/>
          <w:bCs/>
        </w:rPr>
        <w:t xml:space="preserve"> </w:t>
      </w:r>
    </w:p>
    <w:p w14:paraId="12585347" w14:textId="75D58879" w:rsidR="002977D8" w:rsidRPr="00E40443" w:rsidRDefault="002977D8" w:rsidP="00C5627E">
      <w:pPr>
        <w:rPr>
          <w:rFonts w:cs="Arial"/>
          <w:szCs w:val="24"/>
        </w:rPr>
      </w:pPr>
      <w:r w:rsidRPr="00E40443">
        <w:rPr>
          <w:rFonts w:cs="Arial"/>
          <w:szCs w:val="24"/>
        </w:rPr>
        <w:t xml:space="preserve">Mr </w:t>
      </w:r>
      <w:r w:rsidR="00AA708C" w:rsidRPr="00E40443">
        <w:rPr>
          <w:rFonts w:cs="Arial"/>
          <w:szCs w:val="24"/>
        </w:rPr>
        <w:t xml:space="preserve">Robin Errol Leeb </w:t>
      </w:r>
      <w:r w:rsidRPr="00E40443">
        <w:rPr>
          <w:rFonts w:cs="Arial"/>
          <w:szCs w:val="24"/>
        </w:rPr>
        <w:t xml:space="preserve">and </w:t>
      </w:r>
      <w:r w:rsidR="00AA708C" w:rsidRPr="00E40443">
        <w:rPr>
          <w:rFonts w:cs="Arial"/>
          <w:szCs w:val="24"/>
        </w:rPr>
        <w:t xml:space="preserve">his wife </w:t>
      </w:r>
      <w:r w:rsidRPr="00E40443">
        <w:rPr>
          <w:rFonts w:cs="Arial"/>
          <w:szCs w:val="24"/>
        </w:rPr>
        <w:t>were married to each other in community of property</w:t>
      </w:r>
      <w:r w:rsidR="00C33718" w:rsidRPr="00E40443">
        <w:rPr>
          <w:rFonts w:cs="Arial"/>
          <w:szCs w:val="24"/>
        </w:rPr>
        <w:t>, apparently for a mere two months</w:t>
      </w:r>
      <w:r w:rsidRPr="00E40443">
        <w:rPr>
          <w:rFonts w:cs="Arial"/>
          <w:szCs w:val="24"/>
        </w:rPr>
        <w:t>.</w:t>
      </w:r>
      <w:r w:rsidR="00C33718" w:rsidRPr="00E40443">
        <w:rPr>
          <w:rStyle w:val="FootnoteReference"/>
          <w:rFonts w:cs="Arial"/>
          <w:szCs w:val="24"/>
        </w:rPr>
        <w:footnoteReference w:id="210"/>
      </w:r>
      <w:r w:rsidRPr="00E40443">
        <w:rPr>
          <w:rFonts w:cs="Arial"/>
          <w:szCs w:val="24"/>
        </w:rPr>
        <w:t xml:space="preserve"> It appeared as if the assets in the communal estate were comprised  of a </w:t>
      </w:r>
      <w:r w:rsidR="00003E92" w:rsidRPr="00E40443">
        <w:rPr>
          <w:rFonts w:cs="Arial"/>
          <w:szCs w:val="24"/>
        </w:rPr>
        <w:t>f</w:t>
      </w:r>
      <w:r w:rsidRPr="00E40443">
        <w:rPr>
          <w:rFonts w:cs="Arial"/>
          <w:szCs w:val="24"/>
        </w:rPr>
        <w:t>arm and three life-insurance policies held with Exclusive Life and Sanlam, respectively.</w:t>
      </w:r>
      <w:r w:rsidRPr="00E40443">
        <w:rPr>
          <w:rStyle w:val="FootnoteReference"/>
          <w:rFonts w:cs="Arial"/>
          <w:szCs w:val="24"/>
        </w:rPr>
        <w:footnoteReference w:id="211"/>
      </w:r>
      <w:r w:rsidR="00525309" w:rsidRPr="00E40443">
        <w:rPr>
          <w:rFonts w:cs="Arial"/>
          <w:szCs w:val="24"/>
        </w:rPr>
        <w:t xml:space="preserve"> </w:t>
      </w:r>
      <w:r w:rsidRPr="00E40443">
        <w:rPr>
          <w:rFonts w:cs="Arial"/>
          <w:szCs w:val="24"/>
        </w:rPr>
        <w:t xml:space="preserve">On 8 December 1996 </w:t>
      </w:r>
      <w:r w:rsidR="00525309" w:rsidRPr="00E40443">
        <w:rPr>
          <w:rFonts w:cs="Arial"/>
          <w:szCs w:val="24"/>
        </w:rPr>
        <w:t xml:space="preserve">Mr Leeb was shot and killed, for </w:t>
      </w:r>
      <w:r w:rsidRPr="00E40443">
        <w:rPr>
          <w:rFonts w:cs="Arial"/>
          <w:szCs w:val="24"/>
        </w:rPr>
        <w:t xml:space="preserve">which murder </w:t>
      </w:r>
      <w:r w:rsidR="00525309" w:rsidRPr="00E40443">
        <w:rPr>
          <w:rFonts w:cs="Arial"/>
          <w:szCs w:val="24"/>
        </w:rPr>
        <w:t xml:space="preserve">Mrs Leeb </w:t>
      </w:r>
      <w:r w:rsidRPr="00E40443">
        <w:rPr>
          <w:rFonts w:cs="Arial"/>
          <w:szCs w:val="24"/>
        </w:rPr>
        <w:t>was convicted and sentenced to 25 years’ imprisonment.</w:t>
      </w:r>
      <w:r w:rsidRPr="00E40443">
        <w:rPr>
          <w:rStyle w:val="FootnoteReference"/>
          <w:rFonts w:cs="Arial"/>
          <w:szCs w:val="24"/>
        </w:rPr>
        <w:footnoteReference w:id="212"/>
      </w:r>
    </w:p>
    <w:p w14:paraId="6CC09609" w14:textId="4888A073" w:rsidR="00B535EB" w:rsidRPr="00E40443" w:rsidRDefault="005A323D" w:rsidP="00C5627E">
      <w:pPr>
        <w:rPr>
          <w:rFonts w:cs="Arial"/>
          <w:szCs w:val="24"/>
        </w:rPr>
      </w:pPr>
      <w:r w:rsidRPr="00E40443">
        <w:rPr>
          <w:rFonts w:cs="Arial"/>
          <w:szCs w:val="24"/>
        </w:rPr>
        <w:t xml:space="preserve">An application was brought </w:t>
      </w:r>
      <w:r w:rsidR="003E26B7" w:rsidRPr="00E40443">
        <w:rPr>
          <w:rFonts w:cs="Arial"/>
          <w:szCs w:val="24"/>
        </w:rPr>
        <w:t xml:space="preserve">to prohibit Mrs Leeb from </w:t>
      </w:r>
      <w:r w:rsidRPr="00E40443">
        <w:rPr>
          <w:rFonts w:cs="Arial"/>
          <w:szCs w:val="24"/>
        </w:rPr>
        <w:t xml:space="preserve">receiving any patrimonial benefit, </w:t>
      </w:r>
      <w:r w:rsidR="003E26B7" w:rsidRPr="00E40443">
        <w:rPr>
          <w:rFonts w:cs="Arial"/>
          <w:szCs w:val="24"/>
        </w:rPr>
        <w:t xml:space="preserve">and specifically </w:t>
      </w:r>
      <w:r w:rsidRPr="00E40443">
        <w:rPr>
          <w:rFonts w:cs="Arial"/>
          <w:szCs w:val="24"/>
        </w:rPr>
        <w:t>that she forfeit</w:t>
      </w:r>
      <w:r w:rsidR="00525309" w:rsidRPr="00E40443">
        <w:rPr>
          <w:rFonts w:cs="Arial"/>
          <w:szCs w:val="24"/>
        </w:rPr>
        <w:t>s</w:t>
      </w:r>
      <w:r w:rsidRPr="00E40443">
        <w:rPr>
          <w:rFonts w:cs="Arial"/>
          <w:szCs w:val="24"/>
        </w:rPr>
        <w:t xml:space="preserve"> any benefit she would have been entitled to by virtue of her marital regime</w:t>
      </w:r>
      <w:r w:rsidR="0083582C" w:rsidRPr="00E40443">
        <w:rPr>
          <w:rFonts w:cs="Arial"/>
          <w:szCs w:val="24"/>
        </w:rPr>
        <w:t xml:space="preserve">. </w:t>
      </w:r>
      <w:r w:rsidR="003E26B7" w:rsidRPr="00E40443">
        <w:rPr>
          <w:rFonts w:cs="Arial"/>
          <w:szCs w:val="24"/>
        </w:rPr>
        <w:t>The latter claim was opposed by Mrs Leeb</w:t>
      </w:r>
      <w:r w:rsidRPr="00E40443">
        <w:rPr>
          <w:rFonts w:cs="Arial"/>
          <w:szCs w:val="24"/>
        </w:rPr>
        <w:t>.</w:t>
      </w:r>
      <w:r w:rsidRPr="00E40443">
        <w:rPr>
          <w:rStyle w:val="FootnoteReference"/>
          <w:rFonts w:cs="Arial"/>
          <w:szCs w:val="24"/>
        </w:rPr>
        <w:footnoteReference w:id="213"/>
      </w:r>
      <w:r w:rsidR="00B535EB" w:rsidRPr="00E40443">
        <w:rPr>
          <w:rFonts w:cs="Arial"/>
          <w:szCs w:val="24"/>
        </w:rPr>
        <w:t xml:space="preserve"> </w:t>
      </w:r>
    </w:p>
    <w:p w14:paraId="201D9D36" w14:textId="7E94219D" w:rsidR="00752DB4" w:rsidRPr="00E40443" w:rsidRDefault="00752DB4" w:rsidP="00C5627E">
      <w:pPr>
        <w:rPr>
          <w:rFonts w:cs="Arial"/>
          <w:szCs w:val="24"/>
        </w:rPr>
      </w:pPr>
      <w:r w:rsidRPr="00E40443">
        <w:rPr>
          <w:rFonts w:cs="Arial"/>
          <w:szCs w:val="24"/>
        </w:rPr>
        <w:t xml:space="preserve">Counsel for the </w:t>
      </w:r>
      <w:r w:rsidR="00DC687A">
        <w:rPr>
          <w:rFonts w:cs="Arial"/>
          <w:szCs w:val="24"/>
        </w:rPr>
        <w:t>a</w:t>
      </w:r>
      <w:r w:rsidRPr="00E40443">
        <w:rPr>
          <w:rFonts w:cs="Arial"/>
          <w:szCs w:val="24"/>
        </w:rPr>
        <w:t xml:space="preserve">pplicants argued that Mrs Leeb should be deprived of </w:t>
      </w:r>
      <w:r w:rsidRPr="00E40443">
        <w:rPr>
          <w:rFonts w:cs="Arial"/>
          <w:szCs w:val="24"/>
          <w:u w:val="single"/>
        </w:rPr>
        <w:t>any</w:t>
      </w:r>
      <w:r w:rsidRPr="00E40443">
        <w:rPr>
          <w:rFonts w:cs="Arial"/>
          <w:szCs w:val="24"/>
        </w:rPr>
        <w:t xml:space="preserve"> benefits resulting from the death of the late Mr Leeb in terms of specific unworthiness in the form of </w:t>
      </w:r>
      <w:r w:rsidRPr="00E40443">
        <w:rPr>
          <w:rFonts w:cs="Arial"/>
          <w:i/>
          <w:iCs/>
          <w:szCs w:val="24"/>
        </w:rPr>
        <w:t>de bloedige hand</w:t>
      </w:r>
      <w:r w:rsidRPr="00E40443">
        <w:rPr>
          <w:rFonts w:cs="Arial"/>
          <w:szCs w:val="24"/>
        </w:rPr>
        <w:t>, alternatively, by virtue of general unworthiness to benefit from Mr Leeb’s death, and further alternatively, that it goes against public policy to allow someone to benefit from his own crime.</w:t>
      </w:r>
      <w:r w:rsidRPr="00E40443">
        <w:rPr>
          <w:rStyle w:val="FootnoteReference"/>
          <w:rFonts w:cs="Arial"/>
          <w:szCs w:val="24"/>
        </w:rPr>
        <w:footnoteReference w:id="214"/>
      </w:r>
    </w:p>
    <w:p w14:paraId="0C81EE81" w14:textId="7C338E03" w:rsidR="00B535EB" w:rsidRPr="00E40443" w:rsidRDefault="002977D8" w:rsidP="00C5627E">
      <w:pPr>
        <w:rPr>
          <w:rFonts w:cs="Arial"/>
          <w:szCs w:val="24"/>
        </w:rPr>
      </w:pPr>
      <w:r w:rsidRPr="00E40443">
        <w:rPr>
          <w:rFonts w:cs="Arial"/>
          <w:szCs w:val="24"/>
        </w:rPr>
        <w:t>Counsel for Mrs Leeb</w:t>
      </w:r>
      <w:r w:rsidR="0090479A" w:rsidRPr="00E40443">
        <w:rPr>
          <w:rFonts w:cs="Arial"/>
          <w:szCs w:val="24"/>
        </w:rPr>
        <w:t xml:space="preserve"> based their argument </w:t>
      </w:r>
      <w:r w:rsidR="000870B0" w:rsidRPr="00E40443">
        <w:rPr>
          <w:rFonts w:cs="Arial"/>
          <w:szCs w:val="24"/>
        </w:rPr>
        <w:t xml:space="preserve">in support of Mrs Leeb’s entitlement to her </w:t>
      </w:r>
      <w:r w:rsidR="0090479A" w:rsidRPr="00E40443">
        <w:rPr>
          <w:rFonts w:cs="Arial"/>
          <w:szCs w:val="24"/>
        </w:rPr>
        <w:t xml:space="preserve">half-share in the communal estate by virtue of the marriage in community of property </w:t>
      </w:r>
      <w:r w:rsidR="00752DB4" w:rsidRPr="00E40443">
        <w:rPr>
          <w:rFonts w:cs="Arial"/>
          <w:szCs w:val="24"/>
        </w:rPr>
        <w:t xml:space="preserve">on the judgements in </w:t>
      </w:r>
      <w:r w:rsidR="00752DB4" w:rsidRPr="00E40443">
        <w:rPr>
          <w:rFonts w:cs="Arial"/>
          <w:i/>
          <w:iCs/>
          <w:szCs w:val="24"/>
        </w:rPr>
        <w:t>Nell v Nell &amp; Another</w:t>
      </w:r>
      <w:r w:rsidR="00752DB4" w:rsidRPr="00E40443">
        <w:rPr>
          <w:rFonts w:cs="Arial"/>
          <w:szCs w:val="24"/>
        </w:rPr>
        <w:t xml:space="preserve"> and </w:t>
      </w:r>
      <w:r w:rsidR="00752DB4" w:rsidRPr="00E40443">
        <w:rPr>
          <w:rFonts w:cs="Arial"/>
          <w:i/>
          <w:iCs/>
          <w:szCs w:val="24"/>
        </w:rPr>
        <w:t>Ex parte Vonzell</w:t>
      </w:r>
      <w:r w:rsidRPr="00E40443">
        <w:rPr>
          <w:rFonts w:cs="Arial"/>
          <w:szCs w:val="24"/>
        </w:rPr>
        <w:t>.</w:t>
      </w:r>
      <w:r w:rsidR="000870B0" w:rsidRPr="00E40443">
        <w:rPr>
          <w:rFonts w:cs="Arial"/>
          <w:szCs w:val="24"/>
        </w:rPr>
        <w:t xml:space="preserve"> </w:t>
      </w:r>
      <w:r w:rsidRPr="00E40443">
        <w:rPr>
          <w:rFonts w:cs="Arial"/>
          <w:szCs w:val="24"/>
        </w:rPr>
        <w:t xml:space="preserve">The question </w:t>
      </w:r>
      <w:r w:rsidR="0090479A" w:rsidRPr="00E40443">
        <w:rPr>
          <w:rFonts w:cs="Arial"/>
          <w:szCs w:val="24"/>
        </w:rPr>
        <w:t xml:space="preserve">before </w:t>
      </w:r>
      <w:r w:rsidR="000870B0" w:rsidRPr="00E40443">
        <w:rPr>
          <w:rFonts w:cs="Arial"/>
          <w:szCs w:val="24"/>
        </w:rPr>
        <w:t xml:space="preserve">Thirion J </w:t>
      </w:r>
      <w:r w:rsidRPr="00E40443">
        <w:rPr>
          <w:rFonts w:cs="Arial"/>
          <w:szCs w:val="24"/>
        </w:rPr>
        <w:t xml:space="preserve">was whether </w:t>
      </w:r>
      <w:r w:rsidR="0090680C" w:rsidRPr="00E40443">
        <w:rPr>
          <w:rFonts w:cs="Arial"/>
          <w:szCs w:val="24"/>
        </w:rPr>
        <w:t xml:space="preserve">these cases </w:t>
      </w:r>
      <w:r w:rsidR="006A2137">
        <w:rPr>
          <w:rFonts w:cs="Arial"/>
          <w:szCs w:val="24"/>
        </w:rPr>
        <w:t xml:space="preserve">were </w:t>
      </w:r>
      <w:r w:rsidRPr="00E40443">
        <w:rPr>
          <w:rFonts w:cs="Arial"/>
          <w:szCs w:val="24"/>
        </w:rPr>
        <w:t>correctly</w:t>
      </w:r>
      <w:r w:rsidR="00BB59B5" w:rsidRPr="00E40443">
        <w:rPr>
          <w:rFonts w:cs="Arial"/>
          <w:szCs w:val="24"/>
        </w:rPr>
        <w:t xml:space="preserve"> decided in finding no causal connection between the </w:t>
      </w:r>
      <w:r w:rsidR="00BB59B5" w:rsidRPr="00E40443">
        <w:rPr>
          <w:rFonts w:cs="Arial"/>
          <w:szCs w:val="24"/>
        </w:rPr>
        <w:lastRenderedPageBreak/>
        <w:t>death and the benefit by virtue of the wrongdoer spouse acquiring his share in the joint estate</w:t>
      </w:r>
      <w:r w:rsidRPr="00E40443">
        <w:rPr>
          <w:rFonts w:cs="Arial"/>
          <w:szCs w:val="24"/>
        </w:rPr>
        <w:t>.</w:t>
      </w:r>
      <w:r w:rsidRPr="00E40443">
        <w:rPr>
          <w:rStyle w:val="FootnoteReference"/>
          <w:rFonts w:cs="Arial"/>
          <w:szCs w:val="24"/>
        </w:rPr>
        <w:footnoteReference w:id="215"/>
      </w:r>
      <w:r w:rsidR="00B535EB" w:rsidRPr="00E40443">
        <w:rPr>
          <w:rFonts w:cs="Arial"/>
          <w:szCs w:val="24"/>
        </w:rPr>
        <w:t xml:space="preserve"> </w:t>
      </w:r>
    </w:p>
    <w:p w14:paraId="2C0BCF0B" w14:textId="0F10E5CC" w:rsidR="00510342" w:rsidRPr="00E40443" w:rsidRDefault="002977D8" w:rsidP="006A2137">
      <w:pPr>
        <w:rPr>
          <w:rFonts w:cs="Arial"/>
          <w:szCs w:val="24"/>
        </w:rPr>
      </w:pPr>
      <w:r w:rsidRPr="00E40443">
        <w:rPr>
          <w:rFonts w:cs="Arial"/>
          <w:szCs w:val="24"/>
        </w:rPr>
        <w:t xml:space="preserve">Thirion J considered the provisions of </w:t>
      </w:r>
      <w:r w:rsidRPr="00E40443">
        <w:rPr>
          <w:rFonts w:cs="Arial"/>
          <w:i/>
          <w:iCs/>
          <w:szCs w:val="24"/>
        </w:rPr>
        <w:t>de bloedige hand</w:t>
      </w:r>
      <w:r w:rsidRPr="00E40443">
        <w:rPr>
          <w:rFonts w:cs="Arial"/>
          <w:szCs w:val="24"/>
        </w:rPr>
        <w:t xml:space="preserve"> and held that</w:t>
      </w:r>
      <w:r w:rsidR="00510342" w:rsidRPr="00E40443">
        <w:rPr>
          <w:rFonts w:cs="Arial"/>
          <w:szCs w:val="24"/>
        </w:rPr>
        <w:t xml:space="preserve"> the murderer spouse is prohibited from benefitting by virtue of the death of the deceased.</w:t>
      </w:r>
      <w:r w:rsidRPr="00E40443">
        <w:rPr>
          <w:rStyle w:val="FootnoteReference"/>
          <w:rFonts w:cs="Arial"/>
          <w:szCs w:val="24"/>
        </w:rPr>
        <w:footnoteReference w:id="216"/>
      </w:r>
      <w:r w:rsidRPr="00E40443">
        <w:rPr>
          <w:rFonts w:cs="Arial"/>
          <w:szCs w:val="24"/>
        </w:rPr>
        <w:t xml:space="preserve"> </w:t>
      </w:r>
      <w:r w:rsidR="0026485D" w:rsidRPr="00E40443">
        <w:rPr>
          <w:rFonts w:cs="Arial"/>
          <w:szCs w:val="24"/>
        </w:rPr>
        <w:t>The groundbreaking finding,</w:t>
      </w:r>
      <w:r w:rsidR="0026485D" w:rsidRPr="00E40443">
        <w:rPr>
          <w:rStyle w:val="FootnoteReference"/>
          <w:rFonts w:cs="Arial"/>
          <w:szCs w:val="24"/>
        </w:rPr>
        <w:footnoteReference w:id="217"/>
      </w:r>
      <w:r w:rsidR="0026485D" w:rsidRPr="00E40443">
        <w:rPr>
          <w:rFonts w:cs="Arial"/>
          <w:szCs w:val="24"/>
        </w:rPr>
        <w:t xml:space="preserve"> however, was that she could</w:t>
      </w:r>
      <w:r w:rsidR="00C533ED" w:rsidRPr="00E40443">
        <w:rPr>
          <w:rFonts w:cs="Arial"/>
          <w:szCs w:val="24"/>
        </w:rPr>
        <w:t>:</w:t>
      </w:r>
    </w:p>
    <w:p w14:paraId="42E27F25" w14:textId="475885F0" w:rsidR="002977D8" w:rsidRPr="0026485D" w:rsidRDefault="00883B0E" w:rsidP="00904EC5">
      <w:pPr>
        <w:spacing w:line="240" w:lineRule="auto"/>
        <w:ind w:left="567" w:right="566"/>
        <w:rPr>
          <w:rFonts w:cs="Arial"/>
          <w:sz w:val="20"/>
          <w:szCs w:val="20"/>
        </w:rPr>
      </w:pPr>
      <w:r>
        <w:rPr>
          <w:rFonts w:cs="Arial"/>
          <w:i/>
          <w:iCs/>
          <w:sz w:val="20"/>
          <w:szCs w:val="20"/>
        </w:rPr>
        <w:t xml:space="preserve">… </w:t>
      </w:r>
      <w:r w:rsidR="002977D8" w:rsidRPr="0026485D">
        <w:rPr>
          <w:rFonts w:cs="Arial"/>
          <w:i/>
          <w:iCs/>
          <w:sz w:val="20"/>
          <w:szCs w:val="20"/>
        </w:rPr>
        <w:t>come to the conclusion that where one of the two spouses to a marriage in community of property, murders the other, the court has the power to order that the spouse who committed the murder, forfeits, by reason of the murder, the benefits of the marriage in community of property</w:t>
      </w:r>
      <w:r w:rsidR="003D1D11" w:rsidRPr="0026485D">
        <w:rPr>
          <w:rFonts w:cs="Arial"/>
          <w:i/>
          <w:iCs/>
          <w:sz w:val="20"/>
          <w:szCs w:val="20"/>
        </w:rPr>
        <w:t>. There seems to be every reason why the spouse who chooses to obtain his freedom through murder rather than divorce, should be in no better position.</w:t>
      </w:r>
    </w:p>
    <w:p w14:paraId="06347900" w14:textId="7D98E538" w:rsidR="002977D8" w:rsidRPr="00E40443" w:rsidRDefault="009E0923" w:rsidP="00C5627E">
      <w:pPr>
        <w:rPr>
          <w:rFonts w:cs="Arial"/>
          <w:szCs w:val="24"/>
        </w:rPr>
      </w:pPr>
      <w:r w:rsidRPr="00E40443">
        <w:rPr>
          <w:rFonts w:cs="Arial"/>
          <w:szCs w:val="24"/>
        </w:rPr>
        <w:t>Consequently</w:t>
      </w:r>
      <w:r w:rsidR="002977D8" w:rsidRPr="00E40443">
        <w:rPr>
          <w:rFonts w:cs="Arial"/>
          <w:szCs w:val="24"/>
        </w:rPr>
        <w:t xml:space="preserve">, the Court found </w:t>
      </w:r>
      <w:r w:rsidR="0026485D" w:rsidRPr="00E40443">
        <w:rPr>
          <w:rFonts w:cs="Arial"/>
          <w:szCs w:val="24"/>
        </w:rPr>
        <w:t xml:space="preserve">that </w:t>
      </w:r>
      <w:r w:rsidR="00C533ED" w:rsidRPr="00E40443">
        <w:rPr>
          <w:rFonts w:cs="Arial"/>
          <w:szCs w:val="24"/>
        </w:rPr>
        <w:t>the aforementioned cases were incorrectly decided and order</w:t>
      </w:r>
      <w:r w:rsidR="00337AEC">
        <w:rPr>
          <w:rFonts w:cs="Arial"/>
          <w:szCs w:val="24"/>
        </w:rPr>
        <w:t>ed</w:t>
      </w:r>
      <w:r w:rsidR="00C533ED" w:rsidRPr="00E40443">
        <w:rPr>
          <w:rFonts w:cs="Arial"/>
          <w:szCs w:val="24"/>
        </w:rPr>
        <w:t xml:space="preserve"> that </w:t>
      </w:r>
      <w:r w:rsidR="002977D8" w:rsidRPr="00E40443">
        <w:rPr>
          <w:rFonts w:cs="Arial"/>
          <w:szCs w:val="24"/>
        </w:rPr>
        <w:t xml:space="preserve">Mrs Leeb </w:t>
      </w:r>
      <w:r w:rsidR="0026485D" w:rsidRPr="00E40443">
        <w:rPr>
          <w:rFonts w:cs="Arial"/>
          <w:szCs w:val="24"/>
        </w:rPr>
        <w:t xml:space="preserve">forfeits </w:t>
      </w:r>
      <w:r w:rsidR="0090479A" w:rsidRPr="00E40443">
        <w:rPr>
          <w:rFonts w:cs="Arial"/>
          <w:szCs w:val="24"/>
        </w:rPr>
        <w:t xml:space="preserve">her half-share in the communal estate, </w:t>
      </w:r>
      <w:r w:rsidR="0026485D" w:rsidRPr="00E40443">
        <w:rPr>
          <w:rFonts w:cs="Arial"/>
          <w:szCs w:val="24"/>
        </w:rPr>
        <w:t xml:space="preserve">for the murder of her husband which was </w:t>
      </w:r>
      <w:r w:rsidR="002977D8" w:rsidRPr="00E40443">
        <w:rPr>
          <w:rFonts w:cs="Arial"/>
          <w:szCs w:val="24"/>
        </w:rPr>
        <w:t>the “direct and immediate cause of the dissolution of the marriage”</w:t>
      </w:r>
      <w:r w:rsidR="003D1D11" w:rsidRPr="00E40443">
        <w:rPr>
          <w:rFonts w:cs="Arial"/>
          <w:szCs w:val="24"/>
        </w:rPr>
        <w:t>.</w:t>
      </w:r>
      <w:r w:rsidR="002977D8" w:rsidRPr="00E40443">
        <w:rPr>
          <w:rStyle w:val="FootnoteReference"/>
          <w:rFonts w:cs="Arial"/>
          <w:szCs w:val="24"/>
        </w:rPr>
        <w:footnoteReference w:id="218"/>
      </w:r>
    </w:p>
    <w:p w14:paraId="544E00BA" w14:textId="77777777" w:rsidR="009E0923" w:rsidRPr="00E40443" w:rsidRDefault="009E0923" w:rsidP="00C5627E">
      <w:pPr>
        <w:rPr>
          <w:rFonts w:cs="Arial"/>
          <w:szCs w:val="24"/>
        </w:rPr>
      </w:pPr>
    </w:p>
    <w:p w14:paraId="339EEEBB" w14:textId="72333DFA" w:rsidR="002977D8" w:rsidRPr="00E40443" w:rsidRDefault="002977D8" w:rsidP="00C5627E">
      <w:pPr>
        <w:pStyle w:val="Heading3"/>
        <w:numPr>
          <w:ilvl w:val="2"/>
          <w:numId w:val="20"/>
        </w:numPr>
        <w:ind w:left="851" w:hanging="851"/>
        <w:rPr>
          <w:rFonts w:cs="Arial"/>
          <w:b/>
          <w:bCs/>
        </w:rPr>
      </w:pPr>
      <w:bookmarkStart w:id="34" w:name="_Toc191216280"/>
      <w:r w:rsidRPr="00E40443">
        <w:rPr>
          <w:rFonts w:cs="Arial"/>
          <w:b/>
          <w:bCs/>
          <w:i/>
          <w:iCs/>
        </w:rPr>
        <w:t>Makhanya v Minister of Finance &amp; Others</w:t>
      </w:r>
      <w:r w:rsidRPr="00E40443">
        <w:rPr>
          <w:rFonts w:cs="Arial"/>
          <w:b/>
          <w:bCs/>
        </w:rPr>
        <w:t xml:space="preserve"> 2001 2 SA 1251 (D)</w:t>
      </w:r>
      <w:bookmarkEnd w:id="34"/>
      <w:r w:rsidR="006B0EC2" w:rsidRPr="00E40443">
        <w:rPr>
          <w:rFonts w:cs="Arial"/>
          <w:b/>
          <w:bCs/>
        </w:rPr>
        <w:t xml:space="preserve"> </w:t>
      </w:r>
    </w:p>
    <w:p w14:paraId="73394F53" w14:textId="77777777" w:rsidR="002977D8" w:rsidRPr="00E40443" w:rsidRDefault="002977D8" w:rsidP="00C5627E">
      <w:pPr>
        <w:rPr>
          <w:rFonts w:cs="Arial"/>
          <w:szCs w:val="24"/>
        </w:rPr>
      </w:pPr>
      <w:r w:rsidRPr="00E40443">
        <w:rPr>
          <w:rFonts w:cs="Arial"/>
          <w:szCs w:val="24"/>
        </w:rPr>
        <w:t>Mr and Mrs Mkhize were married to each other in community of property. Mr Mkhize was murdered on 7 June 1990, for which murder Mrs Mkhize was convicted and sentenced to 10 years’ imprisonment.</w:t>
      </w:r>
      <w:r w:rsidRPr="00E40443">
        <w:rPr>
          <w:rStyle w:val="FootnoteReference"/>
          <w:rFonts w:cs="Arial"/>
          <w:szCs w:val="24"/>
        </w:rPr>
        <w:footnoteReference w:id="219"/>
      </w:r>
    </w:p>
    <w:p w14:paraId="78A529B8" w14:textId="6BB936FF" w:rsidR="002977D8" w:rsidRPr="00E40443" w:rsidRDefault="002977D8" w:rsidP="00C5627E">
      <w:pPr>
        <w:rPr>
          <w:rFonts w:cs="Arial"/>
          <w:szCs w:val="24"/>
        </w:rPr>
      </w:pPr>
      <w:r w:rsidRPr="00E40443">
        <w:rPr>
          <w:rFonts w:cs="Arial"/>
          <w:szCs w:val="24"/>
        </w:rPr>
        <w:t>Ms Makhanya, his daughter from a previous marriage, was appointed as representative and sole heir of the late Mr Mkhize’s estate by virtue of intestate succession.</w:t>
      </w:r>
      <w:r w:rsidRPr="00E40443">
        <w:rPr>
          <w:rStyle w:val="FootnoteReference"/>
          <w:rFonts w:cs="Arial"/>
          <w:szCs w:val="24"/>
        </w:rPr>
        <w:footnoteReference w:id="220"/>
      </w:r>
      <w:r w:rsidRPr="00E40443">
        <w:rPr>
          <w:rFonts w:cs="Arial"/>
          <w:szCs w:val="24"/>
        </w:rPr>
        <w:t xml:space="preserve"> Ms Makhanya relied on the principle of </w:t>
      </w:r>
      <w:r w:rsidRPr="00E40443">
        <w:rPr>
          <w:rFonts w:cs="Arial"/>
          <w:i/>
          <w:iCs/>
          <w:szCs w:val="24"/>
        </w:rPr>
        <w:t>de bloedige hand</w:t>
      </w:r>
      <w:r w:rsidRPr="00E40443">
        <w:rPr>
          <w:rFonts w:cs="Arial"/>
          <w:szCs w:val="24"/>
        </w:rPr>
        <w:t xml:space="preserve"> in support of her application that Mrs Mkhize </w:t>
      </w:r>
      <w:r w:rsidR="00D1535E" w:rsidRPr="00E40443">
        <w:rPr>
          <w:rFonts w:cs="Arial"/>
          <w:szCs w:val="24"/>
        </w:rPr>
        <w:t xml:space="preserve">be declared unworthy </w:t>
      </w:r>
      <w:r w:rsidRPr="00E40443">
        <w:rPr>
          <w:rFonts w:cs="Arial"/>
          <w:szCs w:val="24"/>
        </w:rPr>
        <w:t xml:space="preserve">to benefit from her late husband’s </w:t>
      </w:r>
      <w:r w:rsidR="00B535EB" w:rsidRPr="00E40443">
        <w:rPr>
          <w:rFonts w:cs="Arial"/>
          <w:szCs w:val="24"/>
        </w:rPr>
        <w:t xml:space="preserve">accrued </w:t>
      </w:r>
      <w:r w:rsidRPr="00E40443">
        <w:rPr>
          <w:rFonts w:cs="Arial"/>
          <w:szCs w:val="24"/>
        </w:rPr>
        <w:t xml:space="preserve">pension </w:t>
      </w:r>
      <w:r w:rsidR="00B535EB" w:rsidRPr="00E40443">
        <w:rPr>
          <w:rFonts w:cs="Arial"/>
          <w:szCs w:val="24"/>
        </w:rPr>
        <w:t>interest</w:t>
      </w:r>
      <w:r w:rsidRPr="00E40443">
        <w:rPr>
          <w:rFonts w:cs="Arial"/>
          <w:szCs w:val="24"/>
        </w:rPr>
        <w:t>.</w:t>
      </w:r>
      <w:r w:rsidR="00793BD2" w:rsidRPr="00E40443">
        <w:rPr>
          <w:rStyle w:val="FootnoteReference"/>
          <w:rFonts w:cs="Arial"/>
          <w:szCs w:val="24"/>
        </w:rPr>
        <w:footnoteReference w:id="221"/>
      </w:r>
    </w:p>
    <w:p w14:paraId="2D4C84F2" w14:textId="3759A902" w:rsidR="00B92453" w:rsidRPr="00E40443" w:rsidRDefault="00B92453" w:rsidP="00C5627E">
      <w:pPr>
        <w:rPr>
          <w:rFonts w:cs="Arial"/>
          <w:szCs w:val="24"/>
        </w:rPr>
      </w:pPr>
      <w:r w:rsidRPr="00E40443">
        <w:rPr>
          <w:rFonts w:cs="Arial"/>
          <w:szCs w:val="24"/>
        </w:rPr>
        <w:t>The Department of Finance was requested to effect payment in respect of Mr Mkhize’s pension benefits to Ms Makhanya or the deceased estate</w:t>
      </w:r>
      <w:r w:rsidR="00337AEC">
        <w:rPr>
          <w:rFonts w:cs="Arial"/>
          <w:szCs w:val="24"/>
        </w:rPr>
        <w:t>,</w:t>
      </w:r>
      <w:r w:rsidRPr="00E40443">
        <w:rPr>
          <w:rFonts w:cs="Arial"/>
          <w:szCs w:val="24"/>
        </w:rPr>
        <w:t xml:space="preserve"> but refused to do so</w:t>
      </w:r>
      <w:r w:rsidR="00D355CC" w:rsidRPr="00E40443">
        <w:rPr>
          <w:rFonts w:cs="Arial"/>
          <w:szCs w:val="24"/>
        </w:rPr>
        <w:t>,</w:t>
      </w:r>
      <w:r w:rsidR="001212BA" w:rsidRPr="00E40443">
        <w:rPr>
          <w:rStyle w:val="FootnoteReference"/>
          <w:rFonts w:cs="Arial"/>
          <w:szCs w:val="24"/>
        </w:rPr>
        <w:footnoteReference w:id="222"/>
      </w:r>
      <w:r w:rsidR="00D355CC" w:rsidRPr="00E40443">
        <w:rPr>
          <w:rFonts w:cs="Arial"/>
          <w:szCs w:val="24"/>
        </w:rPr>
        <w:t xml:space="preserve"> prompting the latter to approach </w:t>
      </w:r>
      <w:r w:rsidR="00337AEC">
        <w:rPr>
          <w:rFonts w:cs="Arial"/>
          <w:szCs w:val="24"/>
        </w:rPr>
        <w:t xml:space="preserve">the </w:t>
      </w:r>
      <w:r w:rsidR="00D355CC" w:rsidRPr="00E40443">
        <w:rPr>
          <w:rFonts w:cs="Arial"/>
          <w:szCs w:val="24"/>
        </w:rPr>
        <w:t>Court for an order declaring her as beneficiary of Mr Mkhize’s accrued pension interest, and Mrs Mkhize disqualified from benefitting from the pension benefits.</w:t>
      </w:r>
      <w:r w:rsidR="00D355CC" w:rsidRPr="00E40443">
        <w:rPr>
          <w:rStyle w:val="FootnoteReference"/>
          <w:rFonts w:cs="Arial"/>
          <w:szCs w:val="24"/>
        </w:rPr>
        <w:footnoteReference w:id="223"/>
      </w:r>
    </w:p>
    <w:p w14:paraId="2C0562E9" w14:textId="5C730CC4" w:rsidR="00D355CC" w:rsidRPr="00E40443" w:rsidRDefault="00D355CC" w:rsidP="00C5627E">
      <w:pPr>
        <w:rPr>
          <w:rFonts w:cs="Arial"/>
          <w:szCs w:val="24"/>
        </w:rPr>
      </w:pPr>
      <w:r w:rsidRPr="00E40443">
        <w:rPr>
          <w:rFonts w:cs="Arial"/>
          <w:szCs w:val="24"/>
        </w:rPr>
        <w:lastRenderedPageBreak/>
        <w:t xml:space="preserve">The Court was tasked with interpreting the provisions of the </w:t>
      </w:r>
      <w:r w:rsidRPr="00E40443">
        <w:rPr>
          <w:rFonts w:cs="Arial"/>
          <w:i/>
          <w:iCs/>
          <w:szCs w:val="24"/>
        </w:rPr>
        <w:t>Government Service Pension Act</w:t>
      </w:r>
      <w:r w:rsidRPr="00E40443">
        <w:rPr>
          <w:rStyle w:val="FootnoteReference"/>
          <w:rFonts w:cs="Arial"/>
          <w:szCs w:val="24"/>
        </w:rPr>
        <w:footnoteReference w:id="224"/>
      </w:r>
      <w:r w:rsidR="00B56BC9" w:rsidRPr="00E40443">
        <w:rPr>
          <w:rFonts w:cs="Arial"/>
          <w:szCs w:val="24"/>
        </w:rPr>
        <w:t xml:space="preserve"> [hereinafter referred to as the “Act”]</w:t>
      </w:r>
      <w:r w:rsidRPr="00E40443">
        <w:rPr>
          <w:rFonts w:cs="Arial"/>
          <w:szCs w:val="24"/>
        </w:rPr>
        <w:t xml:space="preserve"> to determine whether Ms Mkhize was entitled to the </w:t>
      </w:r>
      <w:r w:rsidR="00E45334" w:rsidRPr="00E40443">
        <w:rPr>
          <w:rFonts w:cs="Arial"/>
          <w:szCs w:val="24"/>
        </w:rPr>
        <w:t>pension benefits</w:t>
      </w:r>
      <w:r w:rsidR="00BD1C1B" w:rsidRPr="00E40443">
        <w:rPr>
          <w:rFonts w:cs="Arial"/>
          <w:szCs w:val="24"/>
        </w:rPr>
        <w:t xml:space="preserve"> despite not being a dependent of the deceased.</w:t>
      </w:r>
      <w:r w:rsidR="00E45334" w:rsidRPr="00E40443">
        <w:rPr>
          <w:rStyle w:val="FootnoteReference"/>
          <w:rFonts w:cs="Arial"/>
          <w:szCs w:val="24"/>
        </w:rPr>
        <w:footnoteReference w:id="225"/>
      </w:r>
    </w:p>
    <w:p w14:paraId="3FDDA71B" w14:textId="0A105717" w:rsidR="002977D8" w:rsidRPr="00E40443" w:rsidRDefault="00B56BC9" w:rsidP="00C5627E">
      <w:pPr>
        <w:rPr>
          <w:rFonts w:cs="Arial"/>
          <w:szCs w:val="24"/>
        </w:rPr>
      </w:pPr>
      <w:r w:rsidRPr="00E40443">
        <w:rPr>
          <w:rFonts w:cs="Arial"/>
          <w:szCs w:val="24"/>
        </w:rPr>
        <w:t xml:space="preserve">The Court conceded that Mrs Mkhize is entitled to benefit in terms of the Act, which entitlement was disputed by Ms Makhanya </w:t>
      </w:r>
      <w:r w:rsidR="006A2137">
        <w:rPr>
          <w:rFonts w:cs="Arial"/>
          <w:szCs w:val="24"/>
        </w:rPr>
        <w:t>by virtue of</w:t>
      </w:r>
      <w:r w:rsidRPr="00E40443">
        <w:rPr>
          <w:rFonts w:cs="Arial"/>
          <w:szCs w:val="24"/>
        </w:rPr>
        <w:t xml:space="preserve"> </w:t>
      </w:r>
      <w:r w:rsidRPr="00E40443">
        <w:rPr>
          <w:rFonts w:cs="Arial"/>
          <w:i/>
          <w:iCs/>
          <w:szCs w:val="24"/>
        </w:rPr>
        <w:t>de bloedige hand</w:t>
      </w:r>
      <w:r w:rsidRPr="00E40443">
        <w:rPr>
          <w:rFonts w:cs="Arial"/>
          <w:szCs w:val="24"/>
        </w:rPr>
        <w:t>.</w:t>
      </w:r>
      <w:r w:rsidRPr="00E40443">
        <w:rPr>
          <w:rStyle w:val="FootnoteReference"/>
          <w:rFonts w:cs="Arial"/>
          <w:szCs w:val="24"/>
        </w:rPr>
        <w:footnoteReference w:id="226"/>
      </w:r>
      <w:r w:rsidR="009D4382" w:rsidRPr="00E40443">
        <w:rPr>
          <w:rFonts w:cs="Arial"/>
          <w:szCs w:val="24"/>
        </w:rPr>
        <w:t xml:space="preserve"> The inclusion of accrued pension benefits was validated by the principles of public policy, as limiting the exclusion to benefits emanating directly from the deceased estate could not be </w:t>
      </w:r>
      <w:r w:rsidR="002977D8" w:rsidRPr="00E40443">
        <w:rPr>
          <w:rFonts w:cs="Arial"/>
          <w:szCs w:val="24"/>
        </w:rPr>
        <w:t>justifi</w:t>
      </w:r>
      <w:r w:rsidR="009D4382" w:rsidRPr="00E40443">
        <w:rPr>
          <w:rFonts w:cs="Arial"/>
          <w:szCs w:val="24"/>
        </w:rPr>
        <w:t>ed</w:t>
      </w:r>
      <w:r w:rsidR="002977D8" w:rsidRPr="00E40443">
        <w:rPr>
          <w:rFonts w:cs="Arial"/>
          <w:szCs w:val="24"/>
        </w:rPr>
        <w:t>.</w:t>
      </w:r>
      <w:r w:rsidR="002977D8" w:rsidRPr="00E40443">
        <w:rPr>
          <w:rStyle w:val="FootnoteReference"/>
          <w:rFonts w:cs="Arial"/>
          <w:szCs w:val="24"/>
        </w:rPr>
        <w:footnoteReference w:id="227"/>
      </w:r>
    </w:p>
    <w:p w14:paraId="3560858F" w14:textId="6F861F11" w:rsidR="002977D8" w:rsidRPr="00E40443" w:rsidRDefault="00F80724" w:rsidP="00C5627E">
      <w:pPr>
        <w:rPr>
          <w:rFonts w:cs="Arial"/>
          <w:szCs w:val="24"/>
        </w:rPr>
      </w:pPr>
      <w:r w:rsidRPr="00E40443">
        <w:rPr>
          <w:rFonts w:cs="Arial"/>
          <w:szCs w:val="24"/>
        </w:rPr>
        <w:t xml:space="preserve">In light of the above, the </w:t>
      </w:r>
      <w:r w:rsidR="004E70CB" w:rsidRPr="00E40443">
        <w:rPr>
          <w:rFonts w:cs="Arial"/>
          <w:szCs w:val="24"/>
        </w:rPr>
        <w:t>C</w:t>
      </w:r>
      <w:r w:rsidR="002977D8" w:rsidRPr="00E40443">
        <w:rPr>
          <w:rFonts w:cs="Arial"/>
          <w:szCs w:val="24"/>
        </w:rPr>
        <w:t xml:space="preserve">ourt found </w:t>
      </w:r>
      <w:r w:rsidRPr="00E40443">
        <w:rPr>
          <w:rFonts w:cs="Arial"/>
          <w:szCs w:val="24"/>
        </w:rPr>
        <w:t xml:space="preserve">Mrs Mkhize </w:t>
      </w:r>
      <w:r w:rsidR="002977D8" w:rsidRPr="00E40443">
        <w:rPr>
          <w:rFonts w:cs="Arial"/>
          <w:szCs w:val="24"/>
        </w:rPr>
        <w:t xml:space="preserve">unworthy to inherit the pension benefits </w:t>
      </w:r>
      <w:r w:rsidR="004E70CB" w:rsidRPr="00E40443">
        <w:rPr>
          <w:rFonts w:cs="Arial"/>
          <w:szCs w:val="24"/>
        </w:rPr>
        <w:t xml:space="preserve">accruing to </w:t>
      </w:r>
      <w:r w:rsidR="002977D8" w:rsidRPr="00E40443">
        <w:rPr>
          <w:rFonts w:cs="Arial"/>
          <w:szCs w:val="24"/>
        </w:rPr>
        <w:t xml:space="preserve">her </w:t>
      </w:r>
      <w:r w:rsidR="008E281B" w:rsidRPr="00E40443">
        <w:rPr>
          <w:rFonts w:cs="Arial"/>
          <w:szCs w:val="24"/>
        </w:rPr>
        <w:t>husband</w:t>
      </w:r>
      <w:r w:rsidR="008E281B">
        <w:rPr>
          <w:rFonts w:cs="Arial"/>
          <w:szCs w:val="24"/>
        </w:rPr>
        <w:t xml:space="preserve"> and</w:t>
      </w:r>
      <w:r w:rsidR="006A2137">
        <w:rPr>
          <w:rFonts w:cs="Arial"/>
          <w:szCs w:val="24"/>
        </w:rPr>
        <w:t xml:space="preserve"> </w:t>
      </w:r>
      <w:r w:rsidR="002977D8" w:rsidRPr="00E40443">
        <w:rPr>
          <w:rFonts w:cs="Arial"/>
          <w:szCs w:val="24"/>
        </w:rPr>
        <w:t xml:space="preserve">ordered the Minister of Finance to pay the benefits to the estate of the late Mr Mkhize in accordance with the </w:t>
      </w:r>
      <w:r w:rsidR="00BC1242" w:rsidRPr="00E40443">
        <w:rPr>
          <w:rFonts w:cs="Arial"/>
          <w:szCs w:val="24"/>
        </w:rPr>
        <w:t xml:space="preserve">provisions </w:t>
      </w:r>
      <w:r w:rsidR="002977D8" w:rsidRPr="00E40443">
        <w:rPr>
          <w:rFonts w:cs="Arial"/>
          <w:szCs w:val="24"/>
        </w:rPr>
        <w:t>of Regulation 14</w:t>
      </w:r>
      <w:r w:rsidR="00BC1242" w:rsidRPr="00E40443">
        <w:rPr>
          <w:rFonts w:cs="Arial"/>
          <w:szCs w:val="24"/>
        </w:rPr>
        <w:t>(4)</w:t>
      </w:r>
      <w:r w:rsidR="002977D8" w:rsidRPr="00E40443">
        <w:rPr>
          <w:rFonts w:cs="Arial"/>
          <w:szCs w:val="24"/>
        </w:rPr>
        <w:t xml:space="preserve"> of the Act</w:t>
      </w:r>
      <w:r w:rsidR="004A263E" w:rsidRPr="00E40443">
        <w:rPr>
          <w:rFonts w:cs="Arial"/>
          <w:szCs w:val="24"/>
        </w:rPr>
        <w:t>.</w:t>
      </w:r>
      <w:r w:rsidR="002977D8" w:rsidRPr="00E40443">
        <w:rPr>
          <w:rStyle w:val="FootnoteReference"/>
          <w:rFonts w:cs="Arial"/>
          <w:szCs w:val="24"/>
        </w:rPr>
        <w:footnoteReference w:id="228"/>
      </w:r>
      <w:r w:rsidR="004A263E" w:rsidRPr="00E40443">
        <w:rPr>
          <w:rFonts w:cs="Arial"/>
          <w:szCs w:val="24"/>
        </w:rPr>
        <w:t xml:space="preserve"> </w:t>
      </w:r>
    </w:p>
    <w:p w14:paraId="52F0951E" w14:textId="0491DC96" w:rsidR="002977D8" w:rsidRPr="00E40443" w:rsidRDefault="002977D8" w:rsidP="00C5627E">
      <w:pPr>
        <w:tabs>
          <w:tab w:val="left" w:pos="8352"/>
        </w:tabs>
        <w:rPr>
          <w:rFonts w:cs="Arial"/>
          <w:szCs w:val="24"/>
        </w:rPr>
      </w:pPr>
    </w:p>
    <w:p w14:paraId="72957564" w14:textId="5834CB2D" w:rsidR="002977D8" w:rsidRPr="00E40443" w:rsidRDefault="002977D8" w:rsidP="00C5627E">
      <w:pPr>
        <w:pStyle w:val="Heading3"/>
        <w:numPr>
          <w:ilvl w:val="2"/>
          <w:numId w:val="20"/>
        </w:numPr>
        <w:ind w:left="851" w:hanging="851"/>
        <w:rPr>
          <w:rFonts w:cs="Arial"/>
          <w:b/>
          <w:bCs/>
        </w:rPr>
      </w:pPr>
      <w:bookmarkStart w:id="35" w:name="_Toc191216281"/>
      <w:r w:rsidRPr="00E40443">
        <w:rPr>
          <w:rFonts w:cs="Arial"/>
          <w:b/>
          <w:bCs/>
          <w:i/>
          <w:iCs/>
        </w:rPr>
        <w:t>Marais v Botha</w:t>
      </w:r>
      <w:r w:rsidR="00CA4204" w:rsidRPr="00E40443">
        <w:rPr>
          <w:rFonts w:cs="Arial"/>
          <w:b/>
          <w:bCs/>
          <w:i/>
          <w:iCs/>
        </w:rPr>
        <w:t xml:space="preserve"> NO &amp; Others</w:t>
      </w:r>
      <w:r w:rsidRPr="00E40443">
        <w:rPr>
          <w:rFonts w:cs="Arial"/>
          <w:b/>
          <w:bCs/>
        </w:rPr>
        <w:t xml:space="preserve"> [2008] ZAWCHC 111 (31 October 2008)</w:t>
      </w:r>
      <w:bookmarkEnd w:id="35"/>
      <w:r w:rsidR="00823FE9" w:rsidRPr="00E40443">
        <w:rPr>
          <w:rFonts w:cs="Arial"/>
          <w:b/>
          <w:bCs/>
        </w:rPr>
        <w:t xml:space="preserve"> </w:t>
      </w:r>
    </w:p>
    <w:p w14:paraId="6AC560D5" w14:textId="0764BE4B" w:rsidR="002977D8" w:rsidRPr="00E40443" w:rsidRDefault="00650ADA" w:rsidP="00C5627E">
      <w:pPr>
        <w:rPr>
          <w:rFonts w:cs="Arial"/>
          <w:szCs w:val="24"/>
        </w:rPr>
      </w:pPr>
      <w:r w:rsidRPr="00E40443">
        <w:rPr>
          <w:rFonts w:cs="Arial"/>
          <w:szCs w:val="24"/>
        </w:rPr>
        <w:t xml:space="preserve">Jacobus Petrus Marais and Ruby Charmaine Marais </w:t>
      </w:r>
      <w:r w:rsidR="002977D8" w:rsidRPr="00E40443">
        <w:rPr>
          <w:rFonts w:cs="Arial"/>
          <w:szCs w:val="24"/>
        </w:rPr>
        <w:t>were married to each other in community of property</w:t>
      </w:r>
      <w:r w:rsidRPr="00E40443">
        <w:rPr>
          <w:rFonts w:cs="Arial"/>
          <w:szCs w:val="24"/>
        </w:rPr>
        <w:t xml:space="preserve">. The Master disputed the validity of the joint </w:t>
      </w:r>
      <w:r w:rsidR="008E281B">
        <w:rPr>
          <w:rFonts w:cs="Arial"/>
          <w:szCs w:val="24"/>
        </w:rPr>
        <w:t xml:space="preserve">will </w:t>
      </w:r>
      <w:r w:rsidRPr="00E40443">
        <w:rPr>
          <w:rFonts w:cs="Arial"/>
          <w:szCs w:val="24"/>
        </w:rPr>
        <w:t>dated 26 February 1999, in terms whereof Mrs Marais was allegedly appointed as executrix of the deceased estate</w:t>
      </w:r>
      <w:r w:rsidR="002977D8" w:rsidRPr="00E40443">
        <w:rPr>
          <w:rFonts w:cs="Arial"/>
          <w:szCs w:val="24"/>
        </w:rPr>
        <w:t>.</w:t>
      </w:r>
      <w:r w:rsidR="002977D8" w:rsidRPr="00E40443">
        <w:rPr>
          <w:rStyle w:val="FootnoteReference"/>
          <w:rFonts w:cs="Arial"/>
          <w:szCs w:val="24"/>
        </w:rPr>
        <w:footnoteReference w:id="229"/>
      </w:r>
    </w:p>
    <w:p w14:paraId="3120AD9C" w14:textId="4235C895" w:rsidR="002977D8" w:rsidRPr="00E40443" w:rsidRDefault="00466CE4" w:rsidP="00C5627E">
      <w:pPr>
        <w:rPr>
          <w:rFonts w:cs="Arial"/>
          <w:szCs w:val="24"/>
        </w:rPr>
      </w:pPr>
      <w:r w:rsidRPr="00E40443">
        <w:rPr>
          <w:rFonts w:cs="Arial"/>
          <w:szCs w:val="24"/>
        </w:rPr>
        <w:t xml:space="preserve">Mrs Marais approached Court for an order in terms of the </w:t>
      </w:r>
      <w:r w:rsidRPr="00E40443">
        <w:rPr>
          <w:rFonts w:cs="Arial"/>
          <w:i/>
          <w:iCs/>
          <w:szCs w:val="24"/>
        </w:rPr>
        <w:t>Wills Act</w:t>
      </w:r>
      <w:r w:rsidRPr="00E40443">
        <w:rPr>
          <w:rFonts w:cs="Arial"/>
          <w:szCs w:val="24"/>
        </w:rPr>
        <w:t>,</w:t>
      </w:r>
      <w:r w:rsidRPr="00E40443">
        <w:rPr>
          <w:rStyle w:val="FootnoteReference"/>
          <w:rFonts w:cs="Arial"/>
          <w:szCs w:val="24"/>
        </w:rPr>
        <w:footnoteReference w:id="230"/>
      </w:r>
      <w:r w:rsidRPr="00E40443">
        <w:rPr>
          <w:rFonts w:cs="Arial"/>
          <w:szCs w:val="24"/>
        </w:rPr>
        <w:t xml:space="preserve"> compelling the Master of the High Court to accept the joint will</w:t>
      </w:r>
      <w:r w:rsidR="00F8278F" w:rsidRPr="00E40443">
        <w:rPr>
          <w:rFonts w:cs="Arial"/>
          <w:szCs w:val="24"/>
        </w:rPr>
        <w:t xml:space="preserve"> as reflecting the testator’s last wishes.</w:t>
      </w:r>
      <w:r w:rsidR="00F8278F" w:rsidRPr="00E40443">
        <w:rPr>
          <w:rStyle w:val="FootnoteReference"/>
          <w:rFonts w:cs="Arial"/>
          <w:szCs w:val="24"/>
        </w:rPr>
        <w:footnoteReference w:id="231"/>
      </w:r>
      <w:r w:rsidR="00D25D34" w:rsidRPr="00E40443">
        <w:rPr>
          <w:rFonts w:cs="Arial"/>
          <w:szCs w:val="24"/>
        </w:rPr>
        <w:t xml:space="preserve"> The averment that it was the last wishes of the late Mr Marais, was disputed by the </w:t>
      </w:r>
      <w:r w:rsidR="004C5FF3">
        <w:rPr>
          <w:rFonts w:cs="Arial"/>
          <w:szCs w:val="24"/>
        </w:rPr>
        <w:t>r</w:t>
      </w:r>
      <w:r w:rsidR="00D25D34" w:rsidRPr="00E40443">
        <w:rPr>
          <w:rFonts w:cs="Arial"/>
          <w:szCs w:val="24"/>
        </w:rPr>
        <w:t>espondents, his children</w:t>
      </w:r>
      <w:r w:rsidR="004C5FF3">
        <w:rPr>
          <w:rFonts w:cs="Arial"/>
          <w:szCs w:val="24"/>
        </w:rPr>
        <w:t>,</w:t>
      </w:r>
      <w:r w:rsidR="00D25D34" w:rsidRPr="00E40443">
        <w:rPr>
          <w:rStyle w:val="FootnoteReference"/>
          <w:rFonts w:cs="Arial"/>
          <w:szCs w:val="24"/>
        </w:rPr>
        <w:footnoteReference w:id="232"/>
      </w:r>
      <w:r w:rsidR="00D25D34" w:rsidRPr="00E40443">
        <w:rPr>
          <w:rFonts w:cs="Arial"/>
          <w:szCs w:val="24"/>
        </w:rPr>
        <w:t xml:space="preserve"> </w:t>
      </w:r>
      <w:r w:rsidR="00986CF2" w:rsidRPr="00E40443">
        <w:rPr>
          <w:rFonts w:cs="Arial"/>
          <w:szCs w:val="24"/>
        </w:rPr>
        <w:t>who argued that it would be in the estate’s best interest to appoint an independent executor.</w:t>
      </w:r>
      <w:r w:rsidR="00986CF2" w:rsidRPr="00E40443">
        <w:rPr>
          <w:rStyle w:val="FootnoteReference"/>
          <w:rFonts w:cs="Arial"/>
          <w:szCs w:val="24"/>
        </w:rPr>
        <w:footnoteReference w:id="233"/>
      </w:r>
    </w:p>
    <w:p w14:paraId="39641443" w14:textId="0DD2D824" w:rsidR="000A449E" w:rsidRPr="00E40443" w:rsidRDefault="00BD2C17" w:rsidP="00C5627E">
      <w:pPr>
        <w:rPr>
          <w:rFonts w:cs="Arial"/>
          <w:szCs w:val="24"/>
        </w:rPr>
      </w:pPr>
      <w:r w:rsidRPr="00E40443">
        <w:rPr>
          <w:rFonts w:cs="Arial"/>
          <w:szCs w:val="24"/>
        </w:rPr>
        <w:t>The Court dismissed Mrs Marais’ contention</w:t>
      </w:r>
      <w:r w:rsidR="00EB479F" w:rsidRPr="00E40443">
        <w:rPr>
          <w:rFonts w:cs="Arial"/>
          <w:szCs w:val="24"/>
        </w:rPr>
        <w:t xml:space="preserve"> that the evidence pertaining to Mr Marais’ statements in his “last days” is inadmissible for </w:t>
      </w:r>
      <w:r w:rsidRPr="00E40443">
        <w:rPr>
          <w:rFonts w:cs="Arial"/>
          <w:szCs w:val="24"/>
        </w:rPr>
        <w:t>amount</w:t>
      </w:r>
      <w:r w:rsidR="00EB479F" w:rsidRPr="00E40443">
        <w:rPr>
          <w:rFonts w:cs="Arial"/>
          <w:szCs w:val="24"/>
        </w:rPr>
        <w:t>ing</w:t>
      </w:r>
      <w:r w:rsidRPr="00E40443">
        <w:rPr>
          <w:rFonts w:cs="Arial"/>
          <w:szCs w:val="24"/>
        </w:rPr>
        <w:t xml:space="preserve"> to hearsay</w:t>
      </w:r>
      <w:r w:rsidR="000A449E" w:rsidRPr="00E40443">
        <w:rPr>
          <w:rFonts w:cs="Arial"/>
          <w:szCs w:val="24"/>
        </w:rPr>
        <w:t>,</w:t>
      </w:r>
      <w:r w:rsidR="00EB479F" w:rsidRPr="00E40443">
        <w:rPr>
          <w:rStyle w:val="FootnoteReference"/>
          <w:rFonts w:cs="Arial"/>
          <w:szCs w:val="24"/>
        </w:rPr>
        <w:footnoteReference w:id="234"/>
      </w:r>
      <w:r w:rsidR="000A449E" w:rsidRPr="00E40443">
        <w:rPr>
          <w:rFonts w:cs="Arial"/>
          <w:szCs w:val="24"/>
        </w:rPr>
        <w:t xml:space="preserve"> and proceeded </w:t>
      </w:r>
      <w:r w:rsidR="004C5FF3">
        <w:rPr>
          <w:rFonts w:cs="Arial"/>
          <w:szCs w:val="24"/>
        </w:rPr>
        <w:t xml:space="preserve">to </w:t>
      </w:r>
      <w:r w:rsidR="000A449E" w:rsidRPr="00E40443">
        <w:rPr>
          <w:rFonts w:cs="Arial"/>
          <w:szCs w:val="24"/>
        </w:rPr>
        <w:lastRenderedPageBreak/>
        <w:t xml:space="preserve">find that the </w:t>
      </w:r>
      <w:r w:rsidR="004C5FF3">
        <w:rPr>
          <w:rFonts w:cs="Arial"/>
          <w:szCs w:val="24"/>
        </w:rPr>
        <w:t>r</w:t>
      </w:r>
      <w:r w:rsidR="000A449E" w:rsidRPr="00E40443">
        <w:rPr>
          <w:rFonts w:cs="Arial"/>
          <w:szCs w:val="24"/>
        </w:rPr>
        <w:t>espondents’ version discharged the onus of proving the possibility of a later will</w:t>
      </w:r>
      <w:r w:rsidR="001D4AB5" w:rsidRPr="00E40443">
        <w:rPr>
          <w:rFonts w:cs="Arial"/>
          <w:szCs w:val="24"/>
        </w:rPr>
        <w:t>.</w:t>
      </w:r>
      <w:r w:rsidR="000A449E" w:rsidRPr="00E40443">
        <w:rPr>
          <w:rStyle w:val="FootnoteReference"/>
          <w:rFonts w:cs="Arial"/>
          <w:szCs w:val="24"/>
        </w:rPr>
        <w:footnoteReference w:id="235"/>
      </w:r>
    </w:p>
    <w:p w14:paraId="0756E628" w14:textId="13BFB2C1" w:rsidR="00F22F49" w:rsidRPr="00E40443" w:rsidRDefault="00F22F49" w:rsidP="00C5627E">
      <w:pPr>
        <w:rPr>
          <w:rFonts w:cs="Arial"/>
          <w:szCs w:val="24"/>
        </w:rPr>
      </w:pPr>
      <w:r w:rsidRPr="00E40443">
        <w:rPr>
          <w:rFonts w:cs="Arial"/>
          <w:szCs w:val="24"/>
        </w:rPr>
        <w:t xml:space="preserve">The Court further noted that appointing Mrs Marais is contrary to the provisions of </w:t>
      </w:r>
      <w:r w:rsidRPr="00E40443">
        <w:rPr>
          <w:rFonts w:cs="Arial"/>
          <w:i/>
          <w:iCs/>
          <w:szCs w:val="24"/>
        </w:rPr>
        <w:t>de bloedige hand</w:t>
      </w:r>
      <w:r w:rsidR="00BB458F" w:rsidRPr="00E40443">
        <w:rPr>
          <w:rFonts w:cs="Arial"/>
          <w:szCs w:val="24"/>
        </w:rPr>
        <w:t>, as same amounted to a benefit acquired as a result of the deceased’s death, which benefit she is precluded from receiving.</w:t>
      </w:r>
      <w:r w:rsidR="006B70C9" w:rsidRPr="00E40443">
        <w:rPr>
          <w:rStyle w:val="FootnoteReference"/>
          <w:rFonts w:cs="Arial"/>
          <w:szCs w:val="24"/>
        </w:rPr>
        <w:footnoteReference w:id="236"/>
      </w:r>
    </w:p>
    <w:p w14:paraId="1E09D178" w14:textId="77777777" w:rsidR="002977D8" w:rsidRPr="00E40443" w:rsidRDefault="002977D8" w:rsidP="00C5627E">
      <w:pPr>
        <w:rPr>
          <w:rFonts w:cs="Arial"/>
          <w:szCs w:val="24"/>
        </w:rPr>
      </w:pPr>
    </w:p>
    <w:p w14:paraId="79B5B64B" w14:textId="4AADB537" w:rsidR="002977D8" w:rsidRPr="00E40443" w:rsidRDefault="002977D8" w:rsidP="00C5627E">
      <w:pPr>
        <w:pStyle w:val="Heading3"/>
        <w:numPr>
          <w:ilvl w:val="2"/>
          <w:numId w:val="20"/>
        </w:numPr>
        <w:ind w:left="851" w:hanging="851"/>
        <w:rPr>
          <w:rFonts w:cs="Arial"/>
          <w:b/>
          <w:bCs/>
        </w:rPr>
      </w:pPr>
      <w:bookmarkStart w:id="36" w:name="_Toc191216282"/>
      <w:r w:rsidRPr="00E40443">
        <w:rPr>
          <w:rFonts w:cs="Arial"/>
          <w:b/>
          <w:bCs/>
          <w:i/>
          <w:iCs/>
        </w:rPr>
        <w:t>Danielz NO v De Wet &amp; Another</w:t>
      </w:r>
      <w:r w:rsidRPr="00E40443">
        <w:rPr>
          <w:rFonts w:cs="Arial"/>
          <w:b/>
          <w:bCs/>
        </w:rPr>
        <w:t xml:space="preserve"> 2009 6 SA 42 (C)</w:t>
      </w:r>
      <w:bookmarkEnd w:id="36"/>
    </w:p>
    <w:p w14:paraId="4B1F42F2" w14:textId="31944ECD" w:rsidR="002977D8" w:rsidRPr="00E40443" w:rsidRDefault="002977D8" w:rsidP="00C5627E">
      <w:pPr>
        <w:rPr>
          <w:rFonts w:cs="Arial"/>
          <w:szCs w:val="24"/>
        </w:rPr>
      </w:pPr>
      <w:r w:rsidRPr="00E40443">
        <w:rPr>
          <w:rFonts w:cs="Arial"/>
          <w:szCs w:val="24"/>
        </w:rPr>
        <w:t xml:space="preserve">Mr and Mrs De Wet, who were married to each other in community of property, executed a joint will on 4 March 1993 in terms whereof Mrs De Wet was nominated as sole heir to </w:t>
      </w:r>
      <w:r w:rsidR="00296ED4" w:rsidRPr="00E40443">
        <w:rPr>
          <w:rFonts w:cs="Arial"/>
          <w:szCs w:val="24"/>
        </w:rPr>
        <w:t xml:space="preserve">her husband’s </w:t>
      </w:r>
      <w:r w:rsidRPr="00E40443">
        <w:rPr>
          <w:rFonts w:cs="Arial"/>
          <w:szCs w:val="24"/>
        </w:rPr>
        <w:t>share in the communal estate</w:t>
      </w:r>
      <w:r w:rsidR="00E70E63" w:rsidRPr="00E40443">
        <w:rPr>
          <w:rFonts w:cs="Arial"/>
          <w:szCs w:val="24"/>
        </w:rPr>
        <w:t>, which inheritance she repudiated.</w:t>
      </w:r>
      <w:r w:rsidRPr="00E40443">
        <w:rPr>
          <w:rFonts w:cs="Arial"/>
          <w:szCs w:val="24"/>
        </w:rPr>
        <w:t xml:space="preserve"> Mrs De Wet was also the sole nominated beneficiary of life</w:t>
      </w:r>
      <w:r w:rsidR="001F1921" w:rsidRPr="00E40443">
        <w:rPr>
          <w:rFonts w:cs="Arial"/>
          <w:szCs w:val="24"/>
        </w:rPr>
        <w:t>-</w:t>
      </w:r>
      <w:r w:rsidRPr="00E40443">
        <w:rPr>
          <w:rFonts w:cs="Arial"/>
          <w:szCs w:val="24"/>
        </w:rPr>
        <w:t>insurance policies with Old Mutual.</w:t>
      </w:r>
      <w:r w:rsidRPr="00E40443">
        <w:rPr>
          <w:rStyle w:val="FootnoteReference"/>
          <w:rFonts w:cs="Arial"/>
          <w:szCs w:val="24"/>
        </w:rPr>
        <w:footnoteReference w:id="237"/>
      </w:r>
    </w:p>
    <w:p w14:paraId="15D2FEEC" w14:textId="2286B616" w:rsidR="002977D8" w:rsidRPr="00E40443" w:rsidRDefault="001B1CA9" w:rsidP="00C5627E">
      <w:pPr>
        <w:rPr>
          <w:rFonts w:cs="Arial"/>
          <w:szCs w:val="24"/>
        </w:rPr>
      </w:pPr>
      <w:r w:rsidRPr="00E40443">
        <w:rPr>
          <w:rFonts w:cs="Arial"/>
          <w:szCs w:val="24"/>
        </w:rPr>
        <w:t>Mrs De Wet was charged with conspiracy, murder, and the unlawful possession of a firearm and ammunition,</w:t>
      </w:r>
      <w:r w:rsidRPr="00E40443">
        <w:rPr>
          <w:rStyle w:val="FootnoteReference"/>
          <w:rFonts w:cs="Arial"/>
          <w:szCs w:val="24"/>
        </w:rPr>
        <w:footnoteReference w:id="238"/>
      </w:r>
      <w:r w:rsidRPr="00E40443">
        <w:rPr>
          <w:rFonts w:cs="Arial"/>
          <w:szCs w:val="24"/>
        </w:rPr>
        <w:t xml:space="preserve"> after procuring </w:t>
      </w:r>
      <w:r w:rsidR="002977D8" w:rsidRPr="00E40443">
        <w:rPr>
          <w:rFonts w:cs="Arial"/>
          <w:szCs w:val="24"/>
        </w:rPr>
        <w:t xml:space="preserve">the services </w:t>
      </w:r>
      <w:r w:rsidR="00775DF0" w:rsidRPr="00E40443">
        <w:rPr>
          <w:rFonts w:cs="Arial"/>
          <w:szCs w:val="24"/>
        </w:rPr>
        <w:t xml:space="preserve">of </w:t>
      </w:r>
      <w:r w:rsidR="00192843" w:rsidRPr="00E40443">
        <w:rPr>
          <w:rFonts w:cs="Arial"/>
          <w:szCs w:val="24"/>
        </w:rPr>
        <w:t>assailants</w:t>
      </w:r>
      <w:r w:rsidR="002977D8" w:rsidRPr="00E40443">
        <w:rPr>
          <w:rFonts w:cs="Arial"/>
          <w:szCs w:val="24"/>
        </w:rPr>
        <w:t xml:space="preserve"> to “teach [Mr De Wet] a lesson”. The hitmen shot Mr D</w:t>
      </w:r>
      <w:r w:rsidR="008E281B">
        <w:rPr>
          <w:rFonts w:cs="Arial"/>
          <w:szCs w:val="24"/>
        </w:rPr>
        <w:t>e Wet</w:t>
      </w:r>
      <w:r w:rsidR="002977D8" w:rsidRPr="00E40443">
        <w:rPr>
          <w:rFonts w:cs="Arial"/>
          <w:szCs w:val="24"/>
        </w:rPr>
        <w:t xml:space="preserve"> 18 times, ultimately killing him.</w:t>
      </w:r>
      <w:r w:rsidR="002977D8" w:rsidRPr="00E40443">
        <w:rPr>
          <w:rStyle w:val="FootnoteReference"/>
          <w:rFonts w:cs="Arial"/>
          <w:szCs w:val="24"/>
        </w:rPr>
        <w:footnoteReference w:id="239"/>
      </w:r>
      <w:r w:rsidR="00C9085E" w:rsidRPr="00E40443">
        <w:rPr>
          <w:rFonts w:cs="Arial"/>
          <w:szCs w:val="24"/>
        </w:rPr>
        <w:t xml:space="preserve"> </w:t>
      </w:r>
      <w:r w:rsidR="002977D8" w:rsidRPr="00E40443">
        <w:rPr>
          <w:rFonts w:cs="Arial"/>
          <w:szCs w:val="24"/>
        </w:rPr>
        <w:t xml:space="preserve">Mrs De Wet was </w:t>
      </w:r>
      <w:r w:rsidR="00603F78" w:rsidRPr="00E40443">
        <w:rPr>
          <w:rFonts w:cs="Arial"/>
          <w:szCs w:val="24"/>
        </w:rPr>
        <w:t xml:space="preserve">ultimately </w:t>
      </w:r>
      <w:r w:rsidR="002977D8" w:rsidRPr="00E40443">
        <w:rPr>
          <w:rFonts w:cs="Arial"/>
          <w:szCs w:val="24"/>
        </w:rPr>
        <w:t>convicted of conspiracy to assault and do grievous bodily harm to her late husband, and assault with the intention to do grievous bodily harm to her late husband</w:t>
      </w:r>
      <w:r w:rsidR="00B944CF" w:rsidRPr="00E40443">
        <w:rPr>
          <w:rFonts w:cs="Arial"/>
          <w:szCs w:val="24"/>
        </w:rPr>
        <w:t>.</w:t>
      </w:r>
      <w:r w:rsidR="002977D8" w:rsidRPr="00E40443">
        <w:rPr>
          <w:rStyle w:val="FootnoteReference"/>
          <w:rFonts w:cs="Arial"/>
          <w:szCs w:val="24"/>
        </w:rPr>
        <w:footnoteReference w:id="240"/>
      </w:r>
      <w:r w:rsidR="002977D8" w:rsidRPr="00E40443">
        <w:rPr>
          <w:rFonts w:cs="Arial"/>
          <w:szCs w:val="24"/>
        </w:rPr>
        <w:t xml:space="preserve"> </w:t>
      </w:r>
      <w:r w:rsidR="00B944CF" w:rsidRPr="00E40443">
        <w:rPr>
          <w:rFonts w:cs="Arial"/>
          <w:szCs w:val="24"/>
        </w:rPr>
        <w:t>Although Mrs De Wet admitted to her involvement in the grievous assault of her husband,</w:t>
      </w:r>
      <w:r w:rsidR="00B944CF" w:rsidRPr="00E40443">
        <w:rPr>
          <w:rStyle w:val="FootnoteReference"/>
          <w:rFonts w:cs="Arial"/>
          <w:szCs w:val="24"/>
        </w:rPr>
        <w:footnoteReference w:id="241"/>
      </w:r>
      <w:r w:rsidR="00B63705" w:rsidRPr="00E40443">
        <w:rPr>
          <w:rFonts w:cs="Arial"/>
          <w:szCs w:val="24"/>
        </w:rPr>
        <w:t xml:space="preserve"> and implicitly conceded that he died from the gunshot wounds inflicted at her special instance and request,</w:t>
      </w:r>
      <w:r w:rsidR="00B63705" w:rsidRPr="00E40443">
        <w:rPr>
          <w:rStyle w:val="FootnoteReference"/>
          <w:rFonts w:cs="Arial"/>
          <w:szCs w:val="24"/>
        </w:rPr>
        <w:footnoteReference w:id="242"/>
      </w:r>
      <w:r w:rsidR="00B63705" w:rsidRPr="00E40443">
        <w:rPr>
          <w:rFonts w:cs="Arial"/>
          <w:szCs w:val="24"/>
        </w:rPr>
        <w:t xml:space="preserve"> she </w:t>
      </w:r>
      <w:r w:rsidR="00D45F66" w:rsidRPr="00E40443">
        <w:rPr>
          <w:rFonts w:cs="Arial"/>
          <w:szCs w:val="24"/>
        </w:rPr>
        <w:t>submit</w:t>
      </w:r>
      <w:r w:rsidR="006D5825">
        <w:rPr>
          <w:rFonts w:cs="Arial"/>
          <w:szCs w:val="24"/>
        </w:rPr>
        <w:t>ted</w:t>
      </w:r>
      <w:r w:rsidR="00D45F66" w:rsidRPr="00E40443">
        <w:rPr>
          <w:rFonts w:cs="Arial"/>
          <w:szCs w:val="24"/>
        </w:rPr>
        <w:t xml:space="preserve"> that the presiding officer in the criminal case found no intention to kill her husband</w:t>
      </w:r>
      <w:r w:rsidR="00B63705" w:rsidRPr="00E40443">
        <w:rPr>
          <w:rFonts w:cs="Arial"/>
          <w:szCs w:val="24"/>
        </w:rPr>
        <w:t>.</w:t>
      </w:r>
    </w:p>
    <w:p w14:paraId="3E0A2D3D" w14:textId="15EAEC4C" w:rsidR="00A24D03" w:rsidRPr="00E40443" w:rsidRDefault="00A24D03" w:rsidP="00C5627E">
      <w:pPr>
        <w:rPr>
          <w:rFonts w:cs="Arial"/>
          <w:szCs w:val="24"/>
        </w:rPr>
      </w:pPr>
      <w:r w:rsidRPr="00E40443">
        <w:rPr>
          <w:rFonts w:cs="Arial"/>
          <w:szCs w:val="24"/>
        </w:rPr>
        <w:t xml:space="preserve">Ms Danielz, in her capacity as executor’s nominee, approached the Court for an order declaring that Mrs De Wet </w:t>
      </w:r>
      <w:r w:rsidR="006D5825">
        <w:rPr>
          <w:rFonts w:cs="Arial"/>
          <w:szCs w:val="24"/>
        </w:rPr>
        <w:t>was</w:t>
      </w:r>
      <w:r w:rsidRPr="00E40443">
        <w:rPr>
          <w:rFonts w:cs="Arial"/>
          <w:szCs w:val="24"/>
        </w:rPr>
        <w:t xml:space="preserve"> disqualified from receiving benefit under the deceased’s life-insurance policies.</w:t>
      </w:r>
      <w:r w:rsidR="00D14E31" w:rsidRPr="00E40443">
        <w:rPr>
          <w:rStyle w:val="FootnoteReference"/>
          <w:rFonts w:cs="Arial"/>
          <w:szCs w:val="24"/>
        </w:rPr>
        <w:footnoteReference w:id="243"/>
      </w:r>
      <w:r w:rsidR="00142885" w:rsidRPr="00E40443">
        <w:rPr>
          <w:rFonts w:cs="Arial"/>
          <w:szCs w:val="24"/>
        </w:rPr>
        <w:t xml:space="preserve"> The Court was tasked to determine whether Mrs De Wet had a direct claim to the proceeds of the policies, and whether she had a claim against the estate, either under the will or in terms of her marital regime.</w:t>
      </w:r>
      <w:r w:rsidR="00142885" w:rsidRPr="00E40443">
        <w:rPr>
          <w:rStyle w:val="FootnoteReference"/>
          <w:rFonts w:cs="Arial"/>
          <w:szCs w:val="24"/>
        </w:rPr>
        <w:footnoteReference w:id="244"/>
      </w:r>
    </w:p>
    <w:p w14:paraId="206C0F28" w14:textId="3ED10893" w:rsidR="00B82AA4" w:rsidRPr="00E40443" w:rsidRDefault="00A4681C" w:rsidP="00C5627E">
      <w:pPr>
        <w:rPr>
          <w:rFonts w:cs="Arial"/>
          <w:szCs w:val="24"/>
        </w:rPr>
      </w:pPr>
      <w:r w:rsidRPr="00E40443">
        <w:rPr>
          <w:rFonts w:cs="Arial"/>
          <w:szCs w:val="24"/>
        </w:rPr>
        <w:lastRenderedPageBreak/>
        <w:t xml:space="preserve">In terms of insurance law, </w:t>
      </w:r>
      <w:r w:rsidR="00443C02" w:rsidRPr="00E40443">
        <w:rPr>
          <w:rFonts w:cs="Arial"/>
          <w:szCs w:val="24"/>
        </w:rPr>
        <w:t xml:space="preserve">public policy prohibits </w:t>
      </w:r>
      <w:r w:rsidRPr="00E40443">
        <w:rPr>
          <w:rFonts w:cs="Arial"/>
          <w:szCs w:val="24"/>
        </w:rPr>
        <w:t>an assured who intentionally accelerates</w:t>
      </w:r>
      <w:r w:rsidR="00443C02" w:rsidRPr="00E40443">
        <w:rPr>
          <w:rFonts w:cs="Arial"/>
          <w:szCs w:val="24"/>
        </w:rPr>
        <w:t xml:space="preserve"> the risk insured against, whether by criminal or merely reprehensible conduct, is precluded from claiming </w:t>
      </w:r>
      <w:r w:rsidR="006D5825">
        <w:rPr>
          <w:rFonts w:cs="Arial"/>
          <w:szCs w:val="24"/>
        </w:rPr>
        <w:t xml:space="preserve">a </w:t>
      </w:r>
      <w:r w:rsidR="00443C02" w:rsidRPr="00E40443">
        <w:rPr>
          <w:rFonts w:cs="Arial"/>
          <w:szCs w:val="24"/>
        </w:rPr>
        <w:t>benefit under such policy for being unworthy</w:t>
      </w:r>
      <w:r w:rsidR="00443C02" w:rsidRPr="00E40443">
        <w:rPr>
          <w:rStyle w:val="FootnoteReference"/>
          <w:rFonts w:cs="Arial"/>
          <w:szCs w:val="24"/>
        </w:rPr>
        <w:footnoteReference w:id="245"/>
      </w:r>
      <w:r w:rsidR="00443C02" w:rsidRPr="00E40443">
        <w:rPr>
          <w:rFonts w:cs="Arial"/>
          <w:szCs w:val="24"/>
        </w:rPr>
        <w:t xml:space="preserve"> and accordingly not </w:t>
      </w:r>
      <w:r w:rsidR="00B44867" w:rsidRPr="00E40443">
        <w:rPr>
          <w:rFonts w:cs="Arial"/>
          <w:szCs w:val="24"/>
        </w:rPr>
        <w:t>eligible to derive benefit from his wrongful conduct</w:t>
      </w:r>
      <w:r w:rsidR="00443C02" w:rsidRPr="00E40443">
        <w:rPr>
          <w:rFonts w:cs="Arial"/>
          <w:szCs w:val="24"/>
        </w:rPr>
        <w:t>.</w:t>
      </w:r>
      <w:r w:rsidR="00B44867" w:rsidRPr="00E40443">
        <w:rPr>
          <w:rStyle w:val="FootnoteReference"/>
          <w:rFonts w:cs="Arial"/>
          <w:szCs w:val="24"/>
        </w:rPr>
        <w:footnoteReference w:id="246"/>
      </w:r>
      <w:r w:rsidR="00B44867" w:rsidRPr="00E40443">
        <w:rPr>
          <w:rFonts w:cs="Arial"/>
          <w:szCs w:val="24"/>
        </w:rPr>
        <w:t xml:space="preserve"> </w:t>
      </w:r>
    </w:p>
    <w:p w14:paraId="720D5218" w14:textId="33BE463D" w:rsidR="00B82AA4" w:rsidRPr="00E40443" w:rsidRDefault="00B82AA4" w:rsidP="00C5627E">
      <w:pPr>
        <w:rPr>
          <w:rFonts w:cs="Arial"/>
          <w:szCs w:val="24"/>
        </w:rPr>
      </w:pPr>
      <w:r w:rsidRPr="00E40443">
        <w:rPr>
          <w:rFonts w:cs="Arial"/>
          <w:szCs w:val="24"/>
        </w:rPr>
        <w:t>In terms of matrimonial property law, a joint estate is established upon conclusion of a marriage and terminated upon dissolution thereof.</w:t>
      </w:r>
      <w:r w:rsidR="00786564" w:rsidRPr="00E40443">
        <w:rPr>
          <w:rStyle w:val="FootnoteReference"/>
          <w:rFonts w:cs="Arial"/>
          <w:szCs w:val="24"/>
        </w:rPr>
        <w:footnoteReference w:id="247"/>
      </w:r>
      <w:r w:rsidR="00605AF0" w:rsidRPr="00E40443">
        <w:rPr>
          <w:rFonts w:cs="Arial"/>
          <w:szCs w:val="24"/>
        </w:rPr>
        <w:t xml:space="preserve"> This termination occurs </w:t>
      </w:r>
      <w:r w:rsidR="00605AF0" w:rsidRPr="00E40443">
        <w:rPr>
          <w:rFonts w:cs="Arial"/>
          <w:i/>
          <w:iCs/>
          <w:szCs w:val="24"/>
        </w:rPr>
        <w:t>ex lege</w:t>
      </w:r>
      <w:r w:rsidR="00605AF0" w:rsidRPr="00E40443">
        <w:rPr>
          <w:rFonts w:cs="Arial"/>
          <w:szCs w:val="24"/>
        </w:rPr>
        <w:t xml:space="preserve"> upon the death of a spouse,</w:t>
      </w:r>
      <w:r w:rsidR="00605AF0" w:rsidRPr="00E40443">
        <w:rPr>
          <w:rStyle w:val="FootnoteReference"/>
          <w:rFonts w:cs="Arial"/>
          <w:szCs w:val="24"/>
        </w:rPr>
        <w:footnoteReference w:id="248"/>
      </w:r>
      <w:r w:rsidR="00605AF0" w:rsidRPr="00E40443">
        <w:rPr>
          <w:rFonts w:cs="Arial"/>
          <w:szCs w:val="24"/>
        </w:rPr>
        <w:t xml:space="preserve"> and accordingly assets </w:t>
      </w:r>
      <w:r w:rsidR="00327189" w:rsidRPr="00E40443">
        <w:rPr>
          <w:rFonts w:cs="Arial"/>
          <w:szCs w:val="24"/>
        </w:rPr>
        <w:t xml:space="preserve">falling due on </w:t>
      </w:r>
      <w:r w:rsidR="00605AF0" w:rsidRPr="00E40443">
        <w:rPr>
          <w:rFonts w:cs="Arial"/>
          <w:szCs w:val="24"/>
        </w:rPr>
        <w:t xml:space="preserve">death </w:t>
      </w:r>
      <w:r w:rsidR="00813E65" w:rsidRPr="00E40443">
        <w:rPr>
          <w:rFonts w:cs="Arial"/>
          <w:szCs w:val="24"/>
        </w:rPr>
        <w:t>cannot</w:t>
      </w:r>
      <w:r w:rsidR="00327189" w:rsidRPr="00E40443">
        <w:rPr>
          <w:rFonts w:cs="Arial"/>
          <w:szCs w:val="24"/>
        </w:rPr>
        <w:t xml:space="preserve"> </w:t>
      </w:r>
      <w:r w:rsidR="004A356B" w:rsidRPr="00E40443">
        <w:rPr>
          <w:rFonts w:cs="Arial"/>
          <w:szCs w:val="24"/>
        </w:rPr>
        <w:t>and does</w:t>
      </w:r>
      <w:r w:rsidR="00327189" w:rsidRPr="00E40443">
        <w:rPr>
          <w:rFonts w:cs="Arial"/>
          <w:szCs w:val="24"/>
        </w:rPr>
        <w:t xml:space="preserve"> not form part of the </w:t>
      </w:r>
      <w:r w:rsidR="00605AF0" w:rsidRPr="00E40443">
        <w:rPr>
          <w:rFonts w:cs="Arial"/>
          <w:szCs w:val="24"/>
        </w:rPr>
        <w:t>communal estate.</w:t>
      </w:r>
      <w:r w:rsidR="00327189" w:rsidRPr="00E40443">
        <w:rPr>
          <w:rStyle w:val="FootnoteReference"/>
          <w:rFonts w:cs="Arial"/>
          <w:szCs w:val="24"/>
        </w:rPr>
        <w:footnoteReference w:id="249"/>
      </w:r>
    </w:p>
    <w:p w14:paraId="6166E738" w14:textId="774F475C" w:rsidR="00625A57" w:rsidRPr="00E40443" w:rsidRDefault="00443C02" w:rsidP="00C5627E">
      <w:pPr>
        <w:rPr>
          <w:rFonts w:cs="Arial"/>
          <w:szCs w:val="24"/>
        </w:rPr>
      </w:pPr>
      <w:r w:rsidRPr="00E40443">
        <w:rPr>
          <w:rFonts w:cs="Arial"/>
          <w:szCs w:val="24"/>
        </w:rPr>
        <w:t>Considering th</w:t>
      </w:r>
      <w:r w:rsidR="00181F3D" w:rsidRPr="00E40443">
        <w:rPr>
          <w:rFonts w:cs="Arial"/>
          <w:szCs w:val="24"/>
        </w:rPr>
        <w:t xml:space="preserve">e above, along with </w:t>
      </w:r>
      <w:r w:rsidRPr="00E40443">
        <w:rPr>
          <w:rFonts w:cs="Arial"/>
          <w:szCs w:val="24"/>
        </w:rPr>
        <w:t xml:space="preserve">provisions of </w:t>
      </w:r>
      <w:r w:rsidRPr="00E40443">
        <w:rPr>
          <w:rFonts w:cs="Arial"/>
          <w:i/>
          <w:iCs/>
          <w:szCs w:val="24"/>
        </w:rPr>
        <w:t>de bloedige hand</w:t>
      </w:r>
      <w:r w:rsidRPr="00E40443">
        <w:rPr>
          <w:rFonts w:cs="Arial"/>
          <w:szCs w:val="24"/>
        </w:rPr>
        <w:t xml:space="preserve">, the </w:t>
      </w:r>
      <w:r w:rsidR="00C30EC4" w:rsidRPr="00E40443">
        <w:rPr>
          <w:rFonts w:cs="Arial"/>
          <w:szCs w:val="24"/>
        </w:rPr>
        <w:t>Court</w:t>
      </w:r>
      <w:r w:rsidR="00B44867" w:rsidRPr="00E40443">
        <w:rPr>
          <w:rFonts w:cs="Arial"/>
          <w:szCs w:val="24"/>
        </w:rPr>
        <w:t xml:space="preserve"> held that </w:t>
      </w:r>
      <w:r w:rsidR="00C30EC4" w:rsidRPr="00E40443">
        <w:rPr>
          <w:rFonts w:cs="Arial"/>
          <w:szCs w:val="24"/>
        </w:rPr>
        <w:t xml:space="preserve">Mrs De Wet </w:t>
      </w:r>
      <w:r w:rsidR="00B44867" w:rsidRPr="00E40443">
        <w:rPr>
          <w:rFonts w:cs="Arial"/>
          <w:szCs w:val="24"/>
        </w:rPr>
        <w:t xml:space="preserve">was </w:t>
      </w:r>
      <w:r w:rsidR="00181F3D" w:rsidRPr="00E40443">
        <w:rPr>
          <w:rFonts w:cs="Arial"/>
          <w:szCs w:val="24"/>
        </w:rPr>
        <w:t xml:space="preserve">not </w:t>
      </w:r>
      <w:r w:rsidR="00C30EC4" w:rsidRPr="00E40443">
        <w:rPr>
          <w:rFonts w:cs="Arial"/>
          <w:szCs w:val="24"/>
        </w:rPr>
        <w:t xml:space="preserve">entitled to </w:t>
      </w:r>
      <w:r w:rsidR="00181F3D" w:rsidRPr="00E40443">
        <w:rPr>
          <w:rFonts w:cs="Arial"/>
          <w:szCs w:val="24"/>
        </w:rPr>
        <w:t>claim policy benefits</w:t>
      </w:r>
      <w:r w:rsidRPr="00E40443">
        <w:rPr>
          <w:rFonts w:cs="Arial"/>
          <w:szCs w:val="24"/>
        </w:rPr>
        <w:t xml:space="preserve">, </w:t>
      </w:r>
      <w:r w:rsidR="00181F3D" w:rsidRPr="00E40443">
        <w:rPr>
          <w:rFonts w:cs="Arial"/>
          <w:szCs w:val="24"/>
        </w:rPr>
        <w:t xml:space="preserve">neither in terms of </w:t>
      </w:r>
      <w:r w:rsidR="00DC1368" w:rsidRPr="00E40443">
        <w:rPr>
          <w:rFonts w:cs="Arial"/>
          <w:szCs w:val="24"/>
        </w:rPr>
        <w:t>the convictions of the community,</w:t>
      </w:r>
      <w:r w:rsidR="00DC1368" w:rsidRPr="00E40443">
        <w:rPr>
          <w:rStyle w:val="FootnoteReference"/>
          <w:rFonts w:cs="Arial"/>
          <w:szCs w:val="24"/>
        </w:rPr>
        <w:footnoteReference w:id="250"/>
      </w:r>
      <w:r w:rsidR="00DC1368" w:rsidRPr="00E40443">
        <w:rPr>
          <w:rFonts w:cs="Arial"/>
          <w:szCs w:val="24"/>
        </w:rPr>
        <w:t xml:space="preserve"> </w:t>
      </w:r>
      <w:r w:rsidR="00181F3D" w:rsidRPr="00E40443">
        <w:rPr>
          <w:rFonts w:cs="Arial"/>
          <w:szCs w:val="24"/>
        </w:rPr>
        <w:t xml:space="preserve">nor </w:t>
      </w:r>
      <w:r w:rsidR="00F82480" w:rsidRPr="00E40443">
        <w:rPr>
          <w:rFonts w:cs="Arial"/>
          <w:szCs w:val="24"/>
        </w:rPr>
        <w:t>by virtue of her marriage in community of property.</w:t>
      </w:r>
      <w:r w:rsidR="00F82480" w:rsidRPr="00E40443">
        <w:rPr>
          <w:rStyle w:val="FootnoteReference"/>
          <w:rFonts w:cs="Arial"/>
          <w:szCs w:val="24"/>
        </w:rPr>
        <w:footnoteReference w:id="251"/>
      </w:r>
      <w:r w:rsidR="00181F3D" w:rsidRPr="00E40443">
        <w:rPr>
          <w:rFonts w:cs="Arial"/>
          <w:szCs w:val="24"/>
        </w:rPr>
        <w:t xml:space="preserve"> Mrs De Wet was </w:t>
      </w:r>
      <w:r w:rsidR="00625A57" w:rsidRPr="00E40443">
        <w:rPr>
          <w:rFonts w:cs="Arial"/>
          <w:szCs w:val="24"/>
        </w:rPr>
        <w:t xml:space="preserve">further </w:t>
      </w:r>
      <w:r w:rsidR="00181F3D" w:rsidRPr="00E40443">
        <w:rPr>
          <w:rFonts w:cs="Arial"/>
          <w:szCs w:val="24"/>
        </w:rPr>
        <w:t xml:space="preserve">precluded from </w:t>
      </w:r>
      <w:r w:rsidR="00625A57" w:rsidRPr="00E40443">
        <w:rPr>
          <w:rFonts w:cs="Arial"/>
          <w:szCs w:val="24"/>
        </w:rPr>
        <w:t>inheriting</w:t>
      </w:r>
      <w:r w:rsidR="008E281B">
        <w:rPr>
          <w:rFonts w:cs="Arial"/>
          <w:szCs w:val="24"/>
        </w:rPr>
        <w:t>.</w:t>
      </w:r>
      <w:r w:rsidR="00625A57" w:rsidRPr="00E40443">
        <w:rPr>
          <w:rStyle w:val="FootnoteReference"/>
          <w:rFonts w:cs="Arial"/>
          <w:szCs w:val="24"/>
        </w:rPr>
        <w:footnoteReference w:id="252"/>
      </w:r>
    </w:p>
    <w:p w14:paraId="3C3A2FCF" w14:textId="0D1120DA" w:rsidR="00C71D4C" w:rsidRPr="00E40443" w:rsidRDefault="00C602B5" w:rsidP="00C5627E">
      <w:pPr>
        <w:rPr>
          <w:rFonts w:cs="Arial"/>
          <w:szCs w:val="24"/>
        </w:rPr>
      </w:pPr>
      <w:r w:rsidRPr="00E40443">
        <w:rPr>
          <w:rFonts w:cs="Arial"/>
          <w:szCs w:val="24"/>
        </w:rPr>
        <w:t>Rather than developing a recognised ground for unworthiness, this case was decided in terms of public policy</w:t>
      </w:r>
      <w:r w:rsidR="006D5825">
        <w:rPr>
          <w:rFonts w:cs="Arial"/>
          <w:szCs w:val="24"/>
        </w:rPr>
        <w:t>.</w:t>
      </w:r>
      <w:r w:rsidRPr="00E40443">
        <w:rPr>
          <w:rStyle w:val="FootnoteReference"/>
          <w:rFonts w:cs="Arial"/>
          <w:szCs w:val="24"/>
        </w:rPr>
        <w:footnoteReference w:id="253"/>
      </w:r>
      <w:r w:rsidRPr="00E40443">
        <w:rPr>
          <w:rFonts w:cs="Arial"/>
          <w:szCs w:val="24"/>
        </w:rPr>
        <w:t xml:space="preserve"> </w:t>
      </w:r>
      <w:r w:rsidR="006D5825">
        <w:rPr>
          <w:rFonts w:cs="Arial"/>
          <w:szCs w:val="24"/>
        </w:rPr>
        <w:t>D</w:t>
      </w:r>
      <w:r w:rsidR="005548DE" w:rsidRPr="00E40443">
        <w:rPr>
          <w:rFonts w:cs="Arial"/>
          <w:szCs w:val="24"/>
        </w:rPr>
        <w:t>espite the criticism against this judgement,</w:t>
      </w:r>
      <w:r w:rsidR="00C71D4C" w:rsidRPr="00E40443">
        <w:rPr>
          <w:rFonts w:cs="Arial"/>
          <w:szCs w:val="24"/>
        </w:rPr>
        <w:t xml:space="preserve"> for </w:t>
      </w:r>
      <w:r w:rsidR="005548DE" w:rsidRPr="00E40443">
        <w:rPr>
          <w:rFonts w:cs="Arial"/>
          <w:szCs w:val="24"/>
        </w:rPr>
        <w:t xml:space="preserve">leaving </w:t>
      </w:r>
      <w:r w:rsidR="005548DE" w:rsidRPr="00E40443">
        <w:rPr>
          <w:rFonts w:cs="Arial"/>
          <w:i/>
          <w:iCs/>
          <w:szCs w:val="24"/>
        </w:rPr>
        <w:t>de bloedige hand</w:t>
      </w:r>
      <w:r w:rsidR="005548DE" w:rsidRPr="00E40443">
        <w:rPr>
          <w:rFonts w:cs="Arial"/>
          <w:szCs w:val="24"/>
        </w:rPr>
        <w:t xml:space="preserve"> in a “confusing state”, in the absence of either form of fault, the correctness of this ruling was confirmed in the case of </w:t>
      </w:r>
      <w:r w:rsidR="005548DE" w:rsidRPr="00E40443">
        <w:rPr>
          <w:rFonts w:cs="Arial"/>
          <w:i/>
          <w:iCs/>
          <w:szCs w:val="24"/>
        </w:rPr>
        <w:t>Smit</w:t>
      </w:r>
      <w:r w:rsidR="005548DE" w:rsidRPr="00E40443">
        <w:rPr>
          <w:rFonts w:cs="Arial"/>
          <w:szCs w:val="24"/>
        </w:rPr>
        <w:t xml:space="preserve"> by advancing the need for unique approaches to novel matters.</w:t>
      </w:r>
      <w:r w:rsidR="005548DE" w:rsidRPr="00E40443">
        <w:rPr>
          <w:rStyle w:val="FootnoteReference"/>
          <w:rFonts w:cs="Arial"/>
          <w:szCs w:val="24"/>
        </w:rPr>
        <w:footnoteReference w:id="254"/>
      </w:r>
      <w:r w:rsidR="00907C2E" w:rsidRPr="00E40443">
        <w:rPr>
          <w:rFonts w:cs="Arial"/>
          <w:szCs w:val="24"/>
        </w:rPr>
        <w:t xml:space="preserve"> </w:t>
      </w:r>
    </w:p>
    <w:p w14:paraId="4D1994E8" w14:textId="1FCC280F" w:rsidR="007E4036" w:rsidRPr="00E40443" w:rsidRDefault="007E4036" w:rsidP="00C5627E">
      <w:pPr>
        <w:rPr>
          <w:rFonts w:cs="Arial"/>
          <w:szCs w:val="24"/>
        </w:rPr>
      </w:pPr>
    </w:p>
    <w:p w14:paraId="743548FB" w14:textId="792610F5" w:rsidR="002977D8" w:rsidRPr="00E40443" w:rsidRDefault="002977D8" w:rsidP="00C5627E">
      <w:pPr>
        <w:pStyle w:val="Heading3"/>
        <w:numPr>
          <w:ilvl w:val="2"/>
          <w:numId w:val="20"/>
        </w:numPr>
        <w:ind w:left="851" w:hanging="851"/>
        <w:rPr>
          <w:rFonts w:cs="Arial"/>
          <w:b/>
          <w:bCs/>
        </w:rPr>
      </w:pPr>
      <w:bookmarkStart w:id="37" w:name="_Toc191216283"/>
      <w:r w:rsidRPr="00E40443">
        <w:rPr>
          <w:rFonts w:cs="Arial"/>
          <w:b/>
          <w:bCs/>
          <w:i/>
          <w:iCs/>
        </w:rPr>
        <w:t>Smit v The Master of the High Court, Western Cape &amp; Others</w:t>
      </w:r>
      <w:r w:rsidRPr="00E40443">
        <w:rPr>
          <w:rFonts w:cs="Arial"/>
          <w:b/>
          <w:bCs/>
        </w:rPr>
        <w:t xml:space="preserve"> [2022] ZAWCHC 56 (26 April 2022)</w:t>
      </w:r>
      <w:bookmarkEnd w:id="37"/>
    </w:p>
    <w:p w14:paraId="3B3DC7EF" w14:textId="34BAB8A0" w:rsidR="002977D8" w:rsidRPr="00E40443" w:rsidRDefault="002977D8" w:rsidP="00C5627E">
      <w:pPr>
        <w:rPr>
          <w:rFonts w:cs="Arial"/>
          <w:szCs w:val="24"/>
        </w:rPr>
      </w:pPr>
      <w:r w:rsidRPr="00E40443">
        <w:rPr>
          <w:rFonts w:cs="Arial"/>
          <w:szCs w:val="24"/>
        </w:rPr>
        <w:t xml:space="preserve">This </w:t>
      </w:r>
      <w:r w:rsidR="00361B27" w:rsidRPr="00E40443">
        <w:rPr>
          <w:rFonts w:cs="Arial"/>
          <w:szCs w:val="24"/>
        </w:rPr>
        <w:t xml:space="preserve">is a groundbreaking case in that </w:t>
      </w:r>
      <w:r w:rsidRPr="00E40443">
        <w:rPr>
          <w:rFonts w:cs="Arial"/>
          <w:i/>
          <w:iCs/>
          <w:szCs w:val="24"/>
        </w:rPr>
        <w:t>de bloedige hand</w:t>
      </w:r>
      <w:r w:rsidRPr="00E40443">
        <w:rPr>
          <w:rFonts w:cs="Arial"/>
          <w:szCs w:val="24"/>
        </w:rPr>
        <w:t xml:space="preserve"> was raised before </w:t>
      </w:r>
      <w:r w:rsidR="007B4864" w:rsidRPr="00E40443">
        <w:rPr>
          <w:rFonts w:cs="Arial"/>
          <w:szCs w:val="24"/>
        </w:rPr>
        <w:t>arrests were made in connection with the murder of the deceased</w:t>
      </w:r>
      <w:r w:rsidRPr="00E40443">
        <w:rPr>
          <w:rFonts w:cs="Arial"/>
          <w:szCs w:val="24"/>
        </w:rPr>
        <w:t>.</w:t>
      </w:r>
      <w:r w:rsidRPr="00E40443">
        <w:rPr>
          <w:rStyle w:val="FootnoteReference"/>
          <w:rFonts w:cs="Arial"/>
          <w:szCs w:val="24"/>
        </w:rPr>
        <w:footnoteReference w:id="255"/>
      </w:r>
    </w:p>
    <w:p w14:paraId="2E024470" w14:textId="7FD2E94E" w:rsidR="0010611F" w:rsidRPr="00E40443" w:rsidRDefault="002977D8" w:rsidP="00C5627E">
      <w:pPr>
        <w:rPr>
          <w:rFonts w:cs="Arial"/>
          <w:szCs w:val="24"/>
        </w:rPr>
      </w:pPr>
      <w:r w:rsidRPr="00E40443">
        <w:rPr>
          <w:rFonts w:cs="Arial"/>
          <w:szCs w:val="24"/>
        </w:rPr>
        <w:lastRenderedPageBreak/>
        <w:t xml:space="preserve">Mr </w:t>
      </w:r>
      <w:r w:rsidR="00E10BEC" w:rsidRPr="00E40443">
        <w:rPr>
          <w:rFonts w:cs="Arial"/>
          <w:szCs w:val="24"/>
        </w:rPr>
        <w:t>Wynand Stephanus Smit was married to Zurenah</w:t>
      </w:r>
      <w:r w:rsidRPr="00E40443">
        <w:rPr>
          <w:rFonts w:cs="Arial"/>
          <w:szCs w:val="24"/>
        </w:rPr>
        <w:t xml:space="preserve"> Smit for 18 years.</w:t>
      </w:r>
      <w:r w:rsidRPr="00E40443">
        <w:rPr>
          <w:rStyle w:val="FootnoteReference"/>
          <w:rFonts w:cs="Arial"/>
          <w:szCs w:val="24"/>
        </w:rPr>
        <w:footnoteReference w:id="256"/>
      </w:r>
      <w:r w:rsidRPr="00E40443">
        <w:rPr>
          <w:rFonts w:cs="Arial"/>
          <w:szCs w:val="24"/>
        </w:rPr>
        <w:t xml:space="preserve"> </w:t>
      </w:r>
      <w:r w:rsidR="007B4864" w:rsidRPr="00E40443">
        <w:rPr>
          <w:rFonts w:cs="Arial"/>
          <w:szCs w:val="24"/>
        </w:rPr>
        <w:t>Mr Smit was considered a “punctilious person”, orderly and meticulous</w:t>
      </w:r>
      <w:r w:rsidR="001C0227" w:rsidRPr="00E40443">
        <w:rPr>
          <w:rFonts w:cs="Arial"/>
          <w:szCs w:val="24"/>
        </w:rPr>
        <w:t>,</w:t>
      </w:r>
      <w:r w:rsidR="007B4864" w:rsidRPr="00E40443">
        <w:rPr>
          <w:rStyle w:val="FootnoteReference"/>
          <w:rFonts w:cs="Arial"/>
          <w:szCs w:val="24"/>
        </w:rPr>
        <w:footnoteReference w:id="257"/>
      </w:r>
      <w:r w:rsidR="001C0227" w:rsidRPr="00E40443">
        <w:rPr>
          <w:rFonts w:cs="Arial"/>
          <w:szCs w:val="24"/>
        </w:rPr>
        <w:t xml:space="preserve"> </w:t>
      </w:r>
      <w:r w:rsidR="0010611F" w:rsidRPr="00E40443">
        <w:rPr>
          <w:rFonts w:cs="Arial"/>
          <w:szCs w:val="24"/>
        </w:rPr>
        <w:t xml:space="preserve">who was careful and </w:t>
      </w:r>
      <w:r w:rsidR="001C0227" w:rsidRPr="00E40443">
        <w:rPr>
          <w:rFonts w:cs="Arial"/>
          <w:szCs w:val="24"/>
        </w:rPr>
        <w:t>cautious</w:t>
      </w:r>
      <w:r w:rsidR="007B4864" w:rsidRPr="00E40443">
        <w:rPr>
          <w:rFonts w:cs="Arial"/>
          <w:szCs w:val="24"/>
        </w:rPr>
        <w:t xml:space="preserve"> </w:t>
      </w:r>
      <w:r w:rsidR="0010611F" w:rsidRPr="00E40443">
        <w:rPr>
          <w:rFonts w:cs="Arial"/>
          <w:szCs w:val="24"/>
        </w:rPr>
        <w:t>when making decisions after consulting experts when necessary.</w:t>
      </w:r>
      <w:r w:rsidR="0010611F" w:rsidRPr="00E40443">
        <w:rPr>
          <w:rStyle w:val="FootnoteReference"/>
          <w:rFonts w:cs="Arial"/>
          <w:szCs w:val="24"/>
        </w:rPr>
        <w:footnoteReference w:id="258"/>
      </w:r>
    </w:p>
    <w:p w14:paraId="4C2BF450" w14:textId="31AA19C4" w:rsidR="002977D8" w:rsidRPr="00E40443" w:rsidRDefault="002977D8" w:rsidP="00C5627E">
      <w:pPr>
        <w:rPr>
          <w:rFonts w:cs="Arial"/>
          <w:szCs w:val="24"/>
        </w:rPr>
      </w:pPr>
      <w:r w:rsidRPr="00E40443">
        <w:rPr>
          <w:rFonts w:cs="Arial"/>
          <w:szCs w:val="24"/>
        </w:rPr>
        <w:t xml:space="preserve">On 2 June 2019, three alleged assailants entered the Smits’ family home on the </w:t>
      </w:r>
      <w:r w:rsidR="008A1E72">
        <w:rPr>
          <w:rFonts w:cs="Arial"/>
          <w:szCs w:val="24"/>
        </w:rPr>
        <w:t>f</w:t>
      </w:r>
      <w:r w:rsidRPr="00E40443">
        <w:rPr>
          <w:rFonts w:cs="Arial"/>
          <w:szCs w:val="24"/>
        </w:rPr>
        <w:t>arm Louisenhof and shot Mr Smit three times, thereby killing him in the dining room</w:t>
      </w:r>
      <w:r w:rsidRPr="00E40443">
        <w:rPr>
          <w:rStyle w:val="FootnoteReference"/>
          <w:rFonts w:cs="Arial"/>
          <w:szCs w:val="24"/>
        </w:rPr>
        <w:footnoteReference w:id="259"/>
      </w:r>
      <w:r w:rsidRPr="00E40443">
        <w:rPr>
          <w:rFonts w:cs="Arial"/>
          <w:szCs w:val="24"/>
        </w:rPr>
        <w:t xml:space="preserve"> </w:t>
      </w:r>
      <w:r w:rsidR="003E4F14" w:rsidRPr="00E40443">
        <w:rPr>
          <w:rFonts w:cs="Arial"/>
          <w:szCs w:val="24"/>
        </w:rPr>
        <w:t>with firearms previously kept in his own safe.</w:t>
      </w:r>
      <w:r w:rsidR="005274B0" w:rsidRPr="00E40443">
        <w:rPr>
          <w:rStyle w:val="FootnoteReference"/>
          <w:rFonts w:cs="Arial"/>
          <w:szCs w:val="24"/>
        </w:rPr>
        <w:footnoteReference w:id="260"/>
      </w:r>
      <w:r w:rsidR="003E4F14" w:rsidRPr="00E40443">
        <w:rPr>
          <w:rFonts w:cs="Arial"/>
          <w:szCs w:val="24"/>
        </w:rPr>
        <w:t xml:space="preserve"> </w:t>
      </w:r>
      <w:r w:rsidRPr="00E40443">
        <w:rPr>
          <w:rFonts w:cs="Arial"/>
          <w:szCs w:val="24"/>
        </w:rPr>
        <w:t>Mrs Smit was charged with murder, fraud, illegal possession of firearms and defeating the ends of justice.</w:t>
      </w:r>
      <w:r w:rsidRPr="00E40443">
        <w:rPr>
          <w:rStyle w:val="FootnoteReference"/>
          <w:rFonts w:cs="Arial"/>
          <w:szCs w:val="24"/>
        </w:rPr>
        <w:footnoteReference w:id="261"/>
      </w:r>
    </w:p>
    <w:p w14:paraId="41F1F53A" w14:textId="41816B61" w:rsidR="0010611F" w:rsidRPr="00E40443" w:rsidRDefault="005A7C40" w:rsidP="00C5627E">
      <w:pPr>
        <w:rPr>
          <w:rFonts w:cs="Arial"/>
          <w:szCs w:val="24"/>
        </w:rPr>
      </w:pPr>
      <w:r w:rsidRPr="00E40443">
        <w:rPr>
          <w:rFonts w:cs="Arial"/>
          <w:szCs w:val="24"/>
        </w:rPr>
        <w:t>Mrs Smit did not attend the reading of the will which took place shortly after the funeral. Instead, she averred that the said will was incorrect</w:t>
      </w:r>
      <w:r w:rsidRPr="00E40443">
        <w:rPr>
          <w:rStyle w:val="FootnoteReference"/>
          <w:rFonts w:cs="Arial"/>
          <w:szCs w:val="24"/>
        </w:rPr>
        <w:footnoteReference w:id="262"/>
      </w:r>
      <w:r w:rsidR="00BE6702" w:rsidRPr="00E40443">
        <w:rPr>
          <w:rFonts w:cs="Arial"/>
          <w:szCs w:val="24"/>
        </w:rPr>
        <w:t xml:space="preserve"> </w:t>
      </w:r>
      <w:r w:rsidR="005F6622">
        <w:rPr>
          <w:rFonts w:cs="Arial"/>
          <w:szCs w:val="24"/>
        </w:rPr>
        <w:t xml:space="preserve">and </w:t>
      </w:r>
      <w:r w:rsidR="00A04DDC" w:rsidRPr="00E40443">
        <w:rPr>
          <w:rFonts w:cs="Arial"/>
          <w:szCs w:val="24"/>
        </w:rPr>
        <w:t xml:space="preserve">proceeded to </w:t>
      </w:r>
      <w:r w:rsidRPr="00E40443">
        <w:rPr>
          <w:rFonts w:cs="Arial"/>
          <w:szCs w:val="24"/>
        </w:rPr>
        <w:t>produce a document dated 12 January 2019, purport</w:t>
      </w:r>
      <w:r w:rsidR="008A1E72">
        <w:rPr>
          <w:rFonts w:cs="Arial"/>
          <w:szCs w:val="24"/>
        </w:rPr>
        <w:t>ing</w:t>
      </w:r>
      <w:r w:rsidRPr="00E40443">
        <w:rPr>
          <w:rFonts w:cs="Arial"/>
          <w:szCs w:val="24"/>
        </w:rPr>
        <w:t xml:space="preserve"> to be the last will of the deceased, which appointed her as executrix of the deceased’s</w:t>
      </w:r>
      <w:r w:rsidR="00416AF5" w:rsidRPr="00E40443">
        <w:rPr>
          <w:rFonts w:cs="Arial"/>
          <w:szCs w:val="24"/>
        </w:rPr>
        <w:t xml:space="preserve"> entire</w:t>
      </w:r>
      <w:r w:rsidRPr="00E40443">
        <w:rPr>
          <w:rFonts w:cs="Arial"/>
          <w:szCs w:val="24"/>
        </w:rPr>
        <w:t xml:space="preserve"> estate</w:t>
      </w:r>
      <w:r w:rsidR="000C7D78" w:rsidRPr="00E40443">
        <w:rPr>
          <w:rFonts w:cs="Arial"/>
          <w:szCs w:val="24"/>
        </w:rPr>
        <w:t>, nominated her as trustee of two trusts, and clothed her with power of attorney to act as director of the companies.</w:t>
      </w:r>
      <w:r w:rsidR="000C7D78" w:rsidRPr="00E40443">
        <w:rPr>
          <w:rStyle w:val="FootnoteReference"/>
          <w:rFonts w:cs="Arial"/>
          <w:szCs w:val="24"/>
        </w:rPr>
        <w:footnoteReference w:id="263"/>
      </w:r>
      <w:r w:rsidR="0010611F" w:rsidRPr="00E40443">
        <w:rPr>
          <w:rFonts w:cs="Arial"/>
          <w:szCs w:val="24"/>
        </w:rPr>
        <w:t xml:space="preserve"> </w:t>
      </w:r>
      <w:r w:rsidR="00CD270F" w:rsidRPr="00E40443">
        <w:rPr>
          <w:rFonts w:cs="Arial"/>
          <w:szCs w:val="24"/>
        </w:rPr>
        <w:t xml:space="preserve">She further produced an alleged donation document dated 1 February 2018. </w:t>
      </w:r>
      <w:r w:rsidR="00A04DDC" w:rsidRPr="00E40443">
        <w:rPr>
          <w:rFonts w:cs="Arial"/>
          <w:szCs w:val="24"/>
        </w:rPr>
        <w:t xml:space="preserve">Throughout the investigation, the validity of </w:t>
      </w:r>
      <w:r w:rsidR="00CD270F" w:rsidRPr="00E40443">
        <w:rPr>
          <w:rFonts w:cs="Arial"/>
          <w:szCs w:val="24"/>
        </w:rPr>
        <w:t xml:space="preserve">these documents </w:t>
      </w:r>
      <w:r w:rsidR="00A04DDC" w:rsidRPr="00E40443">
        <w:rPr>
          <w:rFonts w:cs="Arial"/>
          <w:szCs w:val="24"/>
        </w:rPr>
        <w:t>was questioned</w:t>
      </w:r>
      <w:r w:rsidR="00C22FDC" w:rsidRPr="00E40443">
        <w:rPr>
          <w:rFonts w:cs="Arial"/>
          <w:szCs w:val="24"/>
        </w:rPr>
        <w:t xml:space="preserve"> by virtue of the contradictory </w:t>
      </w:r>
      <w:r w:rsidR="00A04DDC" w:rsidRPr="00E40443">
        <w:rPr>
          <w:rFonts w:cs="Arial"/>
          <w:szCs w:val="24"/>
        </w:rPr>
        <w:t xml:space="preserve">versions </w:t>
      </w:r>
      <w:r w:rsidR="00C22FDC" w:rsidRPr="00E40443">
        <w:rPr>
          <w:rFonts w:cs="Arial"/>
          <w:szCs w:val="24"/>
        </w:rPr>
        <w:t xml:space="preserve">as where Mrs Smit found </w:t>
      </w:r>
      <w:r w:rsidR="00CD270F" w:rsidRPr="00E40443">
        <w:rPr>
          <w:rFonts w:cs="Arial"/>
          <w:szCs w:val="24"/>
        </w:rPr>
        <w:t>them</w:t>
      </w:r>
      <w:r w:rsidR="00623F9A" w:rsidRPr="00E40443">
        <w:rPr>
          <w:rFonts w:cs="Arial"/>
          <w:szCs w:val="24"/>
        </w:rPr>
        <w:t>,</w:t>
      </w:r>
      <w:r w:rsidR="00A04DDC" w:rsidRPr="00E40443">
        <w:rPr>
          <w:rStyle w:val="FootnoteReference"/>
          <w:rFonts w:cs="Arial"/>
          <w:szCs w:val="24"/>
        </w:rPr>
        <w:footnoteReference w:id="264"/>
      </w:r>
      <w:r w:rsidR="0010611F" w:rsidRPr="00E40443">
        <w:rPr>
          <w:rFonts w:cs="Arial"/>
          <w:szCs w:val="24"/>
        </w:rPr>
        <w:t xml:space="preserve"> the </w:t>
      </w:r>
      <w:r w:rsidR="00CD270F" w:rsidRPr="00E40443">
        <w:rPr>
          <w:rFonts w:cs="Arial"/>
          <w:szCs w:val="24"/>
        </w:rPr>
        <w:t xml:space="preserve">inconsistencies </w:t>
      </w:r>
      <w:r w:rsidR="0010611F" w:rsidRPr="00E40443">
        <w:rPr>
          <w:rFonts w:cs="Arial"/>
          <w:szCs w:val="24"/>
        </w:rPr>
        <w:t xml:space="preserve">in </w:t>
      </w:r>
      <w:r w:rsidR="00CD270F" w:rsidRPr="00E40443">
        <w:rPr>
          <w:rFonts w:cs="Arial"/>
          <w:szCs w:val="24"/>
        </w:rPr>
        <w:t>the handwriting</w:t>
      </w:r>
      <w:r w:rsidR="00623F9A" w:rsidRPr="00E40443">
        <w:rPr>
          <w:rFonts w:cs="Arial"/>
          <w:szCs w:val="24"/>
        </w:rPr>
        <w:t>,</w:t>
      </w:r>
      <w:r w:rsidR="00CD270F" w:rsidRPr="00E40443">
        <w:rPr>
          <w:rStyle w:val="FootnoteReference"/>
          <w:rFonts w:cs="Arial"/>
          <w:szCs w:val="24"/>
        </w:rPr>
        <w:footnoteReference w:id="265"/>
      </w:r>
      <w:r w:rsidR="00623F9A" w:rsidRPr="00E40443">
        <w:rPr>
          <w:rFonts w:cs="Arial"/>
          <w:szCs w:val="24"/>
        </w:rPr>
        <w:t xml:space="preserve"> and material mistakes attributed by the limited knowledge of a layperson.</w:t>
      </w:r>
      <w:r w:rsidR="00623F9A" w:rsidRPr="00E40443">
        <w:rPr>
          <w:rStyle w:val="FootnoteReference"/>
          <w:rFonts w:cs="Arial"/>
          <w:szCs w:val="24"/>
        </w:rPr>
        <w:footnoteReference w:id="266"/>
      </w:r>
    </w:p>
    <w:p w14:paraId="4632667F" w14:textId="6BEFBE88" w:rsidR="00D61BE8" w:rsidRPr="00E40443" w:rsidRDefault="00361B27" w:rsidP="00C5627E">
      <w:pPr>
        <w:rPr>
          <w:rFonts w:cs="Arial"/>
          <w:szCs w:val="24"/>
        </w:rPr>
      </w:pPr>
      <w:r w:rsidRPr="00E40443">
        <w:rPr>
          <w:rFonts w:cs="Arial"/>
          <w:szCs w:val="24"/>
        </w:rPr>
        <w:t xml:space="preserve">On 21 November 2019, Mrs Smit brought an urgent application that the Master be ordered to accept and register </w:t>
      </w:r>
      <w:r w:rsidR="001320FB" w:rsidRPr="00E40443">
        <w:rPr>
          <w:rFonts w:cs="Arial"/>
          <w:szCs w:val="24"/>
        </w:rPr>
        <w:t>a document dated 12 January 2019</w:t>
      </w:r>
      <w:r w:rsidR="00A842CD" w:rsidRPr="00E40443">
        <w:rPr>
          <w:rFonts w:cs="Arial"/>
          <w:szCs w:val="24"/>
        </w:rPr>
        <w:t xml:space="preserve"> as </w:t>
      </w:r>
      <w:r w:rsidR="001320FB" w:rsidRPr="00E40443">
        <w:rPr>
          <w:rFonts w:cs="Arial"/>
          <w:szCs w:val="24"/>
        </w:rPr>
        <w:t>the last will of the deceased</w:t>
      </w:r>
      <w:r w:rsidR="00A842CD" w:rsidRPr="00E40443">
        <w:rPr>
          <w:rFonts w:cs="Arial"/>
          <w:szCs w:val="24"/>
        </w:rPr>
        <w:t>, which application was opposed by the deceased’s daughters</w:t>
      </w:r>
      <w:r w:rsidR="00CE5561" w:rsidRPr="00E40443">
        <w:rPr>
          <w:rFonts w:cs="Arial"/>
          <w:szCs w:val="24"/>
        </w:rPr>
        <w:t xml:space="preserve"> for the document being fraudulent</w:t>
      </w:r>
      <w:r w:rsidR="00A842CD" w:rsidRPr="00E40443">
        <w:rPr>
          <w:rFonts w:cs="Arial"/>
          <w:szCs w:val="24"/>
        </w:rPr>
        <w:t>.</w:t>
      </w:r>
      <w:r w:rsidR="001320FB" w:rsidRPr="00E40443">
        <w:rPr>
          <w:rStyle w:val="FootnoteReference"/>
          <w:rFonts w:cs="Arial"/>
          <w:szCs w:val="24"/>
        </w:rPr>
        <w:footnoteReference w:id="267"/>
      </w:r>
    </w:p>
    <w:p w14:paraId="4D488EC2" w14:textId="40012739" w:rsidR="002977D8" w:rsidRPr="00E40443" w:rsidRDefault="007B4864" w:rsidP="00C5627E">
      <w:pPr>
        <w:rPr>
          <w:rFonts w:cs="Arial"/>
          <w:szCs w:val="24"/>
        </w:rPr>
      </w:pPr>
      <w:r w:rsidRPr="00E40443">
        <w:rPr>
          <w:rFonts w:cs="Arial"/>
          <w:szCs w:val="24"/>
        </w:rPr>
        <w:t>Mrs Smit would have gotten away with the murder of her husband, had her associate not implicated her d</w:t>
      </w:r>
      <w:r w:rsidR="002977D8" w:rsidRPr="00E40443">
        <w:rPr>
          <w:rFonts w:cs="Arial"/>
          <w:szCs w:val="24"/>
        </w:rPr>
        <w:t xml:space="preserve">uring October 2020, more than 17 months </w:t>
      </w:r>
      <w:r w:rsidRPr="00E40443">
        <w:rPr>
          <w:rFonts w:cs="Arial"/>
          <w:szCs w:val="24"/>
        </w:rPr>
        <w:t>later.</w:t>
      </w:r>
      <w:r w:rsidR="00456655" w:rsidRPr="00E40443">
        <w:rPr>
          <w:rStyle w:val="FootnoteReference"/>
          <w:rFonts w:cs="Arial"/>
          <w:szCs w:val="24"/>
        </w:rPr>
        <w:footnoteReference w:id="268"/>
      </w:r>
      <w:r w:rsidR="002977D8" w:rsidRPr="00E40443">
        <w:rPr>
          <w:rFonts w:cs="Arial"/>
          <w:szCs w:val="24"/>
        </w:rPr>
        <w:t xml:space="preserve"> </w:t>
      </w:r>
      <w:r w:rsidR="00FB3975" w:rsidRPr="00E40443">
        <w:rPr>
          <w:rFonts w:cs="Arial"/>
          <w:szCs w:val="24"/>
        </w:rPr>
        <w:t xml:space="preserve">The state witness </w:t>
      </w:r>
      <w:r w:rsidR="00FB3975" w:rsidRPr="00E40443">
        <w:rPr>
          <w:rFonts w:cs="Arial"/>
          <w:szCs w:val="24"/>
        </w:rPr>
        <w:lastRenderedPageBreak/>
        <w:t xml:space="preserve">informed that </w:t>
      </w:r>
      <w:r w:rsidR="002977D8" w:rsidRPr="00E40443">
        <w:rPr>
          <w:rFonts w:cs="Arial"/>
          <w:szCs w:val="24"/>
        </w:rPr>
        <w:t xml:space="preserve">he assisted Mrs Smit in </w:t>
      </w:r>
      <w:r w:rsidR="00FB3975" w:rsidRPr="00E40443">
        <w:rPr>
          <w:rFonts w:cs="Arial"/>
          <w:szCs w:val="24"/>
        </w:rPr>
        <w:t xml:space="preserve">stealing a firearm and cash </w:t>
      </w:r>
      <w:r w:rsidR="002977D8" w:rsidRPr="00E40443">
        <w:rPr>
          <w:rFonts w:cs="Arial"/>
          <w:szCs w:val="24"/>
        </w:rPr>
        <w:t>November 2018</w:t>
      </w:r>
      <w:r w:rsidR="001C0227" w:rsidRPr="00E40443">
        <w:rPr>
          <w:rFonts w:cs="Arial"/>
          <w:szCs w:val="24"/>
        </w:rPr>
        <w:t>,</w:t>
      </w:r>
      <w:r w:rsidR="002977D8" w:rsidRPr="00E40443">
        <w:rPr>
          <w:rStyle w:val="FootnoteReference"/>
          <w:rFonts w:cs="Arial"/>
          <w:szCs w:val="24"/>
        </w:rPr>
        <w:footnoteReference w:id="269"/>
      </w:r>
      <w:r w:rsidR="002977D8" w:rsidRPr="00E40443">
        <w:rPr>
          <w:rFonts w:cs="Arial"/>
          <w:szCs w:val="24"/>
        </w:rPr>
        <w:t xml:space="preserve"> that Mrs Smit was “going to effect changes to [the deceased’s will]</w:t>
      </w:r>
      <w:r w:rsidR="001C0227" w:rsidRPr="00E40443">
        <w:rPr>
          <w:rFonts w:cs="Arial"/>
          <w:szCs w:val="24"/>
        </w:rPr>
        <w:t>”</w:t>
      </w:r>
      <w:r w:rsidR="002977D8" w:rsidRPr="00E40443">
        <w:rPr>
          <w:rFonts w:cs="Arial"/>
          <w:szCs w:val="24"/>
        </w:rPr>
        <w:t xml:space="preserve"> </w:t>
      </w:r>
      <w:r w:rsidR="001C0227" w:rsidRPr="00E40443">
        <w:rPr>
          <w:rFonts w:cs="Arial"/>
          <w:szCs w:val="24"/>
        </w:rPr>
        <w:t>for her own benefit,</w:t>
      </w:r>
      <w:r w:rsidR="002977D8" w:rsidRPr="00E40443">
        <w:rPr>
          <w:rStyle w:val="FootnoteReference"/>
          <w:rFonts w:cs="Arial"/>
          <w:szCs w:val="24"/>
        </w:rPr>
        <w:footnoteReference w:id="270"/>
      </w:r>
      <w:r w:rsidR="002977D8" w:rsidRPr="00E40443">
        <w:rPr>
          <w:rFonts w:cs="Arial"/>
          <w:szCs w:val="24"/>
        </w:rPr>
        <w:t xml:space="preserve"> </w:t>
      </w:r>
      <w:r w:rsidR="005F6622">
        <w:rPr>
          <w:rFonts w:cs="Arial"/>
          <w:szCs w:val="24"/>
        </w:rPr>
        <w:t xml:space="preserve">and </w:t>
      </w:r>
      <w:r w:rsidR="002977D8" w:rsidRPr="00E40443">
        <w:rPr>
          <w:rFonts w:cs="Arial"/>
          <w:szCs w:val="24"/>
        </w:rPr>
        <w:t>that Mrs Smit requested his assistance in killing the deceased</w:t>
      </w:r>
      <w:r w:rsidR="002977D8" w:rsidRPr="00E40443">
        <w:rPr>
          <w:rStyle w:val="FootnoteReference"/>
          <w:rFonts w:cs="Arial"/>
          <w:szCs w:val="24"/>
        </w:rPr>
        <w:footnoteReference w:id="271"/>
      </w:r>
      <w:r w:rsidR="002977D8" w:rsidRPr="00E40443">
        <w:rPr>
          <w:rFonts w:cs="Arial"/>
          <w:szCs w:val="24"/>
        </w:rPr>
        <w:t xml:space="preserve"> </w:t>
      </w:r>
      <w:r w:rsidR="001C0227" w:rsidRPr="00E40443">
        <w:rPr>
          <w:rFonts w:cs="Arial"/>
          <w:szCs w:val="24"/>
        </w:rPr>
        <w:t xml:space="preserve">in exchange for handsome compensation </w:t>
      </w:r>
      <w:r w:rsidR="002977D8" w:rsidRPr="00E40443">
        <w:rPr>
          <w:rFonts w:cs="Arial"/>
          <w:szCs w:val="24"/>
        </w:rPr>
        <w:t>“as soon as the deceased’s estate paid out”.</w:t>
      </w:r>
      <w:r w:rsidR="002977D8" w:rsidRPr="00E40443">
        <w:rPr>
          <w:rStyle w:val="FootnoteReference"/>
          <w:rFonts w:cs="Arial"/>
          <w:szCs w:val="24"/>
        </w:rPr>
        <w:footnoteReference w:id="272"/>
      </w:r>
      <w:r w:rsidR="002977D8" w:rsidRPr="00E40443">
        <w:rPr>
          <w:rFonts w:cs="Arial"/>
          <w:szCs w:val="24"/>
        </w:rPr>
        <w:t xml:space="preserve"> </w:t>
      </w:r>
      <w:r w:rsidR="001C0227" w:rsidRPr="00E40443">
        <w:rPr>
          <w:rFonts w:cs="Arial"/>
          <w:szCs w:val="24"/>
        </w:rPr>
        <w:t>Mrs Smit’s</w:t>
      </w:r>
      <w:r w:rsidR="00FD3C87" w:rsidRPr="00E40443">
        <w:rPr>
          <w:rFonts w:cs="Arial"/>
          <w:szCs w:val="24"/>
        </w:rPr>
        <w:t xml:space="preserve"> </w:t>
      </w:r>
      <w:r w:rsidR="002A0E14">
        <w:rPr>
          <w:rFonts w:cs="Arial"/>
          <w:szCs w:val="24"/>
        </w:rPr>
        <w:t xml:space="preserve">defence </w:t>
      </w:r>
      <w:r w:rsidR="00FD3C87" w:rsidRPr="00E40443">
        <w:rPr>
          <w:rFonts w:cs="Arial"/>
          <w:szCs w:val="24"/>
        </w:rPr>
        <w:t>comprised of merely disputing, denying and/or disagreeing with averments put before her</w:t>
      </w:r>
      <w:r w:rsidR="009708B5" w:rsidRPr="00E40443">
        <w:rPr>
          <w:rFonts w:cs="Arial"/>
          <w:szCs w:val="24"/>
        </w:rPr>
        <w:t>,</w:t>
      </w:r>
      <w:r w:rsidR="002977D8" w:rsidRPr="00E40443">
        <w:rPr>
          <w:rStyle w:val="FootnoteReference"/>
          <w:rFonts w:cs="Arial"/>
          <w:szCs w:val="24"/>
        </w:rPr>
        <w:footnoteReference w:id="273"/>
      </w:r>
      <w:r w:rsidR="009708B5" w:rsidRPr="00E40443">
        <w:rPr>
          <w:rFonts w:cs="Arial"/>
          <w:szCs w:val="24"/>
        </w:rPr>
        <w:t xml:space="preserve"> which bare denial was insufficient</w:t>
      </w:r>
      <w:r w:rsidR="002A0E14">
        <w:rPr>
          <w:rFonts w:cs="Arial"/>
          <w:szCs w:val="24"/>
        </w:rPr>
        <w:t xml:space="preserve"> to</w:t>
      </w:r>
      <w:r w:rsidR="009708B5" w:rsidRPr="00E40443">
        <w:rPr>
          <w:rFonts w:cs="Arial"/>
          <w:szCs w:val="24"/>
        </w:rPr>
        <w:t xml:space="preserve"> “explain herself out of the planning and the actual murder of the deceased”.</w:t>
      </w:r>
      <w:r w:rsidR="009708B5" w:rsidRPr="00E40443">
        <w:rPr>
          <w:rStyle w:val="FootnoteReference"/>
          <w:rFonts w:cs="Arial"/>
          <w:szCs w:val="24"/>
        </w:rPr>
        <w:footnoteReference w:id="274"/>
      </w:r>
    </w:p>
    <w:p w14:paraId="5D7966B6" w14:textId="44B4F599" w:rsidR="005960AF" w:rsidRPr="00E40443" w:rsidRDefault="005960AF" w:rsidP="00C5627E">
      <w:pPr>
        <w:rPr>
          <w:rFonts w:cs="Arial"/>
          <w:szCs w:val="24"/>
        </w:rPr>
      </w:pPr>
      <w:r w:rsidRPr="00E40443">
        <w:rPr>
          <w:rFonts w:cs="Arial"/>
          <w:szCs w:val="24"/>
        </w:rPr>
        <w:t>The question before the Court was ultimately whether Mrs Smit was unfit, and accordingly unworthy, to receive any benefit from her husband’s deceased estate.</w:t>
      </w:r>
      <w:r w:rsidRPr="00E40443">
        <w:rPr>
          <w:rStyle w:val="FootnoteReference"/>
          <w:rFonts w:cs="Arial"/>
          <w:szCs w:val="24"/>
        </w:rPr>
        <w:footnoteReference w:id="275"/>
      </w:r>
      <w:r w:rsidR="00835982" w:rsidRPr="00E40443">
        <w:rPr>
          <w:rFonts w:cs="Arial"/>
          <w:szCs w:val="24"/>
        </w:rPr>
        <w:t xml:space="preserve"> </w:t>
      </w:r>
    </w:p>
    <w:p w14:paraId="7316D1CF" w14:textId="0F08BA4E" w:rsidR="00975FCC" w:rsidRPr="00E40443" w:rsidRDefault="00975FCC" w:rsidP="00C5627E">
      <w:pPr>
        <w:rPr>
          <w:rFonts w:cs="Arial"/>
          <w:szCs w:val="24"/>
        </w:rPr>
      </w:pPr>
      <w:r w:rsidRPr="00E40443">
        <w:rPr>
          <w:rFonts w:cs="Arial"/>
          <w:szCs w:val="24"/>
        </w:rPr>
        <w:t xml:space="preserve">The Court deemed it necessary to point out that </w:t>
      </w:r>
      <w:r w:rsidR="00123A01" w:rsidRPr="00E40443">
        <w:rPr>
          <w:rFonts w:cs="Arial"/>
          <w:szCs w:val="24"/>
        </w:rPr>
        <w:t xml:space="preserve">Mrs Smit’s conduct was </w:t>
      </w:r>
      <w:r w:rsidRPr="00E40443">
        <w:rPr>
          <w:rFonts w:cs="Arial"/>
          <w:szCs w:val="24"/>
        </w:rPr>
        <w:t>criminal, reprehensible</w:t>
      </w:r>
      <w:r w:rsidR="00123A01" w:rsidRPr="00E40443">
        <w:rPr>
          <w:rFonts w:cs="Arial"/>
          <w:szCs w:val="24"/>
        </w:rPr>
        <w:t>,</w:t>
      </w:r>
      <w:r w:rsidRPr="00E40443">
        <w:rPr>
          <w:rFonts w:cs="Arial"/>
          <w:szCs w:val="24"/>
        </w:rPr>
        <w:t xml:space="preserve"> deplorable</w:t>
      </w:r>
      <w:r w:rsidR="00123A01" w:rsidRPr="00E40443">
        <w:rPr>
          <w:rFonts w:cs="Arial"/>
          <w:szCs w:val="24"/>
        </w:rPr>
        <w:t>, dolorous,</w:t>
      </w:r>
      <w:r w:rsidRPr="00E40443">
        <w:rPr>
          <w:rFonts w:cs="Arial"/>
          <w:szCs w:val="24"/>
        </w:rPr>
        <w:t xml:space="preserve"> </w:t>
      </w:r>
      <w:r w:rsidR="00123A01" w:rsidRPr="00E40443">
        <w:rPr>
          <w:rFonts w:cs="Arial"/>
          <w:szCs w:val="24"/>
        </w:rPr>
        <w:t xml:space="preserve">and scandalous in </w:t>
      </w:r>
      <w:r w:rsidRPr="00E40443">
        <w:rPr>
          <w:rFonts w:cs="Arial"/>
          <w:szCs w:val="24"/>
        </w:rPr>
        <w:t>nature</w:t>
      </w:r>
      <w:r w:rsidR="00123A01" w:rsidRPr="00E40443">
        <w:rPr>
          <w:rFonts w:cs="Arial"/>
          <w:szCs w:val="24"/>
        </w:rPr>
        <w:t>,</w:t>
      </w:r>
      <w:r w:rsidRPr="00E40443">
        <w:rPr>
          <w:rFonts w:cs="Arial"/>
          <w:szCs w:val="24"/>
        </w:rPr>
        <w:t xml:space="preserve"> warrant</w:t>
      </w:r>
      <w:r w:rsidR="00123A01" w:rsidRPr="00E40443">
        <w:rPr>
          <w:rFonts w:cs="Arial"/>
          <w:szCs w:val="24"/>
        </w:rPr>
        <w:t>ing</w:t>
      </w:r>
      <w:r w:rsidRPr="00E40443">
        <w:rPr>
          <w:rFonts w:cs="Arial"/>
          <w:szCs w:val="24"/>
        </w:rPr>
        <w:t xml:space="preserve"> punishment.</w:t>
      </w:r>
      <w:r w:rsidRPr="00E40443">
        <w:rPr>
          <w:rStyle w:val="FootnoteReference"/>
          <w:rFonts w:cs="Arial"/>
          <w:szCs w:val="24"/>
        </w:rPr>
        <w:footnoteReference w:id="276"/>
      </w:r>
      <w:r w:rsidR="00123A01" w:rsidRPr="00E40443">
        <w:rPr>
          <w:rFonts w:cs="Arial"/>
          <w:szCs w:val="24"/>
        </w:rPr>
        <w:t xml:space="preserve"> The Court determined her to be unworthy, and ordered that she forfeit all benefits arising from Mr Smit’s death – the disqualification </w:t>
      </w:r>
      <w:r w:rsidR="00F7517E" w:rsidRPr="00E40443">
        <w:rPr>
          <w:rFonts w:cs="Arial"/>
          <w:szCs w:val="24"/>
        </w:rPr>
        <w:t xml:space="preserve">precluded her from taking any testate benefit and instituting a </w:t>
      </w:r>
      <w:r w:rsidR="00A21670" w:rsidRPr="00E40443">
        <w:rPr>
          <w:rFonts w:cs="Arial"/>
          <w:szCs w:val="24"/>
        </w:rPr>
        <w:t>claim for spousal maintenance.</w:t>
      </w:r>
      <w:r w:rsidR="00F7517E" w:rsidRPr="00E40443">
        <w:rPr>
          <w:rStyle w:val="FootnoteReference"/>
          <w:rFonts w:cs="Arial"/>
          <w:szCs w:val="24"/>
        </w:rPr>
        <w:footnoteReference w:id="277"/>
      </w:r>
    </w:p>
    <w:p w14:paraId="62B63445" w14:textId="13B87DB9" w:rsidR="002977D8" w:rsidRDefault="00A54991" w:rsidP="00C5627E">
      <w:pPr>
        <w:rPr>
          <w:rFonts w:cs="Arial"/>
          <w:szCs w:val="24"/>
        </w:rPr>
      </w:pPr>
      <w:r w:rsidRPr="00E40443">
        <w:rPr>
          <w:rFonts w:cs="Arial"/>
          <w:szCs w:val="24"/>
        </w:rPr>
        <w:t xml:space="preserve">The Court declared the will dated 7 December 2018 </w:t>
      </w:r>
      <w:r w:rsidR="00D344AB" w:rsidRPr="00E40443">
        <w:rPr>
          <w:rFonts w:cs="Arial"/>
          <w:szCs w:val="24"/>
        </w:rPr>
        <w:t xml:space="preserve">the deceased’s last </w:t>
      </w:r>
      <w:r w:rsidR="008E281B" w:rsidRPr="00E40443">
        <w:rPr>
          <w:rFonts w:cs="Arial"/>
          <w:szCs w:val="24"/>
        </w:rPr>
        <w:t>will and</w:t>
      </w:r>
      <w:r w:rsidR="00D344AB" w:rsidRPr="00E40443">
        <w:rPr>
          <w:rFonts w:cs="Arial"/>
          <w:szCs w:val="24"/>
        </w:rPr>
        <w:t xml:space="preserve"> declared Mrs Zurenah Smit unworthy and not entitled to receive any benefit from the deceased estate, which included spousal maintenance and insurance</w:t>
      </w:r>
      <w:r w:rsidR="002A0E14">
        <w:rPr>
          <w:rFonts w:cs="Arial"/>
          <w:szCs w:val="24"/>
        </w:rPr>
        <w:t xml:space="preserve"> benefits</w:t>
      </w:r>
      <w:r w:rsidR="00D344AB" w:rsidRPr="00E40443">
        <w:rPr>
          <w:rFonts w:cs="Arial"/>
          <w:szCs w:val="24"/>
        </w:rPr>
        <w:t>.</w:t>
      </w:r>
      <w:r w:rsidR="00D0683C" w:rsidRPr="00E40443">
        <w:rPr>
          <w:rStyle w:val="FootnoteReference"/>
          <w:rFonts w:cs="Arial"/>
          <w:szCs w:val="24"/>
        </w:rPr>
        <w:footnoteReference w:id="278"/>
      </w:r>
    </w:p>
    <w:p w14:paraId="73EDFCBE" w14:textId="77777777" w:rsidR="00A6493F" w:rsidRPr="00E40443" w:rsidRDefault="00A6493F" w:rsidP="00C5627E">
      <w:pPr>
        <w:rPr>
          <w:rFonts w:cs="Arial"/>
          <w:szCs w:val="24"/>
        </w:rPr>
      </w:pPr>
    </w:p>
    <w:p w14:paraId="222176DA" w14:textId="44658A6E" w:rsidR="002977D8" w:rsidRPr="00E40443" w:rsidRDefault="002977D8" w:rsidP="00C5627E">
      <w:pPr>
        <w:pStyle w:val="Heading3"/>
        <w:numPr>
          <w:ilvl w:val="2"/>
          <w:numId w:val="20"/>
        </w:numPr>
        <w:ind w:left="851" w:hanging="851"/>
        <w:rPr>
          <w:rFonts w:cs="Arial"/>
          <w:b/>
          <w:bCs/>
        </w:rPr>
      </w:pPr>
      <w:bookmarkStart w:id="38" w:name="_Toc191216284"/>
      <w:r w:rsidRPr="00E40443">
        <w:rPr>
          <w:rFonts w:cs="Arial"/>
          <w:b/>
          <w:bCs/>
          <w:i/>
          <w:iCs/>
        </w:rPr>
        <w:t>Maqubela &amp; Another v The Master and Others</w:t>
      </w:r>
      <w:r w:rsidRPr="00E40443">
        <w:rPr>
          <w:rFonts w:cs="Arial"/>
          <w:b/>
          <w:bCs/>
        </w:rPr>
        <w:t xml:space="preserve"> 2022 6 SA 408 (GJ)</w:t>
      </w:r>
      <w:bookmarkEnd w:id="38"/>
    </w:p>
    <w:p w14:paraId="1D2D6CB2" w14:textId="5471FCDA" w:rsidR="00B64E6C" w:rsidRPr="00E40443" w:rsidRDefault="002977D8" w:rsidP="00C5627E">
      <w:pPr>
        <w:rPr>
          <w:rFonts w:cs="Arial"/>
          <w:szCs w:val="24"/>
        </w:rPr>
      </w:pPr>
      <w:r w:rsidRPr="00E40443">
        <w:rPr>
          <w:rFonts w:cs="Arial"/>
          <w:szCs w:val="24"/>
        </w:rPr>
        <w:t>Mr</w:t>
      </w:r>
      <w:r w:rsidR="008F3756" w:rsidRPr="00E40443">
        <w:rPr>
          <w:rFonts w:cs="Arial"/>
          <w:szCs w:val="24"/>
        </w:rPr>
        <w:t xml:space="preserve"> Patric Ntobeko Maqubela</w:t>
      </w:r>
      <w:r w:rsidRPr="00E40443">
        <w:rPr>
          <w:rFonts w:cs="Arial"/>
          <w:szCs w:val="24"/>
        </w:rPr>
        <w:t xml:space="preserve"> </w:t>
      </w:r>
      <w:r w:rsidR="008F3756" w:rsidRPr="00E40443">
        <w:rPr>
          <w:rFonts w:cs="Arial"/>
          <w:szCs w:val="24"/>
        </w:rPr>
        <w:t xml:space="preserve">was married to </w:t>
      </w:r>
      <w:r w:rsidRPr="00E40443">
        <w:rPr>
          <w:rFonts w:cs="Arial"/>
          <w:szCs w:val="24"/>
        </w:rPr>
        <w:t xml:space="preserve">Mrs </w:t>
      </w:r>
      <w:r w:rsidR="008F3756" w:rsidRPr="00E40443">
        <w:rPr>
          <w:rFonts w:cs="Arial"/>
          <w:szCs w:val="24"/>
        </w:rPr>
        <w:t xml:space="preserve">Sheryl Thandi </w:t>
      </w:r>
      <w:r w:rsidRPr="00E40443">
        <w:rPr>
          <w:rFonts w:cs="Arial"/>
          <w:szCs w:val="24"/>
        </w:rPr>
        <w:t>Maqubela in community of property.</w:t>
      </w:r>
      <w:r w:rsidRPr="00E40443">
        <w:rPr>
          <w:rStyle w:val="FootnoteReference"/>
          <w:rFonts w:cs="Arial"/>
          <w:szCs w:val="24"/>
        </w:rPr>
        <w:footnoteReference w:id="279"/>
      </w:r>
      <w:r w:rsidRPr="00E40443">
        <w:rPr>
          <w:rFonts w:cs="Arial"/>
          <w:szCs w:val="24"/>
        </w:rPr>
        <w:t xml:space="preserve"> Mr Maqubela</w:t>
      </w:r>
      <w:r w:rsidR="008F3756" w:rsidRPr="00E40443">
        <w:rPr>
          <w:rFonts w:cs="Arial"/>
          <w:szCs w:val="24"/>
        </w:rPr>
        <w:t xml:space="preserve"> </w:t>
      </w:r>
      <w:r w:rsidRPr="00E40443">
        <w:rPr>
          <w:rFonts w:cs="Arial"/>
          <w:szCs w:val="24"/>
        </w:rPr>
        <w:t>took out a life insurance policy with Liberty Life, which proceeds were to be paid into his separate estate upon his death.</w:t>
      </w:r>
      <w:r w:rsidRPr="00E40443">
        <w:rPr>
          <w:rStyle w:val="FootnoteReference"/>
          <w:rFonts w:cs="Arial"/>
          <w:szCs w:val="24"/>
        </w:rPr>
        <w:footnoteReference w:id="280"/>
      </w:r>
      <w:r w:rsidRPr="00E40443">
        <w:rPr>
          <w:rFonts w:cs="Arial"/>
          <w:szCs w:val="24"/>
        </w:rPr>
        <w:t xml:space="preserve"> </w:t>
      </w:r>
    </w:p>
    <w:p w14:paraId="61E130DA" w14:textId="496EAFB8" w:rsidR="00BA5777" w:rsidRPr="00E40443" w:rsidRDefault="00BA5777" w:rsidP="00C5627E">
      <w:pPr>
        <w:rPr>
          <w:rFonts w:cs="Arial"/>
          <w:szCs w:val="24"/>
        </w:rPr>
      </w:pPr>
      <w:r w:rsidRPr="00E40443">
        <w:rPr>
          <w:rFonts w:cs="Arial"/>
          <w:szCs w:val="24"/>
        </w:rPr>
        <w:lastRenderedPageBreak/>
        <w:t xml:space="preserve">When Mrs Maqubela initially submitted the death notice to the Master, she informed that the deceased had not left a will. </w:t>
      </w:r>
      <w:r w:rsidR="0074192B" w:rsidRPr="00E40443">
        <w:rPr>
          <w:rFonts w:cs="Arial"/>
          <w:szCs w:val="24"/>
        </w:rPr>
        <w:t xml:space="preserve">She further excluded a number of the deceased’s children as heirs by omitting their names, and instead </w:t>
      </w:r>
      <w:r w:rsidR="00EB5370" w:rsidRPr="00E40443">
        <w:rPr>
          <w:rFonts w:cs="Arial"/>
          <w:szCs w:val="24"/>
        </w:rPr>
        <w:t xml:space="preserve">unscrupulously </w:t>
      </w:r>
      <w:r w:rsidR="0074192B" w:rsidRPr="00E40443">
        <w:rPr>
          <w:rFonts w:cs="Arial"/>
          <w:szCs w:val="24"/>
        </w:rPr>
        <w:t xml:space="preserve">listed her child from a previous relationship as being a descendent of the deceased. By virtue of intestate succession, Mrs Maqubela </w:t>
      </w:r>
      <w:r w:rsidRPr="00E40443">
        <w:rPr>
          <w:rFonts w:cs="Arial"/>
          <w:szCs w:val="24"/>
        </w:rPr>
        <w:t xml:space="preserve">was appointed as executrix of the estate, </w:t>
      </w:r>
      <w:r w:rsidR="008E4A46" w:rsidRPr="00E40443">
        <w:rPr>
          <w:rFonts w:cs="Arial"/>
          <w:szCs w:val="24"/>
        </w:rPr>
        <w:t xml:space="preserve">in terms of </w:t>
      </w:r>
      <w:r w:rsidRPr="00E40443">
        <w:rPr>
          <w:rFonts w:cs="Arial"/>
          <w:szCs w:val="24"/>
        </w:rPr>
        <w:t>which appointment she informed the insurance company that the policy proceeds should be paid into the estate without delay.</w:t>
      </w:r>
      <w:r w:rsidRPr="00E40443">
        <w:rPr>
          <w:rStyle w:val="FootnoteReference"/>
          <w:rFonts w:cs="Arial"/>
          <w:szCs w:val="24"/>
        </w:rPr>
        <w:footnoteReference w:id="281"/>
      </w:r>
    </w:p>
    <w:p w14:paraId="1F84E042" w14:textId="27BBE3FF" w:rsidR="0074192B" w:rsidRPr="00E40443" w:rsidRDefault="0074192B" w:rsidP="00C5627E">
      <w:pPr>
        <w:rPr>
          <w:rFonts w:cs="Arial"/>
          <w:szCs w:val="24"/>
        </w:rPr>
      </w:pPr>
      <w:r w:rsidRPr="00E40443">
        <w:rPr>
          <w:rFonts w:cs="Arial"/>
          <w:szCs w:val="24"/>
        </w:rPr>
        <w:t>In light of the above intentional misrepresentation, the deceased’s children from previous relationships objected to Mrs Maqubela’s appointment as executrix.</w:t>
      </w:r>
      <w:r w:rsidRPr="00E40443">
        <w:rPr>
          <w:rStyle w:val="FootnoteReference"/>
          <w:rFonts w:cs="Arial"/>
          <w:szCs w:val="24"/>
        </w:rPr>
        <w:footnoteReference w:id="282"/>
      </w:r>
      <w:r w:rsidRPr="00E40443">
        <w:rPr>
          <w:rFonts w:cs="Arial"/>
          <w:szCs w:val="24"/>
        </w:rPr>
        <w:t xml:space="preserve"> They further held that Mrs Maqubela was unworthy to inherit from the deceased by virtue of the despicable murder of her husband by suffocating him with clingfilm, hiding his body and speeding up the decomposition process by increasing the temperature of the room she had left him in.</w:t>
      </w:r>
      <w:r w:rsidRPr="00E40443">
        <w:rPr>
          <w:rStyle w:val="FootnoteReference"/>
          <w:rFonts w:cs="Arial"/>
          <w:szCs w:val="24"/>
        </w:rPr>
        <w:footnoteReference w:id="283"/>
      </w:r>
      <w:r w:rsidRPr="00E40443">
        <w:rPr>
          <w:rFonts w:cs="Arial"/>
          <w:szCs w:val="24"/>
        </w:rPr>
        <w:t xml:space="preserve"> </w:t>
      </w:r>
    </w:p>
    <w:p w14:paraId="34995B1F" w14:textId="0F9E42F2" w:rsidR="00051CFF" w:rsidRPr="00E40443" w:rsidRDefault="00DD3CCF" w:rsidP="00C5627E">
      <w:pPr>
        <w:rPr>
          <w:rFonts w:cs="Arial"/>
          <w:szCs w:val="24"/>
        </w:rPr>
      </w:pPr>
      <w:r w:rsidRPr="00E40443">
        <w:rPr>
          <w:rFonts w:cs="Arial"/>
          <w:szCs w:val="24"/>
        </w:rPr>
        <w:t xml:space="preserve">While drawing up the first </w:t>
      </w:r>
      <w:r w:rsidR="002A0E14">
        <w:rPr>
          <w:rFonts w:cs="Arial"/>
          <w:szCs w:val="24"/>
        </w:rPr>
        <w:t>L</w:t>
      </w:r>
      <w:r w:rsidRPr="00E40443">
        <w:rPr>
          <w:rFonts w:cs="Arial"/>
          <w:szCs w:val="24"/>
        </w:rPr>
        <w:t xml:space="preserve">iquidation and </w:t>
      </w:r>
      <w:r w:rsidR="002A0E14">
        <w:rPr>
          <w:rFonts w:cs="Arial"/>
          <w:szCs w:val="24"/>
        </w:rPr>
        <w:t>D</w:t>
      </w:r>
      <w:r w:rsidRPr="00E40443">
        <w:rPr>
          <w:rFonts w:cs="Arial"/>
          <w:szCs w:val="24"/>
        </w:rPr>
        <w:t xml:space="preserve">istribution </w:t>
      </w:r>
      <w:r w:rsidR="002A0E14">
        <w:rPr>
          <w:rFonts w:cs="Arial"/>
          <w:szCs w:val="24"/>
        </w:rPr>
        <w:t>A</w:t>
      </w:r>
      <w:r w:rsidRPr="00E40443">
        <w:rPr>
          <w:rFonts w:cs="Arial"/>
          <w:szCs w:val="24"/>
        </w:rPr>
        <w:t xml:space="preserve">ccount of </w:t>
      </w:r>
      <w:r w:rsidR="00B64E6C" w:rsidRPr="00E40443">
        <w:rPr>
          <w:rFonts w:cs="Arial"/>
          <w:szCs w:val="24"/>
        </w:rPr>
        <w:t>Mr Maqubela’s estate</w:t>
      </w:r>
      <w:r w:rsidRPr="00E40443">
        <w:rPr>
          <w:rFonts w:cs="Arial"/>
          <w:szCs w:val="24"/>
        </w:rPr>
        <w:t>, the executor</w:t>
      </w:r>
      <w:r w:rsidR="00B64E6C" w:rsidRPr="00E40443">
        <w:rPr>
          <w:rFonts w:cs="Arial"/>
          <w:szCs w:val="24"/>
        </w:rPr>
        <w:t xml:space="preserve"> </w:t>
      </w:r>
      <w:r w:rsidR="00311A8B" w:rsidRPr="00E40443">
        <w:rPr>
          <w:rFonts w:cs="Arial"/>
          <w:szCs w:val="24"/>
        </w:rPr>
        <w:t>excluded the proceeds from the pension pay-out from the joint estate, which decision was supported by case law.</w:t>
      </w:r>
      <w:r w:rsidRPr="00E40443">
        <w:rPr>
          <w:rFonts w:cs="Arial"/>
          <w:szCs w:val="24"/>
        </w:rPr>
        <w:t xml:space="preserve"> Mrs Maqubela objected to this exclusion, which objection was upheld by the Master, who instructed the executor to </w:t>
      </w:r>
      <w:r w:rsidR="00B817BA" w:rsidRPr="00E40443">
        <w:rPr>
          <w:rFonts w:cs="Arial"/>
          <w:szCs w:val="24"/>
        </w:rPr>
        <w:t>include the benefits in the joint account</w:t>
      </w:r>
      <w:r w:rsidR="00362781" w:rsidRPr="00E40443">
        <w:rPr>
          <w:rFonts w:cs="Arial"/>
          <w:szCs w:val="24"/>
        </w:rPr>
        <w:t xml:space="preserve"> and distribute one-half thereof to Mrs Maqubela, by virtue of the marriage in community of property</w:t>
      </w:r>
      <w:r w:rsidR="00B817BA" w:rsidRPr="00E40443">
        <w:rPr>
          <w:rFonts w:cs="Arial"/>
          <w:szCs w:val="24"/>
        </w:rPr>
        <w:t>.</w:t>
      </w:r>
      <w:r w:rsidR="00B817BA" w:rsidRPr="00E40443">
        <w:rPr>
          <w:rStyle w:val="FootnoteReference"/>
          <w:rFonts w:cs="Arial"/>
          <w:szCs w:val="24"/>
        </w:rPr>
        <w:footnoteReference w:id="284"/>
      </w:r>
      <w:r w:rsidR="0074192B" w:rsidRPr="00E40443">
        <w:rPr>
          <w:rFonts w:cs="Arial"/>
          <w:szCs w:val="24"/>
        </w:rPr>
        <w:t xml:space="preserve"> The deceased’s children from a previous marriage objected to the re-drafted account</w:t>
      </w:r>
      <w:r w:rsidR="006B0CD7" w:rsidRPr="00E40443">
        <w:rPr>
          <w:rFonts w:cs="Arial"/>
          <w:szCs w:val="24"/>
        </w:rPr>
        <w:t>, which objection the Master rejected on the basis that “the surviving spouse is not automatically excluded from inheriting from the estate her half share in terms of a marriage in community of property unless there is a Declaratory Order to that effect”.</w:t>
      </w:r>
      <w:r w:rsidR="006B0CD7" w:rsidRPr="00E40443">
        <w:rPr>
          <w:rStyle w:val="FootnoteReference"/>
          <w:rFonts w:cs="Arial"/>
          <w:szCs w:val="24"/>
        </w:rPr>
        <w:footnoteReference w:id="285"/>
      </w:r>
    </w:p>
    <w:p w14:paraId="04420989" w14:textId="7EEF68FA" w:rsidR="00AF0AE2" w:rsidRPr="00E40443" w:rsidRDefault="00AF0AE2" w:rsidP="00C5627E">
      <w:pPr>
        <w:rPr>
          <w:rFonts w:cs="Arial"/>
          <w:szCs w:val="24"/>
        </w:rPr>
      </w:pPr>
      <w:r w:rsidRPr="00E40443">
        <w:rPr>
          <w:rFonts w:cs="Arial"/>
          <w:szCs w:val="24"/>
        </w:rPr>
        <w:t xml:space="preserve">During the criminal proceedings, Mrs Maqubela </w:t>
      </w:r>
      <w:r w:rsidR="00046889" w:rsidRPr="00E40443">
        <w:rPr>
          <w:rFonts w:cs="Arial"/>
          <w:szCs w:val="24"/>
        </w:rPr>
        <w:t xml:space="preserve">repeatedly showed herself to be an </w:t>
      </w:r>
      <w:r w:rsidR="0079362A">
        <w:rPr>
          <w:rFonts w:cs="Arial"/>
          <w:szCs w:val="24"/>
        </w:rPr>
        <w:t>“</w:t>
      </w:r>
      <w:r w:rsidR="00046889" w:rsidRPr="00E40443">
        <w:rPr>
          <w:rFonts w:cs="Arial"/>
          <w:i/>
          <w:iCs/>
          <w:szCs w:val="24"/>
        </w:rPr>
        <w:t>onbeskaamd meinedige leuenaar</w:t>
      </w:r>
      <w:r w:rsidR="0079362A">
        <w:rPr>
          <w:rFonts w:cs="Arial"/>
          <w:szCs w:val="24"/>
        </w:rPr>
        <w:t>”</w:t>
      </w:r>
      <w:r w:rsidR="00046889" w:rsidRPr="00E40443">
        <w:rPr>
          <w:rFonts w:cs="Arial"/>
          <w:szCs w:val="24"/>
        </w:rPr>
        <w:t xml:space="preserve"> [unashamed perjurious liar], and she was convicted for murder, which conviction was overturned, forgery and fraud.</w:t>
      </w:r>
      <w:r w:rsidR="00046889" w:rsidRPr="00E40443">
        <w:rPr>
          <w:rStyle w:val="FootnoteReference"/>
          <w:rFonts w:cs="Arial"/>
          <w:szCs w:val="24"/>
        </w:rPr>
        <w:footnoteReference w:id="286"/>
      </w:r>
    </w:p>
    <w:p w14:paraId="2C9AE793" w14:textId="389B5DFB" w:rsidR="00F96C7D" w:rsidRPr="00E40443" w:rsidRDefault="00C20D1D" w:rsidP="00C5627E">
      <w:pPr>
        <w:rPr>
          <w:rFonts w:cs="Arial"/>
          <w:szCs w:val="24"/>
        </w:rPr>
      </w:pPr>
      <w:r w:rsidRPr="00E40443">
        <w:rPr>
          <w:rFonts w:cs="Arial"/>
          <w:szCs w:val="24"/>
        </w:rPr>
        <w:t xml:space="preserve">The aforementioned children applied to Court </w:t>
      </w:r>
      <w:r w:rsidR="00F96C7D" w:rsidRPr="00E40443">
        <w:rPr>
          <w:rFonts w:cs="Arial"/>
          <w:szCs w:val="24"/>
        </w:rPr>
        <w:t xml:space="preserve">to </w:t>
      </w:r>
      <w:r w:rsidR="00CD1440" w:rsidRPr="00E40443">
        <w:rPr>
          <w:rFonts w:cs="Arial"/>
          <w:szCs w:val="24"/>
        </w:rPr>
        <w:t xml:space="preserve">declare </w:t>
      </w:r>
      <w:r w:rsidR="00F96C7D" w:rsidRPr="00E40443">
        <w:rPr>
          <w:rFonts w:cs="Arial"/>
          <w:szCs w:val="24"/>
        </w:rPr>
        <w:t>Mrs Maqubela unworthy of inheriting from the deceased, on the grounds of her criminal convictions.</w:t>
      </w:r>
      <w:r w:rsidR="00F96C7D" w:rsidRPr="00E40443">
        <w:rPr>
          <w:rStyle w:val="FootnoteReference"/>
          <w:rFonts w:cs="Arial"/>
          <w:szCs w:val="24"/>
        </w:rPr>
        <w:footnoteReference w:id="287"/>
      </w:r>
      <w:r w:rsidR="00F96C7D" w:rsidRPr="00E40443">
        <w:rPr>
          <w:rFonts w:cs="Arial"/>
          <w:szCs w:val="24"/>
        </w:rPr>
        <w:t xml:space="preserve"> Their entire case was built on the criminal convictions </w:t>
      </w:r>
      <w:r w:rsidRPr="00E40443">
        <w:rPr>
          <w:rFonts w:cs="Arial"/>
          <w:szCs w:val="24"/>
        </w:rPr>
        <w:t xml:space="preserve">that were “common cause”, </w:t>
      </w:r>
      <w:r w:rsidR="00F96C7D" w:rsidRPr="00E40443">
        <w:rPr>
          <w:rFonts w:cs="Arial"/>
          <w:szCs w:val="24"/>
        </w:rPr>
        <w:t xml:space="preserve">and the evidence lead </w:t>
      </w:r>
      <w:r w:rsidRPr="00E40443">
        <w:rPr>
          <w:rFonts w:cs="Arial"/>
          <w:szCs w:val="24"/>
        </w:rPr>
        <w:lastRenderedPageBreak/>
        <w:t>during such trial, which submissions were merely denied during the civil proceedings.</w:t>
      </w:r>
      <w:r w:rsidRPr="00E40443">
        <w:rPr>
          <w:rStyle w:val="FootnoteReference"/>
          <w:rFonts w:cs="Arial"/>
          <w:szCs w:val="24"/>
        </w:rPr>
        <w:footnoteReference w:id="288"/>
      </w:r>
      <w:r w:rsidRPr="00E40443">
        <w:rPr>
          <w:rFonts w:cs="Arial"/>
          <w:szCs w:val="24"/>
        </w:rPr>
        <w:t xml:space="preserve"> </w:t>
      </w:r>
      <w:r w:rsidR="00F96C7D" w:rsidRPr="00E40443">
        <w:rPr>
          <w:rFonts w:cs="Arial"/>
          <w:szCs w:val="24"/>
        </w:rPr>
        <w:t xml:space="preserve">The Court reluctantly informed that it was prohibited from considering such evidence by virtue of the </w:t>
      </w:r>
      <w:r w:rsidR="00F96C7D" w:rsidRPr="00E40443">
        <w:rPr>
          <w:rFonts w:cs="Arial"/>
          <w:i/>
          <w:iCs/>
          <w:szCs w:val="24"/>
        </w:rPr>
        <w:t>Hollington</w:t>
      </w:r>
      <w:r w:rsidR="00F96C7D" w:rsidRPr="00E40443">
        <w:rPr>
          <w:rFonts w:cs="Arial"/>
          <w:szCs w:val="24"/>
        </w:rPr>
        <w:t xml:space="preserve"> rule</w:t>
      </w:r>
      <w:r w:rsidR="00F96C7D" w:rsidRPr="00E40443">
        <w:rPr>
          <w:rStyle w:val="FootnoteReference"/>
          <w:rFonts w:cs="Arial"/>
          <w:szCs w:val="24"/>
        </w:rPr>
        <w:footnoteReference w:id="289"/>
      </w:r>
      <w:r w:rsidRPr="00E40443">
        <w:rPr>
          <w:rFonts w:cs="Arial"/>
          <w:szCs w:val="24"/>
        </w:rPr>
        <w:t xml:space="preserve"> </w:t>
      </w:r>
      <w:r w:rsidR="00127D02" w:rsidRPr="00E40443">
        <w:rPr>
          <w:rFonts w:cs="Arial"/>
          <w:szCs w:val="24"/>
        </w:rPr>
        <w:t xml:space="preserve">and dismissed </w:t>
      </w:r>
      <w:r w:rsidRPr="00E40443">
        <w:rPr>
          <w:rFonts w:cs="Arial"/>
          <w:szCs w:val="24"/>
        </w:rPr>
        <w:t xml:space="preserve">the application </w:t>
      </w:r>
      <w:r w:rsidR="00127D02" w:rsidRPr="00E40443">
        <w:rPr>
          <w:rFonts w:cs="Arial"/>
          <w:szCs w:val="24"/>
        </w:rPr>
        <w:t xml:space="preserve">to declare Mrs Maqubela unworthy of inheriting based on the applicants’ failure to </w:t>
      </w:r>
      <w:r w:rsidRPr="00E40443">
        <w:rPr>
          <w:rFonts w:cs="Arial"/>
          <w:szCs w:val="24"/>
        </w:rPr>
        <w:t>discharg</w:t>
      </w:r>
      <w:r w:rsidR="00127D02" w:rsidRPr="00E40443">
        <w:rPr>
          <w:rFonts w:cs="Arial"/>
          <w:szCs w:val="24"/>
        </w:rPr>
        <w:t>e</w:t>
      </w:r>
      <w:r w:rsidRPr="00E40443">
        <w:rPr>
          <w:rFonts w:cs="Arial"/>
          <w:szCs w:val="24"/>
        </w:rPr>
        <w:t xml:space="preserve"> the onus </w:t>
      </w:r>
      <w:r w:rsidR="00127D02" w:rsidRPr="00E40443">
        <w:rPr>
          <w:rFonts w:cs="Arial"/>
          <w:szCs w:val="24"/>
        </w:rPr>
        <w:t xml:space="preserve">by </w:t>
      </w:r>
      <w:r w:rsidR="00975DF4" w:rsidRPr="00E40443">
        <w:rPr>
          <w:rFonts w:cs="Arial"/>
          <w:szCs w:val="24"/>
        </w:rPr>
        <w:t xml:space="preserve">submitting evidence proving </w:t>
      </w:r>
      <w:r w:rsidR="00127D02" w:rsidRPr="00E40443">
        <w:rPr>
          <w:rFonts w:cs="Arial"/>
          <w:szCs w:val="24"/>
        </w:rPr>
        <w:t>that she did indeed murder the deceased.</w:t>
      </w:r>
      <w:r w:rsidR="00F96C7D" w:rsidRPr="00E40443">
        <w:rPr>
          <w:rStyle w:val="FootnoteReference"/>
          <w:rFonts w:cs="Arial"/>
          <w:szCs w:val="24"/>
        </w:rPr>
        <w:footnoteReference w:id="290"/>
      </w:r>
    </w:p>
    <w:p w14:paraId="1B67039D" w14:textId="1B03BE8D" w:rsidR="00A0559A" w:rsidRPr="00E40443" w:rsidRDefault="00125C0B" w:rsidP="00C5627E">
      <w:pPr>
        <w:rPr>
          <w:rFonts w:cs="Arial"/>
          <w:szCs w:val="24"/>
        </w:rPr>
      </w:pPr>
      <w:r w:rsidRPr="00E40443">
        <w:rPr>
          <w:rFonts w:cs="Arial"/>
          <w:szCs w:val="24"/>
        </w:rPr>
        <w:t xml:space="preserve">The </w:t>
      </w:r>
      <w:r w:rsidR="00046889" w:rsidRPr="00E40443">
        <w:rPr>
          <w:rFonts w:cs="Arial"/>
          <w:szCs w:val="24"/>
        </w:rPr>
        <w:t xml:space="preserve">Court </w:t>
      </w:r>
      <w:r w:rsidR="00C20D1D" w:rsidRPr="00E40443">
        <w:rPr>
          <w:rFonts w:cs="Arial"/>
          <w:szCs w:val="24"/>
        </w:rPr>
        <w:t xml:space="preserve">was further tasked </w:t>
      </w:r>
      <w:r w:rsidR="001F5490" w:rsidRPr="00E40443">
        <w:rPr>
          <w:rFonts w:cs="Arial"/>
          <w:szCs w:val="24"/>
        </w:rPr>
        <w:t>to determine</w:t>
      </w:r>
      <w:r w:rsidR="008F3756" w:rsidRPr="00E40443">
        <w:rPr>
          <w:rFonts w:cs="Arial"/>
          <w:szCs w:val="24"/>
        </w:rPr>
        <w:t xml:space="preserve"> whether </w:t>
      </w:r>
      <w:r w:rsidR="001F5490" w:rsidRPr="00E40443">
        <w:rPr>
          <w:rFonts w:cs="Arial"/>
          <w:szCs w:val="24"/>
        </w:rPr>
        <w:t xml:space="preserve">the proceeds from the life insurance </w:t>
      </w:r>
      <w:r w:rsidR="008F3756" w:rsidRPr="00E40443">
        <w:rPr>
          <w:rFonts w:cs="Arial"/>
          <w:szCs w:val="24"/>
        </w:rPr>
        <w:t>polic</w:t>
      </w:r>
      <w:r w:rsidR="001F5490" w:rsidRPr="00E40443">
        <w:rPr>
          <w:rFonts w:cs="Arial"/>
          <w:szCs w:val="24"/>
        </w:rPr>
        <w:t>ies</w:t>
      </w:r>
      <w:r w:rsidR="008F3756" w:rsidRPr="00E40443">
        <w:rPr>
          <w:rFonts w:cs="Arial"/>
          <w:szCs w:val="24"/>
        </w:rPr>
        <w:t xml:space="preserve"> formed part of the communal estate.</w:t>
      </w:r>
      <w:r w:rsidR="008F3756" w:rsidRPr="00E40443">
        <w:rPr>
          <w:rStyle w:val="FootnoteReference"/>
          <w:rFonts w:cs="Arial"/>
          <w:szCs w:val="24"/>
        </w:rPr>
        <w:footnoteReference w:id="291"/>
      </w:r>
      <w:r w:rsidR="0022398D" w:rsidRPr="00E40443">
        <w:rPr>
          <w:rFonts w:cs="Arial"/>
          <w:szCs w:val="24"/>
        </w:rPr>
        <w:t xml:space="preserve"> </w:t>
      </w:r>
      <w:r w:rsidR="001771F0" w:rsidRPr="00E40443">
        <w:rPr>
          <w:rFonts w:cs="Arial"/>
          <w:szCs w:val="24"/>
        </w:rPr>
        <w:t>As a point of departure, the Court pointed out that the marriage in community of property, and accordingly the joint estate, terminates upon the death of a spouse to such marriage</w:t>
      </w:r>
      <w:r w:rsidR="0022398D" w:rsidRPr="00E40443">
        <w:rPr>
          <w:rFonts w:cs="Arial"/>
          <w:szCs w:val="24"/>
        </w:rPr>
        <w:t>, and that the pension benefits could never have formed part of the parties’ communal estate.</w:t>
      </w:r>
      <w:r w:rsidR="0022398D" w:rsidRPr="00E40443">
        <w:rPr>
          <w:rStyle w:val="FootnoteReference"/>
          <w:rFonts w:cs="Arial"/>
          <w:szCs w:val="24"/>
        </w:rPr>
        <w:footnoteReference w:id="292"/>
      </w:r>
      <w:r w:rsidR="001771F0" w:rsidRPr="00E40443">
        <w:rPr>
          <w:rFonts w:cs="Arial"/>
          <w:szCs w:val="24"/>
        </w:rPr>
        <w:t xml:space="preserve"> </w:t>
      </w:r>
      <w:r w:rsidR="0022398D" w:rsidRPr="00E40443">
        <w:rPr>
          <w:rFonts w:cs="Arial"/>
          <w:szCs w:val="24"/>
        </w:rPr>
        <w:t xml:space="preserve">In light hereof, the pension benefits </w:t>
      </w:r>
      <w:r w:rsidR="00F0609F" w:rsidRPr="00E40443">
        <w:rPr>
          <w:rFonts w:cs="Arial"/>
          <w:szCs w:val="24"/>
        </w:rPr>
        <w:t>were</w:t>
      </w:r>
      <w:r w:rsidR="0022398D" w:rsidRPr="00E40443">
        <w:rPr>
          <w:rFonts w:cs="Arial"/>
          <w:szCs w:val="24"/>
        </w:rPr>
        <w:t xml:space="preserve"> excluded from the joint estate</w:t>
      </w:r>
      <w:r w:rsidR="00384559" w:rsidRPr="00E40443">
        <w:rPr>
          <w:rFonts w:cs="Arial"/>
          <w:szCs w:val="24"/>
        </w:rPr>
        <w:t>, and distributed</w:t>
      </w:r>
      <w:r w:rsidR="00384559" w:rsidRPr="00E40443">
        <w:rPr>
          <w:rStyle w:val="FootnoteReference"/>
          <w:rFonts w:cs="Arial"/>
          <w:szCs w:val="24"/>
        </w:rPr>
        <w:footnoteReference w:id="293"/>
      </w:r>
      <w:r w:rsidR="00384559" w:rsidRPr="00E40443">
        <w:rPr>
          <w:rFonts w:cs="Arial"/>
          <w:szCs w:val="24"/>
        </w:rPr>
        <w:t xml:space="preserve"> in accordance with </w:t>
      </w:r>
      <w:r w:rsidR="001C52FB" w:rsidRPr="00E40443">
        <w:rPr>
          <w:rFonts w:cs="Arial"/>
          <w:szCs w:val="24"/>
        </w:rPr>
        <w:t xml:space="preserve">the provisions of the </w:t>
      </w:r>
      <w:r w:rsidR="001C52FB" w:rsidRPr="00E40443">
        <w:rPr>
          <w:rFonts w:cs="Arial"/>
          <w:i/>
          <w:iCs/>
          <w:szCs w:val="24"/>
        </w:rPr>
        <w:t>Intestate Succession Act</w:t>
      </w:r>
      <w:r w:rsidR="001C52FB" w:rsidRPr="00E40443">
        <w:rPr>
          <w:rFonts w:cs="Arial"/>
          <w:szCs w:val="24"/>
        </w:rPr>
        <w:t>.</w:t>
      </w:r>
      <w:r w:rsidR="001C52FB" w:rsidRPr="00E40443">
        <w:rPr>
          <w:rStyle w:val="FootnoteReference"/>
          <w:rFonts w:cs="Arial"/>
          <w:szCs w:val="24"/>
        </w:rPr>
        <w:footnoteReference w:id="294"/>
      </w:r>
    </w:p>
    <w:p w14:paraId="6FE48F44" w14:textId="77777777" w:rsidR="002977D8" w:rsidRPr="00E40443" w:rsidRDefault="002977D8" w:rsidP="00C5627E">
      <w:pPr>
        <w:rPr>
          <w:rFonts w:cs="Arial"/>
          <w:szCs w:val="24"/>
        </w:rPr>
      </w:pPr>
    </w:p>
    <w:p w14:paraId="2E5920D6" w14:textId="54A77BFD" w:rsidR="002977D8" w:rsidRPr="00E40443" w:rsidRDefault="00092A3A" w:rsidP="00C5627E">
      <w:pPr>
        <w:pStyle w:val="Heading2"/>
        <w:numPr>
          <w:ilvl w:val="1"/>
          <w:numId w:val="20"/>
        </w:numPr>
        <w:ind w:left="567" w:hanging="567"/>
        <w:rPr>
          <w:rFonts w:cs="Arial"/>
          <w:b w:val="0"/>
          <w:bCs/>
          <w:szCs w:val="24"/>
        </w:rPr>
      </w:pPr>
      <w:bookmarkStart w:id="39" w:name="_Toc191216285"/>
      <w:r w:rsidRPr="00E40443">
        <w:rPr>
          <w:rFonts w:cs="Arial"/>
          <w:bCs/>
          <w:szCs w:val="24"/>
        </w:rPr>
        <w:t>Areas of law where these cases find application</w:t>
      </w:r>
      <w:bookmarkEnd w:id="39"/>
    </w:p>
    <w:p w14:paraId="1CB85A42" w14:textId="400D310E" w:rsidR="00B37316" w:rsidRPr="00E40443" w:rsidRDefault="005A763E" w:rsidP="00C5627E">
      <w:pPr>
        <w:rPr>
          <w:rFonts w:cs="Arial"/>
          <w:szCs w:val="24"/>
        </w:rPr>
      </w:pPr>
      <w:r w:rsidRPr="00E40443">
        <w:rPr>
          <w:rFonts w:cs="Arial"/>
          <w:szCs w:val="24"/>
        </w:rPr>
        <w:t>As is evident from above, various p</w:t>
      </w:r>
      <w:r w:rsidR="00555CD0" w:rsidRPr="00E40443">
        <w:rPr>
          <w:rFonts w:cs="Arial"/>
          <w:szCs w:val="24"/>
        </w:rPr>
        <w:t xml:space="preserve">ersons </w:t>
      </w:r>
      <w:r w:rsidRPr="00E40443">
        <w:rPr>
          <w:rFonts w:cs="Arial"/>
          <w:szCs w:val="24"/>
        </w:rPr>
        <w:t xml:space="preserve">were </w:t>
      </w:r>
      <w:r w:rsidR="00555CD0" w:rsidRPr="00E40443">
        <w:rPr>
          <w:rFonts w:cs="Arial"/>
          <w:szCs w:val="24"/>
        </w:rPr>
        <w:t>found unworthy</w:t>
      </w:r>
      <w:r w:rsidRPr="00E40443">
        <w:rPr>
          <w:rFonts w:cs="Arial"/>
          <w:szCs w:val="24"/>
        </w:rPr>
        <w:t xml:space="preserve"> to inherit from the deceased.</w:t>
      </w:r>
    </w:p>
    <w:p w14:paraId="2C4D7268" w14:textId="1166D61D" w:rsidR="002977D8" w:rsidRPr="00E40443" w:rsidRDefault="00B37316" w:rsidP="00C5627E">
      <w:pPr>
        <w:rPr>
          <w:rFonts w:cs="Arial"/>
          <w:szCs w:val="24"/>
        </w:rPr>
      </w:pPr>
      <w:r w:rsidRPr="00E40443">
        <w:rPr>
          <w:rFonts w:cs="Arial"/>
          <w:szCs w:val="24"/>
        </w:rPr>
        <w:t>The following headings</w:t>
      </w:r>
      <w:r w:rsidR="0035236F" w:rsidRPr="00E40443">
        <w:rPr>
          <w:rFonts w:cs="Arial"/>
          <w:szCs w:val="24"/>
        </w:rPr>
        <w:t xml:space="preserve"> provide</w:t>
      </w:r>
      <w:r w:rsidRPr="00E40443">
        <w:rPr>
          <w:rFonts w:cs="Arial"/>
          <w:szCs w:val="24"/>
        </w:rPr>
        <w:t xml:space="preserve">, in alphabetical order, a </w:t>
      </w:r>
      <w:r w:rsidR="002977D8" w:rsidRPr="00E40443">
        <w:rPr>
          <w:rFonts w:cs="Arial"/>
          <w:szCs w:val="24"/>
        </w:rPr>
        <w:t>summary of the relevant areas which were affected by the findings in the cases discussed in 3.3</w:t>
      </w:r>
      <w:r w:rsidR="00611147" w:rsidRPr="00E40443">
        <w:rPr>
          <w:rFonts w:cs="Arial"/>
          <w:szCs w:val="24"/>
        </w:rPr>
        <w:t xml:space="preserve"> above.</w:t>
      </w:r>
    </w:p>
    <w:p w14:paraId="5EB1BA9F" w14:textId="594BA35A" w:rsidR="00770658" w:rsidRPr="00E40443" w:rsidRDefault="00770658" w:rsidP="00C5627E">
      <w:pPr>
        <w:pStyle w:val="Heading3"/>
        <w:numPr>
          <w:ilvl w:val="2"/>
          <w:numId w:val="20"/>
        </w:numPr>
        <w:ind w:left="851" w:hanging="851"/>
        <w:rPr>
          <w:rFonts w:cs="Arial"/>
          <w:b/>
          <w:bCs/>
        </w:rPr>
      </w:pPr>
      <w:bookmarkStart w:id="40" w:name="_Toc191216286"/>
      <w:r w:rsidRPr="00E40443">
        <w:rPr>
          <w:rFonts w:cs="Arial"/>
          <w:b/>
          <w:bCs/>
        </w:rPr>
        <w:t>Insurance benefits</w:t>
      </w:r>
      <w:bookmarkEnd w:id="40"/>
    </w:p>
    <w:p w14:paraId="63515CF9" w14:textId="3F23B6D5" w:rsidR="00770658" w:rsidRPr="00E40443" w:rsidRDefault="00104C1B" w:rsidP="00C5627E">
      <w:pPr>
        <w:rPr>
          <w:rFonts w:cs="Arial"/>
          <w:szCs w:val="24"/>
        </w:rPr>
      </w:pPr>
      <w:r w:rsidRPr="00E40443">
        <w:rPr>
          <w:rFonts w:cs="Arial"/>
          <w:szCs w:val="24"/>
        </w:rPr>
        <w:t xml:space="preserve">A social media statement by the </w:t>
      </w:r>
      <w:r w:rsidR="00475530" w:rsidRPr="00E40443">
        <w:rPr>
          <w:rFonts w:cs="Arial"/>
          <w:szCs w:val="24"/>
        </w:rPr>
        <w:t>National Prosecuting Authority</w:t>
      </w:r>
      <w:r w:rsidRPr="00E40443">
        <w:rPr>
          <w:rFonts w:cs="Arial"/>
          <w:szCs w:val="24"/>
        </w:rPr>
        <w:t>,</w:t>
      </w:r>
      <w:r w:rsidR="00EA5209" w:rsidRPr="00E40443">
        <w:rPr>
          <w:rStyle w:val="FootnoteReference"/>
          <w:rFonts w:cs="Arial"/>
          <w:szCs w:val="24"/>
        </w:rPr>
        <w:footnoteReference w:id="295"/>
      </w:r>
      <w:r w:rsidRPr="00E40443">
        <w:rPr>
          <w:rFonts w:cs="Arial"/>
          <w:szCs w:val="24"/>
        </w:rPr>
        <w:t xml:space="preserve"> following the handing down of sentence for murder,</w:t>
      </w:r>
      <w:r w:rsidR="00475530" w:rsidRPr="00E40443">
        <w:rPr>
          <w:rFonts w:cs="Arial"/>
          <w:szCs w:val="24"/>
        </w:rPr>
        <w:t xml:space="preserve"> </w:t>
      </w:r>
      <w:r w:rsidRPr="00E40443">
        <w:rPr>
          <w:rFonts w:cs="Arial"/>
          <w:szCs w:val="24"/>
        </w:rPr>
        <w:t xml:space="preserve">read that </w:t>
      </w:r>
      <w:r w:rsidR="00770658" w:rsidRPr="00E40443">
        <w:rPr>
          <w:rFonts w:cs="Arial"/>
          <w:szCs w:val="24"/>
        </w:rPr>
        <w:t>“</w:t>
      </w:r>
      <w:r w:rsidRPr="00E40443">
        <w:rPr>
          <w:rFonts w:cs="Arial"/>
          <w:szCs w:val="24"/>
        </w:rPr>
        <w:t>I</w:t>
      </w:r>
      <w:r w:rsidR="00770658" w:rsidRPr="00E40443">
        <w:rPr>
          <w:rFonts w:cs="Arial"/>
          <w:szCs w:val="24"/>
        </w:rPr>
        <w:t xml:space="preserve">nsurance payout murders are becoming out of control … in the country”. </w:t>
      </w:r>
      <w:r w:rsidRPr="00E40443">
        <w:rPr>
          <w:rFonts w:cs="Arial"/>
          <w:szCs w:val="24"/>
        </w:rPr>
        <w:t xml:space="preserve">The accused in this matter </w:t>
      </w:r>
      <w:r w:rsidR="00AC230B" w:rsidRPr="00E40443">
        <w:rPr>
          <w:rFonts w:cs="Arial"/>
          <w:szCs w:val="24"/>
        </w:rPr>
        <w:t xml:space="preserve">attacked and brutally injured a female hired hand in an attempt to benefit </w:t>
      </w:r>
      <w:r w:rsidRPr="00E40443">
        <w:rPr>
          <w:rFonts w:cs="Arial"/>
          <w:szCs w:val="24"/>
        </w:rPr>
        <w:t>from the funeral policies, in the amount of R 200</w:t>
      </w:r>
      <w:r w:rsidR="00EA5209">
        <w:rPr>
          <w:rFonts w:cs="Arial"/>
          <w:szCs w:val="24"/>
        </w:rPr>
        <w:t> </w:t>
      </w:r>
      <w:r w:rsidRPr="00E40443">
        <w:rPr>
          <w:rFonts w:cs="Arial"/>
          <w:szCs w:val="24"/>
        </w:rPr>
        <w:t>000</w:t>
      </w:r>
      <w:r w:rsidR="00EA5209">
        <w:rPr>
          <w:rFonts w:cs="Arial"/>
          <w:szCs w:val="24"/>
        </w:rPr>
        <w:t>,</w:t>
      </w:r>
      <w:r w:rsidRPr="00E40443">
        <w:rPr>
          <w:rFonts w:cs="Arial"/>
          <w:szCs w:val="24"/>
        </w:rPr>
        <w:t xml:space="preserve">00, taken out on the life of </w:t>
      </w:r>
      <w:r w:rsidR="00AC230B" w:rsidRPr="00E40443">
        <w:rPr>
          <w:rFonts w:cs="Arial"/>
          <w:szCs w:val="24"/>
        </w:rPr>
        <w:t>the female</w:t>
      </w:r>
      <w:r w:rsidRPr="00E40443">
        <w:rPr>
          <w:rFonts w:cs="Arial"/>
          <w:szCs w:val="24"/>
        </w:rPr>
        <w:t xml:space="preserve">. </w:t>
      </w:r>
      <w:r w:rsidR="00770658" w:rsidRPr="00E40443">
        <w:rPr>
          <w:rFonts w:cs="Arial"/>
          <w:szCs w:val="24"/>
        </w:rPr>
        <w:t>One of the accused</w:t>
      </w:r>
      <w:r w:rsidR="00AC230B" w:rsidRPr="00E40443">
        <w:rPr>
          <w:rFonts w:cs="Arial"/>
          <w:szCs w:val="24"/>
        </w:rPr>
        <w:t xml:space="preserve"> </w:t>
      </w:r>
      <w:r w:rsidR="00770658" w:rsidRPr="00E40443">
        <w:rPr>
          <w:rFonts w:cs="Arial"/>
          <w:szCs w:val="24"/>
        </w:rPr>
        <w:t>was also suspect</w:t>
      </w:r>
      <w:r w:rsidR="00475530" w:rsidRPr="00E40443">
        <w:rPr>
          <w:rFonts w:cs="Arial"/>
          <w:szCs w:val="24"/>
        </w:rPr>
        <w:t xml:space="preserve">ed of killing his uncle </w:t>
      </w:r>
      <w:r w:rsidR="00AC230B" w:rsidRPr="00E40443">
        <w:rPr>
          <w:rFonts w:cs="Arial"/>
          <w:szCs w:val="24"/>
        </w:rPr>
        <w:t>for the same reason</w:t>
      </w:r>
      <w:r w:rsidR="00770658" w:rsidRPr="00E40443">
        <w:rPr>
          <w:rFonts w:cs="Arial"/>
          <w:szCs w:val="24"/>
        </w:rPr>
        <w:t>.</w:t>
      </w:r>
    </w:p>
    <w:p w14:paraId="436895EC" w14:textId="53DD05CD" w:rsidR="00770658" w:rsidRPr="00E40443" w:rsidRDefault="00770658" w:rsidP="00C5627E">
      <w:pPr>
        <w:rPr>
          <w:rFonts w:cs="Arial"/>
          <w:szCs w:val="24"/>
        </w:rPr>
      </w:pPr>
      <w:r w:rsidRPr="00E40443">
        <w:rPr>
          <w:rFonts w:cs="Arial"/>
          <w:szCs w:val="24"/>
        </w:rPr>
        <w:lastRenderedPageBreak/>
        <w:t xml:space="preserve">In terms of the maxim </w:t>
      </w:r>
      <w:r w:rsidRPr="00E40443">
        <w:rPr>
          <w:rFonts w:cs="Arial"/>
          <w:i/>
          <w:iCs/>
          <w:szCs w:val="24"/>
        </w:rPr>
        <w:t>non enim aequum est virum ob facinus suum dotem sperare lucrifacere</w:t>
      </w:r>
      <w:r w:rsidRPr="00E40443">
        <w:rPr>
          <w:rFonts w:cs="Arial"/>
          <w:szCs w:val="24"/>
        </w:rPr>
        <w:t>, no personal right arises from the person’s own reprehensible conduct</w:t>
      </w:r>
      <w:r w:rsidR="00EA5209">
        <w:rPr>
          <w:rFonts w:cs="Arial"/>
          <w:szCs w:val="24"/>
        </w:rPr>
        <w:t>,</w:t>
      </w:r>
      <w:r w:rsidRPr="00E40443">
        <w:rPr>
          <w:rStyle w:val="FootnoteReference"/>
          <w:rFonts w:cs="Arial"/>
          <w:szCs w:val="24"/>
        </w:rPr>
        <w:footnoteReference w:id="296"/>
      </w:r>
      <w:r w:rsidRPr="00E40443">
        <w:rPr>
          <w:rFonts w:cs="Arial"/>
          <w:szCs w:val="24"/>
        </w:rPr>
        <w:t xml:space="preserve"> </w:t>
      </w:r>
      <w:r w:rsidR="00AC230B" w:rsidRPr="00E40443">
        <w:rPr>
          <w:rFonts w:cs="Arial"/>
          <w:szCs w:val="24"/>
        </w:rPr>
        <w:t xml:space="preserve">and an insured </w:t>
      </w:r>
      <w:r w:rsidRPr="00E40443">
        <w:rPr>
          <w:rFonts w:cs="Arial"/>
          <w:szCs w:val="24"/>
        </w:rPr>
        <w:t xml:space="preserve">who contributes to his </w:t>
      </w:r>
      <w:r w:rsidR="00AC230B" w:rsidRPr="00E40443">
        <w:rPr>
          <w:rFonts w:cs="Arial"/>
          <w:szCs w:val="24"/>
        </w:rPr>
        <w:t xml:space="preserve">own </w:t>
      </w:r>
      <w:r w:rsidRPr="00E40443">
        <w:rPr>
          <w:rFonts w:cs="Arial"/>
          <w:szCs w:val="24"/>
        </w:rPr>
        <w:t xml:space="preserve">misfortune, is not entitled to lodge a claim against the insurer for the </w:t>
      </w:r>
      <w:r w:rsidR="00AC230B" w:rsidRPr="00E40443">
        <w:rPr>
          <w:rFonts w:cs="Arial"/>
          <w:szCs w:val="24"/>
        </w:rPr>
        <w:t xml:space="preserve">associated </w:t>
      </w:r>
      <w:r w:rsidRPr="00E40443">
        <w:rPr>
          <w:rFonts w:cs="Arial"/>
          <w:szCs w:val="24"/>
        </w:rPr>
        <w:t>damages</w:t>
      </w:r>
      <w:r w:rsidR="004E1A91" w:rsidRPr="00E40443">
        <w:rPr>
          <w:rFonts w:cs="Arial"/>
          <w:szCs w:val="24"/>
        </w:rPr>
        <w:t>,</w:t>
      </w:r>
      <w:r w:rsidRPr="00E40443">
        <w:rPr>
          <w:rFonts w:cs="Arial"/>
          <w:szCs w:val="24"/>
        </w:rPr>
        <w:t xml:space="preserve"> </w:t>
      </w:r>
      <w:r w:rsidR="004E1A91" w:rsidRPr="00E40443">
        <w:rPr>
          <w:rFonts w:cs="Arial"/>
          <w:szCs w:val="24"/>
        </w:rPr>
        <w:t xml:space="preserve">which was held to apply </w:t>
      </w:r>
      <w:r w:rsidRPr="00E40443">
        <w:rPr>
          <w:rFonts w:cs="Arial"/>
          <w:szCs w:val="24"/>
        </w:rPr>
        <w:t>equally to a</w:t>
      </w:r>
      <w:r w:rsidR="004E1A91" w:rsidRPr="00E40443">
        <w:rPr>
          <w:rFonts w:cs="Arial"/>
          <w:szCs w:val="24"/>
        </w:rPr>
        <w:t xml:space="preserve"> nominated </w:t>
      </w:r>
      <w:r w:rsidRPr="00E40443">
        <w:rPr>
          <w:rFonts w:cs="Arial"/>
          <w:szCs w:val="24"/>
        </w:rPr>
        <w:t>beneficiar</w:t>
      </w:r>
      <w:r w:rsidR="004E1A91" w:rsidRPr="00E40443">
        <w:rPr>
          <w:rFonts w:cs="Arial"/>
          <w:szCs w:val="24"/>
        </w:rPr>
        <w:t>y and one who benefits in the absence of a nomination.</w:t>
      </w:r>
      <w:r w:rsidRPr="00E40443">
        <w:rPr>
          <w:rStyle w:val="FootnoteReference"/>
          <w:rFonts w:cs="Arial"/>
          <w:szCs w:val="24"/>
        </w:rPr>
        <w:footnoteReference w:id="297"/>
      </w:r>
    </w:p>
    <w:p w14:paraId="1E4C53EE" w14:textId="76B8E41E" w:rsidR="00770658" w:rsidRPr="00E40443" w:rsidRDefault="00BF0C7A" w:rsidP="00C5627E">
      <w:pPr>
        <w:rPr>
          <w:rFonts w:cs="Arial"/>
          <w:szCs w:val="24"/>
        </w:rPr>
      </w:pPr>
      <w:r w:rsidRPr="00E40443">
        <w:rPr>
          <w:rFonts w:cs="Arial"/>
          <w:szCs w:val="24"/>
        </w:rPr>
        <w:t xml:space="preserve">The right to claim under a policy arises from nomination as a beneficiary or </w:t>
      </w:r>
      <w:r w:rsidR="006D11C0" w:rsidRPr="00E40443">
        <w:rPr>
          <w:rFonts w:cs="Arial"/>
          <w:szCs w:val="24"/>
        </w:rPr>
        <w:t>in terms of</w:t>
      </w:r>
      <w:r w:rsidRPr="00E40443">
        <w:rPr>
          <w:rFonts w:cs="Arial"/>
          <w:szCs w:val="24"/>
        </w:rPr>
        <w:t xml:space="preserve"> succession.</w:t>
      </w:r>
      <w:r w:rsidR="0022398D" w:rsidRPr="00E40443">
        <w:rPr>
          <w:rStyle w:val="FootnoteReference"/>
          <w:rFonts w:cs="Arial"/>
          <w:szCs w:val="24"/>
        </w:rPr>
        <w:footnoteReference w:id="298"/>
      </w:r>
      <w:r w:rsidRPr="00E40443">
        <w:rPr>
          <w:rFonts w:cs="Arial"/>
          <w:szCs w:val="24"/>
        </w:rPr>
        <w:t xml:space="preserve"> </w:t>
      </w:r>
      <w:r w:rsidR="00605E1B" w:rsidRPr="00E40443">
        <w:rPr>
          <w:rFonts w:cs="Arial"/>
          <w:szCs w:val="24"/>
        </w:rPr>
        <w:t>By virtue of unworthiness determined in accordance with public policy</w:t>
      </w:r>
      <w:r w:rsidR="00770658" w:rsidRPr="00E40443">
        <w:rPr>
          <w:rFonts w:cs="Arial"/>
          <w:szCs w:val="24"/>
        </w:rPr>
        <w:t>,</w:t>
      </w:r>
      <w:r w:rsidR="00770658" w:rsidRPr="00E40443">
        <w:rPr>
          <w:rStyle w:val="FootnoteReference"/>
          <w:rFonts w:cs="Arial"/>
          <w:szCs w:val="24"/>
        </w:rPr>
        <w:footnoteReference w:id="299"/>
      </w:r>
      <w:r w:rsidR="00770658" w:rsidRPr="00E40443">
        <w:rPr>
          <w:rFonts w:cs="Arial"/>
          <w:szCs w:val="24"/>
        </w:rPr>
        <w:t xml:space="preserve"> </w:t>
      </w:r>
      <w:r w:rsidR="00FC7EBF" w:rsidRPr="00E40443">
        <w:rPr>
          <w:rFonts w:cs="Arial"/>
          <w:szCs w:val="24"/>
        </w:rPr>
        <w:t xml:space="preserve">various surviving spouses </w:t>
      </w:r>
      <w:r w:rsidR="009522F0">
        <w:rPr>
          <w:rFonts w:cs="Arial"/>
          <w:szCs w:val="24"/>
        </w:rPr>
        <w:t xml:space="preserve">in the cases discussed above, </w:t>
      </w:r>
      <w:r w:rsidR="00605E1B" w:rsidRPr="00E40443">
        <w:rPr>
          <w:rFonts w:cs="Arial"/>
          <w:szCs w:val="24"/>
        </w:rPr>
        <w:t>were found to not be entitled to policy benefits: Mrs Nell had no claim against the Yskor</w:t>
      </w:r>
      <w:r w:rsidR="00FC7EBF" w:rsidRPr="00E40443">
        <w:rPr>
          <w:rFonts w:cs="Arial"/>
          <w:szCs w:val="24"/>
        </w:rPr>
        <w:t xml:space="preserve"> group life-insurance policy scheme</w:t>
      </w:r>
      <w:r w:rsidR="00605E1B" w:rsidRPr="00E40443">
        <w:rPr>
          <w:rFonts w:cs="Arial"/>
          <w:szCs w:val="24"/>
        </w:rPr>
        <w:t>;</w:t>
      </w:r>
      <w:r w:rsidR="00FC7EBF" w:rsidRPr="00E40443">
        <w:rPr>
          <w:rStyle w:val="FootnoteReference"/>
          <w:rFonts w:cs="Arial"/>
          <w:szCs w:val="24"/>
        </w:rPr>
        <w:footnoteReference w:id="300"/>
      </w:r>
      <w:r w:rsidR="00605E1B" w:rsidRPr="00E40443">
        <w:rPr>
          <w:rFonts w:cs="Arial"/>
          <w:szCs w:val="24"/>
        </w:rPr>
        <w:t xml:space="preserve"> </w:t>
      </w:r>
      <w:r w:rsidR="00967701" w:rsidRPr="00E40443">
        <w:rPr>
          <w:rFonts w:cs="Arial"/>
          <w:szCs w:val="24"/>
        </w:rPr>
        <w:t>based on the forfeiture of</w:t>
      </w:r>
      <w:r w:rsidR="00BE7B81" w:rsidRPr="00E40443">
        <w:rPr>
          <w:rFonts w:cs="Arial"/>
          <w:szCs w:val="24"/>
        </w:rPr>
        <w:t xml:space="preserve"> her </w:t>
      </w:r>
      <w:r w:rsidR="00967701" w:rsidRPr="00E40443">
        <w:rPr>
          <w:rFonts w:cs="Arial"/>
          <w:szCs w:val="24"/>
        </w:rPr>
        <w:t xml:space="preserve">half share in the communal estate, it is not unreasonable to assume </w:t>
      </w:r>
      <w:r w:rsidR="00BE7B81" w:rsidRPr="00E40443">
        <w:rPr>
          <w:rFonts w:cs="Arial"/>
          <w:szCs w:val="24"/>
        </w:rPr>
        <w:t xml:space="preserve">that the </w:t>
      </w:r>
      <w:r w:rsidR="00967701" w:rsidRPr="00E40443">
        <w:rPr>
          <w:rFonts w:cs="Arial"/>
          <w:szCs w:val="24"/>
        </w:rPr>
        <w:t>insurance policies held with Exclusive Life and Sanlam</w:t>
      </w:r>
      <w:r w:rsidR="00BE7B81" w:rsidRPr="00E40443">
        <w:rPr>
          <w:rFonts w:cs="Arial"/>
          <w:szCs w:val="24"/>
        </w:rPr>
        <w:t xml:space="preserve"> qualif</w:t>
      </w:r>
      <w:r w:rsidR="000044E4">
        <w:rPr>
          <w:rFonts w:cs="Arial"/>
          <w:szCs w:val="24"/>
        </w:rPr>
        <w:t>y</w:t>
      </w:r>
      <w:r w:rsidR="00BE7B81" w:rsidRPr="00E40443">
        <w:rPr>
          <w:rFonts w:cs="Arial"/>
          <w:szCs w:val="24"/>
        </w:rPr>
        <w:t xml:space="preserve"> as “any benefit” Mrs Leeb was precluded from taking</w:t>
      </w:r>
      <w:r w:rsidR="00967701" w:rsidRPr="00E40443">
        <w:rPr>
          <w:rFonts w:cs="Arial"/>
          <w:szCs w:val="24"/>
        </w:rPr>
        <w:t>;</w:t>
      </w:r>
      <w:r w:rsidR="00967701" w:rsidRPr="00E40443">
        <w:rPr>
          <w:rStyle w:val="FootnoteReference"/>
          <w:rFonts w:cs="Arial"/>
          <w:szCs w:val="24"/>
        </w:rPr>
        <w:footnoteReference w:id="301"/>
      </w:r>
      <w:r w:rsidR="00BE7B81" w:rsidRPr="00E40443">
        <w:rPr>
          <w:rFonts w:cs="Arial"/>
          <w:szCs w:val="24"/>
        </w:rPr>
        <w:t xml:space="preserve"> </w:t>
      </w:r>
      <w:r w:rsidR="00605E1B" w:rsidRPr="00E40443">
        <w:rPr>
          <w:rFonts w:cs="Arial"/>
          <w:szCs w:val="24"/>
        </w:rPr>
        <w:t>Mrs De Wet forfeited her claim against Old Mutual</w:t>
      </w:r>
      <w:r w:rsidR="00BE7B81" w:rsidRPr="00E40443">
        <w:rPr>
          <w:rFonts w:cs="Arial"/>
          <w:szCs w:val="24"/>
        </w:rPr>
        <w:t>;</w:t>
      </w:r>
      <w:r w:rsidR="00605E1B" w:rsidRPr="00E40443">
        <w:rPr>
          <w:rStyle w:val="FootnoteReference"/>
          <w:rFonts w:cs="Arial"/>
          <w:szCs w:val="24"/>
        </w:rPr>
        <w:footnoteReference w:id="302"/>
      </w:r>
      <w:r w:rsidR="00770658" w:rsidRPr="00E40443">
        <w:rPr>
          <w:rFonts w:cs="Arial"/>
          <w:szCs w:val="24"/>
        </w:rPr>
        <w:t xml:space="preserve"> </w:t>
      </w:r>
      <w:r w:rsidR="00542983" w:rsidRPr="00E40443">
        <w:rPr>
          <w:rFonts w:cs="Arial"/>
          <w:szCs w:val="24"/>
        </w:rPr>
        <w:t xml:space="preserve">and </w:t>
      </w:r>
      <w:r w:rsidR="00770658" w:rsidRPr="00E40443">
        <w:rPr>
          <w:rFonts w:cs="Arial"/>
          <w:szCs w:val="24"/>
        </w:rPr>
        <w:t xml:space="preserve">Mrs Smit </w:t>
      </w:r>
      <w:r w:rsidR="00BE7B81" w:rsidRPr="00E40443">
        <w:rPr>
          <w:rFonts w:cs="Arial"/>
          <w:szCs w:val="24"/>
        </w:rPr>
        <w:t xml:space="preserve">forfeited her claim against </w:t>
      </w:r>
      <w:r w:rsidR="00770658" w:rsidRPr="00E40443">
        <w:rPr>
          <w:rFonts w:cs="Arial"/>
          <w:szCs w:val="24"/>
        </w:rPr>
        <w:t>Discovery Life</w:t>
      </w:r>
      <w:r w:rsidR="00542983" w:rsidRPr="00E40443">
        <w:rPr>
          <w:rFonts w:cs="Arial"/>
          <w:szCs w:val="24"/>
        </w:rPr>
        <w:t>.</w:t>
      </w:r>
      <w:r w:rsidR="00770658" w:rsidRPr="00E40443">
        <w:rPr>
          <w:rStyle w:val="FootnoteReference"/>
          <w:rFonts w:cs="Arial"/>
          <w:szCs w:val="24"/>
        </w:rPr>
        <w:footnoteReference w:id="303"/>
      </w:r>
    </w:p>
    <w:p w14:paraId="182F8CB6" w14:textId="77777777" w:rsidR="00F0440A" w:rsidRPr="00E40443" w:rsidRDefault="00F0440A" w:rsidP="00C5627E">
      <w:pPr>
        <w:rPr>
          <w:rFonts w:cs="Arial"/>
          <w:szCs w:val="24"/>
        </w:rPr>
      </w:pPr>
    </w:p>
    <w:p w14:paraId="4397D79E" w14:textId="4F95EA23" w:rsidR="002977D8" w:rsidRPr="00E40443" w:rsidRDefault="002977D8" w:rsidP="00C5627E">
      <w:pPr>
        <w:pStyle w:val="Heading3"/>
        <w:numPr>
          <w:ilvl w:val="2"/>
          <w:numId w:val="20"/>
        </w:numPr>
        <w:ind w:left="851" w:hanging="851"/>
        <w:rPr>
          <w:rFonts w:cs="Arial"/>
          <w:b/>
          <w:bCs/>
        </w:rPr>
      </w:pPr>
      <w:bookmarkStart w:id="41" w:name="_Toc191216287"/>
      <w:r w:rsidRPr="00E40443">
        <w:rPr>
          <w:rFonts w:cs="Arial"/>
          <w:b/>
          <w:bCs/>
        </w:rPr>
        <w:t>Legal costs</w:t>
      </w:r>
      <w:bookmarkEnd w:id="41"/>
    </w:p>
    <w:p w14:paraId="6050A179" w14:textId="4A5E13D8" w:rsidR="004C6AAD" w:rsidRPr="00E40443" w:rsidRDefault="004C6AAD" w:rsidP="00C5627E">
      <w:pPr>
        <w:rPr>
          <w:rFonts w:cs="Arial"/>
          <w:szCs w:val="24"/>
        </w:rPr>
      </w:pPr>
      <w:r w:rsidRPr="00E40443">
        <w:rPr>
          <w:rFonts w:cs="Arial"/>
          <w:szCs w:val="24"/>
        </w:rPr>
        <w:t>Pertaining to a claim for funding of a defence team, Schoeman-Malan</w:t>
      </w:r>
      <w:r w:rsidR="00EA5209" w:rsidRPr="00E40443">
        <w:rPr>
          <w:rStyle w:val="FootnoteReference"/>
          <w:rFonts w:cs="Arial"/>
          <w:szCs w:val="24"/>
        </w:rPr>
        <w:footnoteReference w:id="304"/>
      </w:r>
      <w:r w:rsidRPr="00E40443">
        <w:rPr>
          <w:rFonts w:cs="Arial"/>
          <w:szCs w:val="24"/>
        </w:rPr>
        <w:t xml:space="preserve"> viewed it as unthinkable that an executor could be expected to provisionally avail funds to the suspected murderer before there has been a determination regarding the accountability of the wrongdoer. </w:t>
      </w:r>
    </w:p>
    <w:p w14:paraId="6D1DC697" w14:textId="606C7981" w:rsidR="004C6AAD" w:rsidRPr="00E40443" w:rsidRDefault="004C6AAD" w:rsidP="00C5627E">
      <w:pPr>
        <w:rPr>
          <w:rFonts w:cs="Arial"/>
          <w:szCs w:val="24"/>
        </w:rPr>
      </w:pPr>
      <w:r w:rsidRPr="00E40443">
        <w:rPr>
          <w:rFonts w:cs="Arial"/>
          <w:szCs w:val="24"/>
        </w:rPr>
        <w:t xml:space="preserve">It nevertheless </w:t>
      </w:r>
      <w:r w:rsidR="00BE7B81" w:rsidRPr="00E40443">
        <w:rPr>
          <w:rFonts w:cs="Arial"/>
          <w:szCs w:val="24"/>
        </w:rPr>
        <w:t xml:space="preserve">appears that costs </w:t>
      </w:r>
      <w:r w:rsidRPr="00E40443">
        <w:rPr>
          <w:rFonts w:cs="Arial"/>
          <w:szCs w:val="24"/>
        </w:rPr>
        <w:t xml:space="preserve">are generally </w:t>
      </w:r>
      <w:r w:rsidR="00BE7B81" w:rsidRPr="00E40443">
        <w:rPr>
          <w:rFonts w:cs="Arial"/>
          <w:szCs w:val="24"/>
        </w:rPr>
        <w:t>paid from the estate of the deceased</w:t>
      </w:r>
      <w:r w:rsidR="00BA5CDC" w:rsidRPr="00E40443">
        <w:rPr>
          <w:rFonts w:cs="Arial"/>
          <w:szCs w:val="24"/>
        </w:rPr>
        <w:t>,</w:t>
      </w:r>
      <w:r w:rsidR="00BE7B81" w:rsidRPr="00E40443">
        <w:rPr>
          <w:rStyle w:val="FootnoteReference"/>
          <w:rFonts w:cs="Arial"/>
          <w:szCs w:val="24"/>
        </w:rPr>
        <w:footnoteReference w:id="305"/>
      </w:r>
      <w:r w:rsidR="00BA5CDC" w:rsidRPr="00E40443">
        <w:rPr>
          <w:rFonts w:cs="Arial"/>
          <w:szCs w:val="24"/>
        </w:rPr>
        <w:t xml:space="preserve"> unless the Court is convinced that </w:t>
      </w:r>
      <w:r w:rsidRPr="00E40443">
        <w:rPr>
          <w:rFonts w:cs="Arial"/>
          <w:szCs w:val="24"/>
        </w:rPr>
        <w:t xml:space="preserve">such an </w:t>
      </w:r>
      <w:r w:rsidR="00BA5CDC" w:rsidRPr="00E40443">
        <w:rPr>
          <w:rFonts w:cs="Arial"/>
          <w:szCs w:val="24"/>
        </w:rPr>
        <w:t xml:space="preserve">award </w:t>
      </w:r>
      <w:r w:rsidRPr="00E40443">
        <w:rPr>
          <w:rFonts w:cs="Arial"/>
          <w:szCs w:val="24"/>
        </w:rPr>
        <w:t xml:space="preserve">constitutes a </w:t>
      </w:r>
      <w:r w:rsidR="00BA5CDC" w:rsidRPr="00E40443">
        <w:rPr>
          <w:rFonts w:cs="Arial"/>
          <w:szCs w:val="24"/>
        </w:rPr>
        <w:t xml:space="preserve">benefit </w:t>
      </w:r>
      <w:r w:rsidRPr="00E40443">
        <w:rPr>
          <w:rFonts w:cs="Arial"/>
          <w:szCs w:val="24"/>
        </w:rPr>
        <w:t xml:space="preserve">the wrongdoer is not </w:t>
      </w:r>
      <w:r w:rsidR="00A5784A" w:rsidRPr="00E40443">
        <w:rPr>
          <w:rFonts w:cs="Arial"/>
          <w:szCs w:val="24"/>
        </w:rPr>
        <w:t>entitled</w:t>
      </w:r>
      <w:r w:rsidRPr="00E40443">
        <w:rPr>
          <w:rFonts w:cs="Arial"/>
          <w:szCs w:val="24"/>
        </w:rPr>
        <w:t xml:space="preserve"> to</w:t>
      </w:r>
      <w:r w:rsidR="00A5784A" w:rsidRPr="00E40443">
        <w:rPr>
          <w:rFonts w:cs="Arial"/>
          <w:szCs w:val="24"/>
        </w:rPr>
        <w:t>. This was especially true in instances where the Court deemed state representation to be sufficient.</w:t>
      </w:r>
      <w:r w:rsidR="00BA5CDC" w:rsidRPr="00E40443">
        <w:rPr>
          <w:rStyle w:val="FootnoteReference"/>
          <w:rFonts w:cs="Arial"/>
          <w:szCs w:val="24"/>
        </w:rPr>
        <w:footnoteReference w:id="306"/>
      </w:r>
      <w:r w:rsidR="00BA5CDC" w:rsidRPr="00E40443">
        <w:rPr>
          <w:rFonts w:cs="Arial"/>
          <w:szCs w:val="24"/>
        </w:rPr>
        <w:t xml:space="preserve"> </w:t>
      </w:r>
    </w:p>
    <w:p w14:paraId="4EC09D77" w14:textId="77777777" w:rsidR="002977D8" w:rsidRPr="00E40443" w:rsidRDefault="002977D8" w:rsidP="00C5627E">
      <w:pPr>
        <w:pStyle w:val="Heading3"/>
        <w:numPr>
          <w:ilvl w:val="2"/>
          <w:numId w:val="20"/>
        </w:numPr>
        <w:ind w:left="851" w:hanging="851"/>
        <w:rPr>
          <w:rFonts w:cs="Arial"/>
          <w:b/>
          <w:bCs/>
        </w:rPr>
      </w:pPr>
      <w:bookmarkStart w:id="42" w:name="_Toc191216288"/>
      <w:r w:rsidRPr="00E40443">
        <w:rPr>
          <w:rFonts w:cs="Arial"/>
          <w:b/>
          <w:bCs/>
        </w:rPr>
        <w:lastRenderedPageBreak/>
        <w:t>Maintenance</w:t>
      </w:r>
      <w:bookmarkEnd w:id="42"/>
    </w:p>
    <w:p w14:paraId="1EAB4710" w14:textId="065D8CD2" w:rsidR="00E15921" w:rsidRPr="00E40443" w:rsidRDefault="00427A94" w:rsidP="00C5627E">
      <w:pPr>
        <w:rPr>
          <w:rFonts w:cs="Arial"/>
          <w:szCs w:val="24"/>
        </w:rPr>
      </w:pPr>
      <w:r w:rsidRPr="00E40443">
        <w:rPr>
          <w:rFonts w:cs="Arial"/>
          <w:szCs w:val="24"/>
        </w:rPr>
        <w:t>It is trite that dependants may institute a claim for loss of support upon the death of the breadwinner.</w:t>
      </w:r>
      <w:r w:rsidRPr="00E40443">
        <w:rPr>
          <w:rStyle w:val="FootnoteReference"/>
          <w:rFonts w:cs="Arial"/>
          <w:szCs w:val="24"/>
        </w:rPr>
        <w:footnoteReference w:id="307"/>
      </w:r>
      <w:r w:rsidRPr="00E40443">
        <w:rPr>
          <w:rFonts w:cs="Arial"/>
          <w:szCs w:val="24"/>
        </w:rPr>
        <w:t xml:space="preserve"> </w:t>
      </w:r>
      <w:r w:rsidR="00E15921" w:rsidRPr="00E40443">
        <w:rPr>
          <w:rFonts w:cs="Arial"/>
          <w:szCs w:val="24"/>
        </w:rPr>
        <w:t>Under normal circumstances,</w:t>
      </w:r>
      <w:r w:rsidR="000C2346">
        <w:rPr>
          <w:rFonts w:cs="Arial"/>
          <w:szCs w:val="24"/>
        </w:rPr>
        <w:t xml:space="preserve"> legislation</w:t>
      </w:r>
      <w:r w:rsidR="00E15921" w:rsidRPr="00E40443">
        <w:rPr>
          <w:rFonts w:cs="Arial"/>
          <w:szCs w:val="24"/>
        </w:rPr>
        <w:t xml:space="preserve"> enables the executor to avail funds for the interim maintenance of dependants, subject to the Master’s consent. However, where the [suspected] murderer is a close relative of the deceased, the executor has to demonstrate extensive caution prior to availing funds, as the state becomes liable when an executor negligently fails to honour valid claims. It is further recommended that submission of the final </w:t>
      </w:r>
      <w:r w:rsidR="000C2346">
        <w:rPr>
          <w:rFonts w:cs="Arial"/>
          <w:szCs w:val="24"/>
        </w:rPr>
        <w:t>L</w:t>
      </w:r>
      <w:r w:rsidR="00E15921" w:rsidRPr="00E40443">
        <w:rPr>
          <w:rFonts w:cs="Arial"/>
          <w:szCs w:val="24"/>
        </w:rPr>
        <w:t xml:space="preserve">iquidation and </w:t>
      </w:r>
      <w:r w:rsidR="000C2346">
        <w:rPr>
          <w:rFonts w:cs="Arial"/>
          <w:szCs w:val="24"/>
        </w:rPr>
        <w:t>D</w:t>
      </w:r>
      <w:r w:rsidR="00E15921" w:rsidRPr="00E40443">
        <w:rPr>
          <w:rFonts w:cs="Arial"/>
          <w:szCs w:val="24"/>
        </w:rPr>
        <w:t xml:space="preserve">istribution </w:t>
      </w:r>
      <w:r w:rsidR="000C2346">
        <w:rPr>
          <w:rFonts w:cs="Arial"/>
          <w:szCs w:val="24"/>
        </w:rPr>
        <w:t>A</w:t>
      </w:r>
      <w:r w:rsidR="00E15921" w:rsidRPr="00E40443">
        <w:rPr>
          <w:rFonts w:cs="Arial"/>
          <w:szCs w:val="24"/>
        </w:rPr>
        <w:t>ccount be postponed until judgement is obtained regarding unworthiness to inherit.</w:t>
      </w:r>
      <w:r w:rsidR="00E15921" w:rsidRPr="00E40443">
        <w:rPr>
          <w:rStyle w:val="FootnoteReference"/>
          <w:rFonts w:cs="Arial"/>
          <w:szCs w:val="24"/>
        </w:rPr>
        <w:footnoteReference w:id="308"/>
      </w:r>
    </w:p>
    <w:p w14:paraId="10A535A5" w14:textId="46A154F3" w:rsidR="00861E54" w:rsidRPr="00E40443" w:rsidRDefault="002225A1" w:rsidP="00C5627E">
      <w:pPr>
        <w:rPr>
          <w:rFonts w:cs="Arial"/>
          <w:szCs w:val="24"/>
        </w:rPr>
      </w:pPr>
      <w:r w:rsidRPr="00E40443">
        <w:rPr>
          <w:rFonts w:cs="Arial"/>
          <w:szCs w:val="24"/>
        </w:rPr>
        <w:t>However, no pertinent authority</w:t>
      </w:r>
      <w:r w:rsidR="0065100D" w:rsidRPr="00E40443">
        <w:rPr>
          <w:rStyle w:val="FootnoteReference"/>
          <w:rFonts w:cs="Arial"/>
          <w:szCs w:val="24"/>
        </w:rPr>
        <w:footnoteReference w:id="309"/>
      </w:r>
      <w:r w:rsidRPr="00E40443">
        <w:rPr>
          <w:rFonts w:cs="Arial"/>
          <w:szCs w:val="24"/>
        </w:rPr>
        <w:t xml:space="preserve"> exists in our law pertaining </w:t>
      </w:r>
      <w:r w:rsidR="000C2346">
        <w:rPr>
          <w:rFonts w:cs="Arial"/>
          <w:szCs w:val="24"/>
        </w:rPr>
        <w:t xml:space="preserve">to </w:t>
      </w:r>
      <w:r w:rsidRPr="00E40443">
        <w:rPr>
          <w:rFonts w:cs="Arial"/>
          <w:szCs w:val="24"/>
        </w:rPr>
        <w:t>a</w:t>
      </w:r>
      <w:r w:rsidR="0073487D" w:rsidRPr="00E40443">
        <w:rPr>
          <w:rFonts w:cs="Arial"/>
          <w:szCs w:val="24"/>
        </w:rPr>
        <w:t xml:space="preserve"> claim for spousal </w:t>
      </w:r>
      <w:r w:rsidRPr="00E40443">
        <w:rPr>
          <w:rFonts w:cs="Arial"/>
          <w:szCs w:val="24"/>
        </w:rPr>
        <w:t>maintenance either in terms of common law, or in terms</w:t>
      </w:r>
      <w:r w:rsidR="000C2346">
        <w:rPr>
          <w:rFonts w:cs="Arial"/>
          <w:szCs w:val="24"/>
        </w:rPr>
        <w:t xml:space="preserve"> of</w:t>
      </w:r>
      <w:r w:rsidRPr="00E40443">
        <w:rPr>
          <w:rFonts w:cs="Arial"/>
          <w:szCs w:val="24"/>
        </w:rPr>
        <w:t xml:space="preserve"> the </w:t>
      </w:r>
      <w:r w:rsidRPr="00E40443">
        <w:rPr>
          <w:rFonts w:cs="Arial"/>
          <w:i/>
          <w:iCs/>
          <w:szCs w:val="24"/>
        </w:rPr>
        <w:t>Maintenance of Surviving Spouses Act</w:t>
      </w:r>
      <w:r w:rsidRPr="00E40443">
        <w:rPr>
          <w:rFonts w:cs="Arial"/>
          <w:szCs w:val="24"/>
        </w:rPr>
        <w:t>.</w:t>
      </w:r>
      <w:r w:rsidRPr="00E40443">
        <w:rPr>
          <w:rStyle w:val="FootnoteReference"/>
          <w:rFonts w:cs="Arial"/>
          <w:szCs w:val="24"/>
        </w:rPr>
        <w:footnoteReference w:id="310"/>
      </w:r>
      <w:r w:rsidRPr="00E40443">
        <w:rPr>
          <w:rFonts w:cs="Arial"/>
          <w:szCs w:val="24"/>
        </w:rPr>
        <w:t xml:space="preserve"> </w:t>
      </w:r>
      <w:r w:rsidR="001D0B73" w:rsidRPr="00E40443">
        <w:rPr>
          <w:rFonts w:cs="Arial"/>
          <w:szCs w:val="24"/>
        </w:rPr>
        <w:t xml:space="preserve">Steyn </w:t>
      </w:r>
      <w:r w:rsidR="0073487D" w:rsidRPr="00E40443">
        <w:rPr>
          <w:rFonts w:cs="Arial"/>
          <w:szCs w:val="24"/>
        </w:rPr>
        <w:t>holds that such claim should be considered in light of the need for maintenance, while not losing sight of the right, or not, to inherit.</w:t>
      </w:r>
      <w:r w:rsidR="0073487D" w:rsidRPr="00E40443">
        <w:rPr>
          <w:rStyle w:val="FootnoteReference"/>
          <w:rFonts w:cs="Arial"/>
          <w:szCs w:val="24"/>
        </w:rPr>
        <w:footnoteReference w:id="311"/>
      </w:r>
      <w:r w:rsidR="0073487D" w:rsidRPr="00E40443">
        <w:rPr>
          <w:rFonts w:cs="Arial"/>
          <w:szCs w:val="24"/>
        </w:rPr>
        <w:t xml:space="preserve"> </w:t>
      </w:r>
    </w:p>
    <w:p w14:paraId="078A023F" w14:textId="3AFF69EA" w:rsidR="009A7ECB" w:rsidRPr="00E40443" w:rsidRDefault="002225A1" w:rsidP="00C5627E">
      <w:pPr>
        <w:rPr>
          <w:rFonts w:cs="Arial"/>
          <w:szCs w:val="24"/>
        </w:rPr>
      </w:pPr>
      <w:r w:rsidRPr="00E40443">
        <w:rPr>
          <w:rFonts w:cs="Arial"/>
          <w:szCs w:val="24"/>
        </w:rPr>
        <w:t>It is held that each case is to be determined on the merits thereof</w:t>
      </w:r>
      <w:r w:rsidR="00B62F5D" w:rsidRPr="00E40443">
        <w:rPr>
          <w:rFonts w:cs="Arial"/>
          <w:szCs w:val="24"/>
        </w:rPr>
        <w:t>, by comparing the maintenance principles with the principles of unworthiness.</w:t>
      </w:r>
      <w:r w:rsidR="00B62F5D" w:rsidRPr="00E40443">
        <w:rPr>
          <w:rStyle w:val="FootnoteReference"/>
          <w:rFonts w:cs="Arial"/>
          <w:szCs w:val="24"/>
        </w:rPr>
        <w:footnoteReference w:id="312"/>
      </w:r>
      <w:r w:rsidR="00861E54" w:rsidRPr="00E40443">
        <w:rPr>
          <w:rFonts w:cs="Arial"/>
          <w:szCs w:val="24"/>
        </w:rPr>
        <w:t xml:space="preserve"> </w:t>
      </w:r>
      <w:r w:rsidR="009A7ECB" w:rsidRPr="00E40443">
        <w:rPr>
          <w:rFonts w:cs="Arial"/>
          <w:szCs w:val="24"/>
        </w:rPr>
        <w:t xml:space="preserve">Malherbe points out </w:t>
      </w:r>
      <w:r w:rsidR="00861E54" w:rsidRPr="00E40443">
        <w:rPr>
          <w:rFonts w:cs="Arial"/>
          <w:szCs w:val="24"/>
        </w:rPr>
        <w:t xml:space="preserve">a maintenance </w:t>
      </w:r>
      <w:r w:rsidR="009A7ECB" w:rsidRPr="00E40443">
        <w:rPr>
          <w:rFonts w:cs="Arial"/>
          <w:szCs w:val="24"/>
        </w:rPr>
        <w:t>claim</w:t>
      </w:r>
      <w:r w:rsidR="00861E54" w:rsidRPr="00E40443">
        <w:rPr>
          <w:rFonts w:cs="Arial"/>
          <w:szCs w:val="24"/>
        </w:rPr>
        <w:t xml:space="preserve"> against </w:t>
      </w:r>
      <w:r w:rsidR="009A7ECB" w:rsidRPr="00E40443">
        <w:rPr>
          <w:rFonts w:cs="Arial"/>
          <w:szCs w:val="24"/>
        </w:rPr>
        <w:t>the estate is dependent on the affordability thereof, and notes that such a claim must be considered on the bases of reasonableness, fairness and the interest of justice.</w:t>
      </w:r>
      <w:r w:rsidR="009A7ECB" w:rsidRPr="00E40443">
        <w:rPr>
          <w:rStyle w:val="FootnoteReference"/>
          <w:rFonts w:cs="Arial"/>
          <w:szCs w:val="24"/>
        </w:rPr>
        <w:footnoteReference w:id="313"/>
      </w:r>
      <w:r w:rsidR="00B62F5D" w:rsidRPr="00E40443">
        <w:rPr>
          <w:rFonts w:cs="Arial"/>
          <w:szCs w:val="24"/>
        </w:rPr>
        <w:t xml:space="preserve"> </w:t>
      </w:r>
    </w:p>
    <w:p w14:paraId="30812EA2" w14:textId="6BC6872C" w:rsidR="002977D8" w:rsidRPr="00E40443" w:rsidRDefault="0028352C" w:rsidP="00C5627E">
      <w:pPr>
        <w:rPr>
          <w:rFonts w:cs="Arial"/>
          <w:szCs w:val="24"/>
        </w:rPr>
      </w:pPr>
      <w:r w:rsidRPr="00E40443">
        <w:rPr>
          <w:rFonts w:cs="Arial"/>
          <w:szCs w:val="24"/>
        </w:rPr>
        <w:t>There seem</w:t>
      </w:r>
      <w:r w:rsidR="00BF0516">
        <w:rPr>
          <w:rFonts w:cs="Arial"/>
          <w:szCs w:val="24"/>
        </w:rPr>
        <w:t>s</w:t>
      </w:r>
      <w:r w:rsidRPr="00E40443">
        <w:rPr>
          <w:rFonts w:cs="Arial"/>
          <w:szCs w:val="24"/>
        </w:rPr>
        <w:t xml:space="preserve"> to be </w:t>
      </w:r>
      <w:r w:rsidR="002977D8" w:rsidRPr="00E40443">
        <w:rPr>
          <w:rFonts w:cs="Arial"/>
          <w:szCs w:val="24"/>
        </w:rPr>
        <w:t xml:space="preserve">contradicting approaches in this regard. On the one hand, it is clearly deplorable that a person should benefit from </w:t>
      </w:r>
      <w:r w:rsidR="00242C0C" w:rsidRPr="00E40443">
        <w:rPr>
          <w:rFonts w:cs="Arial"/>
          <w:szCs w:val="24"/>
        </w:rPr>
        <w:t xml:space="preserve">his </w:t>
      </w:r>
      <w:r w:rsidR="002977D8" w:rsidRPr="00E40443">
        <w:rPr>
          <w:rFonts w:cs="Arial"/>
          <w:szCs w:val="24"/>
        </w:rPr>
        <w:t>own wrongdoing</w:t>
      </w:r>
      <w:r w:rsidR="00120C33" w:rsidRPr="00E40443">
        <w:rPr>
          <w:rFonts w:cs="Arial"/>
          <w:szCs w:val="24"/>
        </w:rPr>
        <w:t>, and allowing such maintenance</w:t>
      </w:r>
      <w:r w:rsidRPr="00E40443">
        <w:rPr>
          <w:rFonts w:cs="Arial"/>
          <w:szCs w:val="24"/>
        </w:rPr>
        <w:t>, which was to be limited to necessities,</w:t>
      </w:r>
      <w:r w:rsidR="00120C33" w:rsidRPr="00E40443">
        <w:rPr>
          <w:rFonts w:cs="Arial"/>
          <w:szCs w:val="24"/>
        </w:rPr>
        <w:t xml:space="preserve"> would equate to benefit</w:t>
      </w:r>
      <w:r w:rsidR="00BF0516">
        <w:rPr>
          <w:rFonts w:cs="Arial"/>
          <w:szCs w:val="24"/>
        </w:rPr>
        <w:t>s</w:t>
      </w:r>
      <w:r w:rsidR="00120C33" w:rsidRPr="00E40443">
        <w:rPr>
          <w:rFonts w:cs="Arial"/>
          <w:szCs w:val="24"/>
        </w:rPr>
        <w:t xml:space="preserve"> received from the murder victim</w:t>
      </w:r>
      <w:r w:rsidRPr="00E40443">
        <w:rPr>
          <w:rFonts w:cs="Arial"/>
          <w:szCs w:val="24"/>
        </w:rPr>
        <w:t>.</w:t>
      </w:r>
      <w:r w:rsidR="00120C33" w:rsidRPr="00E40443">
        <w:rPr>
          <w:rStyle w:val="FootnoteReference"/>
          <w:rFonts w:cs="Arial"/>
          <w:szCs w:val="24"/>
        </w:rPr>
        <w:footnoteReference w:id="314"/>
      </w:r>
      <w:r w:rsidR="002977D8" w:rsidRPr="00E40443">
        <w:rPr>
          <w:rFonts w:cs="Arial"/>
          <w:szCs w:val="24"/>
        </w:rPr>
        <w:t xml:space="preserve"> On the other hand, public policy dictates that a person should receive maintenance if such maintenance is available, in order to not burden the State o</w:t>
      </w:r>
      <w:r w:rsidR="00701274" w:rsidRPr="00E40443">
        <w:rPr>
          <w:rFonts w:cs="Arial"/>
          <w:szCs w:val="24"/>
        </w:rPr>
        <w:t>r</w:t>
      </w:r>
      <w:r w:rsidR="002977D8" w:rsidRPr="00E40443">
        <w:rPr>
          <w:rFonts w:cs="Arial"/>
          <w:szCs w:val="24"/>
        </w:rPr>
        <w:t xml:space="preserve"> the community</w:t>
      </w:r>
      <w:r w:rsidR="00AB43F0" w:rsidRPr="00E40443">
        <w:rPr>
          <w:rFonts w:cs="Arial"/>
          <w:szCs w:val="24"/>
        </w:rPr>
        <w:t>,</w:t>
      </w:r>
      <w:r w:rsidR="002977D8" w:rsidRPr="00E40443">
        <w:rPr>
          <w:rStyle w:val="FootnoteReference"/>
          <w:rFonts w:cs="Arial"/>
          <w:szCs w:val="24"/>
        </w:rPr>
        <w:footnoteReference w:id="315"/>
      </w:r>
      <w:r w:rsidR="00701274" w:rsidRPr="00E40443">
        <w:rPr>
          <w:rFonts w:cs="Arial"/>
          <w:szCs w:val="24"/>
        </w:rPr>
        <w:t xml:space="preserve"> </w:t>
      </w:r>
      <w:r w:rsidR="00AB43F0" w:rsidRPr="00E40443">
        <w:rPr>
          <w:rFonts w:cs="Arial"/>
          <w:szCs w:val="24"/>
        </w:rPr>
        <w:t xml:space="preserve">which burden automatically arises when the </w:t>
      </w:r>
      <w:r w:rsidR="00701274" w:rsidRPr="00E40443">
        <w:rPr>
          <w:rFonts w:cs="Arial"/>
          <w:szCs w:val="24"/>
        </w:rPr>
        <w:t xml:space="preserve">convicted </w:t>
      </w:r>
      <w:r w:rsidR="00AB43F0" w:rsidRPr="00E40443">
        <w:rPr>
          <w:rFonts w:cs="Arial"/>
          <w:szCs w:val="24"/>
        </w:rPr>
        <w:t xml:space="preserve">murderer </w:t>
      </w:r>
      <w:r w:rsidR="00701274" w:rsidRPr="00E40443">
        <w:rPr>
          <w:rFonts w:cs="Arial"/>
          <w:szCs w:val="24"/>
        </w:rPr>
        <w:t>serves a jail sentence.</w:t>
      </w:r>
      <w:r w:rsidR="00701274" w:rsidRPr="00E40443">
        <w:rPr>
          <w:rStyle w:val="FootnoteReference"/>
          <w:rFonts w:cs="Arial"/>
          <w:szCs w:val="24"/>
        </w:rPr>
        <w:footnoteReference w:id="316"/>
      </w:r>
    </w:p>
    <w:p w14:paraId="3F1AC93E" w14:textId="2067791D" w:rsidR="002977D8" w:rsidRPr="00E40443" w:rsidRDefault="00CE0B84" w:rsidP="00C5627E">
      <w:pPr>
        <w:rPr>
          <w:rFonts w:cs="Arial"/>
          <w:szCs w:val="24"/>
        </w:rPr>
      </w:pPr>
      <w:r w:rsidRPr="00E40443">
        <w:rPr>
          <w:rFonts w:cs="Arial"/>
          <w:szCs w:val="24"/>
        </w:rPr>
        <w:lastRenderedPageBreak/>
        <w:t>Because maintenance qualifies as a benefit received by virtue of the unlawful death of the deceased, persons who are unworthy are not entitled there</w:t>
      </w:r>
      <w:r w:rsidR="000C2346">
        <w:rPr>
          <w:rFonts w:cs="Arial"/>
          <w:szCs w:val="24"/>
        </w:rPr>
        <w:t>to</w:t>
      </w:r>
      <w:r w:rsidRPr="00E40443">
        <w:rPr>
          <w:rFonts w:cs="Arial"/>
          <w:szCs w:val="24"/>
        </w:rPr>
        <w:t>. Accordingly, a</w:t>
      </w:r>
      <w:r w:rsidR="00B46643" w:rsidRPr="00E40443">
        <w:rPr>
          <w:rFonts w:cs="Arial"/>
          <w:szCs w:val="24"/>
        </w:rPr>
        <w:t>n award for maintenance was refused in the following instances: there could be no duty on the minor child of an admittedly destitute murder accused father to hand over her entire inheritance</w:t>
      </w:r>
      <w:r w:rsidR="00676AF2" w:rsidRPr="00E40443">
        <w:rPr>
          <w:rFonts w:cs="Arial"/>
          <w:szCs w:val="24"/>
        </w:rPr>
        <w:t xml:space="preserve"> in order to provide such father with luxuries;</w:t>
      </w:r>
      <w:r w:rsidR="00676AF2" w:rsidRPr="00E40443">
        <w:rPr>
          <w:rStyle w:val="FootnoteReference"/>
          <w:rFonts w:cs="Arial"/>
          <w:szCs w:val="24"/>
        </w:rPr>
        <w:footnoteReference w:id="317"/>
      </w:r>
      <w:r w:rsidR="00676AF2" w:rsidRPr="00E40443">
        <w:rPr>
          <w:rFonts w:cs="Arial"/>
          <w:szCs w:val="24"/>
        </w:rPr>
        <w:t xml:space="preserve"> </w:t>
      </w:r>
      <w:r w:rsidR="005A5F98" w:rsidRPr="00E40443">
        <w:rPr>
          <w:rFonts w:cs="Arial"/>
          <w:szCs w:val="24"/>
        </w:rPr>
        <w:t xml:space="preserve">and </w:t>
      </w:r>
      <w:r w:rsidR="004317E9" w:rsidRPr="00E40443">
        <w:rPr>
          <w:rFonts w:cs="Arial"/>
          <w:szCs w:val="24"/>
        </w:rPr>
        <w:t>Mrs Smit</w:t>
      </w:r>
      <w:r w:rsidR="001A11A7" w:rsidRPr="00E40443">
        <w:rPr>
          <w:rFonts w:cs="Arial"/>
          <w:szCs w:val="24"/>
        </w:rPr>
        <w:t xml:space="preserve">’s </w:t>
      </w:r>
      <w:r w:rsidRPr="00E40443">
        <w:rPr>
          <w:rFonts w:cs="Arial"/>
          <w:szCs w:val="24"/>
        </w:rPr>
        <w:t xml:space="preserve">unworthiness on the grounds of her </w:t>
      </w:r>
      <w:r w:rsidR="006D14A6" w:rsidRPr="00E40443">
        <w:rPr>
          <w:rFonts w:cs="Arial"/>
          <w:szCs w:val="24"/>
        </w:rPr>
        <w:t>“scandalous, dolorous and reprehensible actions”</w:t>
      </w:r>
      <w:r w:rsidR="004317E9" w:rsidRPr="00E40443">
        <w:rPr>
          <w:rFonts w:cs="Arial"/>
          <w:szCs w:val="24"/>
        </w:rPr>
        <w:t xml:space="preserve"> </w:t>
      </w:r>
      <w:r w:rsidRPr="00E40443">
        <w:rPr>
          <w:rFonts w:cs="Arial"/>
          <w:szCs w:val="24"/>
        </w:rPr>
        <w:t>prohibited her from receiving spousal maintenance</w:t>
      </w:r>
      <w:r w:rsidR="005A5F98" w:rsidRPr="00E40443">
        <w:rPr>
          <w:rFonts w:cs="Arial"/>
          <w:szCs w:val="24"/>
        </w:rPr>
        <w:t>.</w:t>
      </w:r>
      <w:r w:rsidR="002977D8" w:rsidRPr="00E40443">
        <w:rPr>
          <w:rStyle w:val="FootnoteReference"/>
          <w:rFonts w:cs="Arial"/>
          <w:szCs w:val="24"/>
        </w:rPr>
        <w:footnoteReference w:id="318"/>
      </w:r>
    </w:p>
    <w:p w14:paraId="01A72924" w14:textId="77777777" w:rsidR="002977D8" w:rsidRPr="00E40443" w:rsidRDefault="002977D8" w:rsidP="00C5627E">
      <w:pPr>
        <w:rPr>
          <w:rFonts w:cs="Arial"/>
          <w:szCs w:val="24"/>
        </w:rPr>
      </w:pPr>
    </w:p>
    <w:p w14:paraId="5C2BF2FF" w14:textId="77777777" w:rsidR="009E3B7F" w:rsidRPr="00E40443" w:rsidRDefault="009E3B7F" w:rsidP="00C5627E">
      <w:pPr>
        <w:pStyle w:val="Heading3"/>
        <w:numPr>
          <w:ilvl w:val="2"/>
          <w:numId w:val="20"/>
        </w:numPr>
        <w:ind w:left="851" w:hanging="851"/>
        <w:rPr>
          <w:rFonts w:cs="Arial"/>
          <w:b/>
          <w:bCs/>
        </w:rPr>
      </w:pPr>
      <w:bookmarkStart w:id="43" w:name="_Toc191216289"/>
      <w:r w:rsidRPr="00E40443">
        <w:rPr>
          <w:rFonts w:cs="Arial"/>
          <w:b/>
          <w:bCs/>
        </w:rPr>
        <w:t>Matrimonial property benefits</w:t>
      </w:r>
      <w:bookmarkEnd w:id="43"/>
    </w:p>
    <w:p w14:paraId="1D160318" w14:textId="2E6B097D" w:rsidR="009E3B7F" w:rsidRPr="00E40443" w:rsidRDefault="009E3B7F" w:rsidP="00C5627E">
      <w:pPr>
        <w:rPr>
          <w:rFonts w:cs="Arial"/>
          <w:szCs w:val="24"/>
        </w:rPr>
      </w:pPr>
      <w:r w:rsidRPr="00E40443">
        <w:rPr>
          <w:rFonts w:cs="Arial"/>
          <w:szCs w:val="24"/>
        </w:rPr>
        <w:t>The communal estate of persons married in community of property comprises of the merged property that the spouses brought into the marriage and is owned by both parties in equal, but undivided, share</w:t>
      </w:r>
      <w:r w:rsidR="000C2346">
        <w:rPr>
          <w:rFonts w:cs="Arial"/>
          <w:szCs w:val="24"/>
        </w:rPr>
        <w:t>s</w:t>
      </w:r>
      <w:r w:rsidRPr="00E40443">
        <w:rPr>
          <w:rFonts w:cs="Arial"/>
          <w:szCs w:val="24"/>
        </w:rPr>
        <w:t>.</w:t>
      </w:r>
      <w:r w:rsidRPr="00E40443">
        <w:rPr>
          <w:rStyle w:val="FootnoteReference"/>
          <w:rFonts w:cs="Arial"/>
          <w:szCs w:val="24"/>
        </w:rPr>
        <w:footnoteReference w:id="319"/>
      </w:r>
      <w:r w:rsidRPr="00E40443">
        <w:rPr>
          <w:rFonts w:cs="Arial"/>
          <w:szCs w:val="24"/>
        </w:rPr>
        <w:t xml:space="preserve"> Upon dissolution of the marriage by way of divorce, an order from a competent </w:t>
      </w:r>
      <w:r w:rsidR="00D81C26">
        <w:rPr>
          <w:rFonts w:cs="Arial"/>
          <w:szCs w:val="24"/>
        </w:rPr>
        <w:t>c</w:t>
      </w:r>
      <w:r w:rsidRPr="00E40443">
        <w:rPr>
          <w:rFonts w:cs="Arial"/>
          <w:szCs w:val="24"/>
        </w:rPr>
        <w:t>ourt, or death, the communal estate becomes divisible.</w:t>
      </w:r>
      <w:r w:rsidRPr="00E40443">
        <w:rPr>
          <w:rStyle w:val="FootnoteReference"/>
          <w:rFonts w:cs="Arial"/>
          <w:szCs w:val="24"/>
        </w:rPr>
        <w:footnoteReference w:id="320"/>
      </w:r>
      <w:r w:rsidRPr="00E40443">
        <w:rPr>
          <w:rFonts w:cs="Arial"/>
          <w:szCs w:val="24"/>
        </w:rPr>
        <w:t xml:space="preserve"> Upon death of a spouse, parties to a marriage in community of property, and parties married out of community of property, subject to the accrual system, acquire the right, upon dissolution of the communal estate, to receive one half of such estate.</w:t>
      </w:r>
      <w:r w:rsidRPr="00E40443">
        <w:rPr>
          <w:rStyle w:val="FootnoteReference"/>
          <w:rFonts w:cs="Arial"/>
          <w:szCs w:val="24"/>
        </w:rPr>
        <w:footnoteReference w:id="321"/>
      </w:r>
    </w:p>
    <w:p w14:paraId="70817D1E" w14:textId="77777777" w:rsidR="009E3B7F" w:rsidRPr="00E40443" w:rsidRDefault="009E3B7F" w:rsidP="00C5627E">
      <w:pPr>
        <w:rPr>
          <w:rFonts w:cs="Arial"/>
          <w:szCs w:val="24"/>
        </w:rPr>
      </w:pPr>
      <w:r w:rsidRPr="00E40443">
        <w:rPr>
          <w:rFonts w:cs="Arial"/>
          <w:szCs w:val="24"/>
        </w:rPr>
        <w:t>An order for forfeiture of benefits acquired by virtue of a marriage in community of property is to prevent, or at least limit, the prejudice resulting from the conduct of a (wrongdoer) spouse if such order were not granted.</w:t>
      </w:r>
      <w:r w:rsidRPr="00E40443">
        <w:rPr>
          <w:rStyle w:val="FootnoteReference"/>
          <w:rFonts w:cs="Arial"/>
          <w:szCs w:val="24"/>
        </w:rPr>
        <w:footnoteReference w:id="322"/>
      </w:r>
      <w:r w:rsidRPr="00E40443">
        <w:rPr>
          <w:rFonts w:cs="Arial"/>
          <w:szCs w:val="24"/>
        </w:rPr>
        <w:t xml:space="preserve"> Under common law, a forfeiture order could be obtained upon divorce in accordance with the principle that nobody may benefit by their own wrongdoing and affected benefits derived from the marital regime, as well as benefits to be derived by virtue of the marital regime.</w:t>
      </w:r>
      <w:r w:rsidRPr="00E40443">
        <w:rPr>
          <w:rStyle w:val="FootnoteReference"/>
          <w:rFonts w:cs="Arial"/>
          <w:szCs w:val="24"/>
        </w:rPr>
        <w:footnoteReference w:id="323"/>
      </w:r>
      <w:r w:rsidRPr="00E40443">
        <w:rPr>
          <w:rFonts w:cs="Arial"/>
          <w:szCs w:val="24"/>
        </w:rPr>
        <w:t xml:space="preserve"> This principle was codified in the </w:t>
      </w:r>
      <w:r w:rsidRPr="00E40443">
        <w:rPr>
          <w:rFonts w:cs="Arial"/>
          <w:i/>
          <w:iCs/>
          <w:szCs w:val="24"/>
        </w:rPr>
        <w:t>Divorce Act</w:t>
      </w:r>
      <w:r w:rsidRPr="00E40443">
        <w:rPr>
          <w:rStyle w:val="FootnoteReference"/>
          <w:rFonts w:cs="Arial"/>
          <w:i/>
          <w:iCs/>
          <w:szCs w:val="24"/>
        </w:rPr>
        <w:footnoteReference w:id="324"/>
      </w:r>
      <w:r w:rsidRPr="00E40443">
        <w:rPr>
          <w:rFonts w:cs="Arial"/>
          <w:szCs w:val="24"/>
        </w:rPr>
        <w:t xml:space="preserve"> for marriages in community of property, and the </w:t>
      </w:r>
      <w:r w:rsidRPr="00E40443">
        <w:rPr>
          <w:rFonts w:cs="Arial"/>
          <w:i/>
          <w:iCs/>
          <w:szCs w:val="24"/>
        </w:rPr>
        <w:t>Matrimonial Property Act</w:t>
      </w:r>
      <w:r w:rsidRPr="00E40443">
        <w:rPr>
          <w:rFonts w:cs="Arial"/>
          <w:szCs w:val="24"/>
        </w:rPr>
        <w:t>,</w:t>
      </w:r>
      <w:r w:rsidRPr="00E40443">
        <w:rPr>
          <w:rStyle w:val="FootnoteReference"/>
          <w:rFonts w:cs="Arial"/>
          <w:szCs w:val="24"/>
        </w:rPr>
        <w:footnoteReference w:id="325"/>
      </w:r>
      <w:r w:rsidRPr="00E40443">
        <w:rPr>
          <w:rFonts w:cs="Arial"/>
          <w:szCs w:val="24"/>
        </w:rPr>
        <w:t xml:space="preserve"> for marriages out of community of property, to which the accrual system applies.</w:t>
      </w:r>
    </w:p>
    <w:p w14:paraId="32A9DA17" w14:textId="3C5F17F9" w:rsidR="009E3B7F" w:rsidRPr="00E40443" w:rsidRDefault="009E3B7F" w:rsidP="00C5627E">
      <w:pPr>
        <w:rPr>
          <w:rFonts w:cs="Arial"/>
          <w:szCs w:val="24"/>
        </w:rPr>
      </w:pPr>
      <w:r w:rsidRPr="00E40443">
        <w:rPr>
          <w:rFonts w:cs="Arial"/>
          <w:szCs w:val="24"/>
        </w:rPr>
        <w:lastRenderedPageBreak/>
        <w:t>The above remedy is, however, subject to a marriage existing when such division originates. Logic thus dictates that no marriage can “exist” where such marriage has been dissolved through the death of the first-dying spouse</w:t>
      </w:r>
      <w:r w:rsidRPr="00E40443">
        <w:rPr>
          <w:rStyle w:val="FootnoteReference"/>
          <w:rFonts w:cs="Arial"/>
          <w:szCs w:val="24"/>
        </w:rPr>
        <w:footnoteReference w:id="326"/>
      </w:r>
      <w:r w:rsidRPr="00E40443">
        <w:rPr>
          <w:rFonts w:cs="Arial"/>
          <w:szCs w:val="24"/>
        </w:rPr>
        <w:t xml:space="preserve"> – an application for forfeiture by the murderer spouse was thus unfounded by virtue of the dissolution of the marriage by death.</w:t>
      </w:r>
      <w:r w:rsidRPr="00E40443">
        <w:rPr>
          <w:rStyle w:val="FootnoteReference"/>
          <w:rFonts w:cs="Arial"/>
          <w:szCs w:val="24"/>
        </w:rPr>
        <w:footnoteReference w:id="327"/>
      </w:r>
      <w:r w:rsidRPr="00E40443">
        <w:rPr>
          <w:rFonts w:cs="Arial"/>
          <w:szCs w:val="24"/>
        </w:rPr>
        <w:t xml:space="preserve"> </w:t>
      </w:r>
    </w:p>
    <w:p w14:paraId="3920774D" w14:textId="1E2DD2B5" w:rsidR="009E3B7F" w:rsidRPr="00E40443" w:rsidRDefault="009E3B7F" w:rsidP="00C5627E">
      <w:pPr>
        <w:rPr>
          <w:rFonts w:cs="Arial"/>
          <w:szCs w:val="24"/>
        </w:rPr>
      </w:pPr>
      <w:r w:rsidRPr="00E40443">
        <w:rPr>
          <w:rFonts w:cs="Arial"/>
          <w:szCs w:val="24"/>
        </w:rPr>
        <w:t>Courts have been reluctant to grant such orders as the surviving spouse, under the generally accepted rule that such surviving spouse is entitled to fifty per</w:t>
      </w:r>
      <w:r w:rsidR="000C2346">
        <w:rPr>
          <w:rFonts w:cs="Arial"/>
          <w:szCs w:val="24"/>
        </w:rPr>
        <w:t xml:space="preserve"> </w:t>
      </w:r>
      <w:r w:rsidRPr="00E40443">
        <w:rPr>
          <w:rFonts w:cs="Arial"/>
          <w:szCs w:val="24"/>
        </w:rPr>
        <w:t>cent</w:t>
      </w:r>
      <w:r w:rsidR="000C2346">
        <w:rPr>
          <w:rFonts w:cs="Arial"/>
          <w:szCs w:val="24"/>
        </w:rPr>
        <w:t xml:space="preserve"> </w:t>
      </w:r>
      <w:r w:rsidRPr="00E40443">
        <w:rPr>
          <w:rFonts w:cs="Arial"/>
          <w:szCs w:val="24"/>
        </w:rPr>
        <w:t>of the communal estate resulting from such marriage.</w:t>
      </w:r>
      <w:r w:rsidRPr="00E40443">
        <w:rPr>
          <w:rStyle w:val="FootnoteReference"/>
          <w:rFonts w:cs="Arial"/>
          <w:szCs w:val="24"/>
        </w:rPr>
        <w:footnoteReference w:id="328"/>
      </w:r>
      <w:r w:rsidRPr="00E40443">
        <w:rPr>
          <w:rFonts w:cs="Arial"/>
          <w:szCs w:val="24"/>
        </w:rPr>
        <w:t xml:space="preserve"> The reluctance was founded on, amongst others, not being convinced that there was just cause for such deprivation;</w:t>
      </w:r>
      <w:r w:rsidRPr="00E40443">
        <w:rPr>
          <w:rStyle w:val="FootnoteReference"/>
          <w:rFonts w:cs="Arial"/>
          <w:szCs w:val="24"/>
        </w:rPr>
        <w:footnoteReference w:id="329"/>
      </w:r>
      <w:r w:rsidRPr="00E40443">
        <w:rPr>
          <w:rFonts w:cs="Arial"/>
          <w:szCs w:val="24"/>
        </w:rPr>
        <w:t xml:space="preserve"> the absence of financial benefit, whether by virtue of the law of succession or by virtue of the marriage in community of property;</w:t>
      </w:r>
      <w:r w:rsidRPr="00E40443">
        <w:rPr>
          <w:rStyle w:val="FootnoteReference"/>
          <w:rFonts w:cs="Arial"/>
          <w:szCs w:val="24"/>
        </w:rPr>
        <w:footnoteReference w:id="330"/>
      </w:r>
      <w:r w:rsidRPr="00E40443">
        <w:rPr>
          <w:rFonts w:cs="Arial"/>
          <w:szCs w:val="24"/>
        </w:rPr>
        <w:t xml:space="preserve"> the absence of a causal connection between the murder and the </w:t>
      </w:r>
      <w:r w:rsidR="006F6621">
        <w:rPr>
          <w:rFonts w:cs="Arial"/>
          <w:szCs w:val="24"/>
        </w:rPr>
        <w:t xml:space="preserve">benefit </w:t>
      </w:r>
      <w:r w:rsidRPr="00E40443">
        <w:rPr>
          <w:rFonts w:cs="Arial"/>
          <w:szCs w:val="24"/>
        </w:rPr>
        <w:t>accruing by virtue of the marriage in community of property;</w:t>
      </w:r>
      <w:r w:rsidRPr="00E40443">
        <w:rPr>
          <w:rStyle w:val="FootnoteReference"/>
          <w:rFonts w:cs="Arial"/>
          <w:szCs w:val="24"/>
        </w:rPr>
        <w:footnoteReference w:id="331"/>
      </w:r>
      <w:r w:rsidRPr="00E40443">
        <w:rPr>
          <w:rFonts w:cs="Arial"/>
          <w:szCs w:val="24"/>
        </w:rPr>
        <w:t xml:space="preserve"> and negligent killing not warranting such deprivation.</w:t>
      </w:r>
      <w:r w:rsidRPr="00E40443">
        <w:rPr>
          <w:rStyle w:val="FootnoteReference"/>
          <w:rFonts w:cs="Arial"/>
          <w:szCs w:val="24"/>
        </w:rPr>
        <w:footnoteReference w:id="332"/>
      </w:r>
      <w:r w:rsidRPr="00E40443">
        <w:rPr>
          <w:rFonts w:cs="Arial"/>
          <w:szCs w:val="24"/>
        </w:rPr>
        <w:t xml:space="preserve"> </w:t>
      </w:r>
      <w:r w:rsidR="00E9536E" w:rsidRPr="00E40443">
        <w:rPr>
          <w:rFonts w:cs="Arial"/>
          <w:szCs w:val="24"/>
        </w:rPr>
        <w:t>The general</w:t>
      </w:r>
      <w:r w:rsidR="00CC0AE0" w:rsidRPr="00E40443">
        <w:rPr>
          <w:rFonts w:cs="Arial"/>
          <w:szCs w:val="24"/>
        </w:rPr>
        <w:t xml:space="preserve"> opinion </w:t>
      </w:r>
      <w:r w:rsidR="00E9536E" w:rsidRPr="00E40443">
        <w:rPr>
          <w:rFonts w:cs="Arial"/>
          <w:szCs w:val="24"/>
        </w:rPr>
        <w:t xml:space="preserve">thus appears to be </w:t>
      </w:r>
      <w:r w:rsidR="00CC0AE0" w:rsidRPr="00E40443">
        <w:rPr>
          <w:rFonts w:cs="Arial"/>
          <w:szCs w:val="24"/>
        </w:rPr>
        <w:t>that the surviving [murderer] spouse merely receives what is already theirs in terms of the marital property regime.</w:t>
      </w:r>
      <w:r w:rsidR="00CC0AE0" w:rsidRPr="00E40443">
        <w:rPr>
          <w:rStyle w:val="FootnoteReference"/>
          <w:rFonts w:cs="Arial"/>
          <w:szCs w:val="24"/>
        </w:rPr>
        <w:footnoteReference w:id="333"/>
      </w:r>
      <w:r w:rsidR="004E66C5" w:rsidRPr="00E40443">
        <w:rPr>
          <w:rFonts w:cs="Arial"/>
          <w:szCs w:val="24"/>
        </w:rPr>
        <w:t xml:space="preserve"> Finally, a </w:t>
      </w:r>
      <w:r w:rsidRPr="00E40443">
        <w:rPr>
          <w:rFonts w:cs="Arial"/>
          <w:szCs w:val="24"/>
        </w:rPr>
        <w:t xml:space="preserve">court of law was deemed to lack authority to grant an order </w:t>
      </w:r>
      <w:r w:rsidR="006F6621">
        <w:rPr>
          <w:rFonts w:cs="Arial"/>
          <w:szCs w:val="24"/>
        </w:rPr>
        <w:t xml:space="preserve">for </w:t>
      </w:r>
      <w:r w:rsidRPr="00E40443">
        <w:rPr>
          <w:rFonts w:cs="Arial"/>
          <w:szCs w:val="24"/>
        </w:rPr>
        <w:t>forfeiture upon death.</w:t>
      </w:r>
      <w:r w:rsidRPr="00E40443">
        <w:rPr>
          <w:rStyle w:val="FootnoteReference"/>
          <w:rFonts w:cs="Arial"/>
          <w:szCs w:val="24"/>
        </w:rPr>
        <w:footnoteReference w:id="334"/>
      </w:r>
    </w:p>
    <w:p w14:paraId="2D8DA1BC" w14:textId="53725DD4" w:rsidR="009E3B7F" w:rsidRPr="00E40443" w:rsidRDefault="009E3B7F" w:rsidP="00C5627E">
      <w:pPr>
        <w:rPr>
          <w:rFonts w:cs="Arial"/>
          <w:szCs w:val="24"/>
        </w:rPr>
      </w:pPr>
      <w:r w:rsidRPr="00E40443">
        <w:rPr>
          <w:rFonts w:cs="Arial"/>
          <w:szCs w:val="24"/>
        </w:rPr>
        <w:t>Hypothetically speaking, this could result in absurdity.</w:t>
      </w:r>
      <w:r w:rsidRPr="00E40443">
        <w:rPr>
          <w:rStyle w:val="FootnoteReference"/>
          <w:rFonts w:cs="Arial"/>
          <w:szCs w:val="24"/>
        </w:rPr>
        <w:footnoteReference w:id="335"/>
      </w:r>
      <w:r w:rsidRPr="00E40443">
        <w:rPr>
          <w:rFonts w:cs="Arial"/>
          <w:szCs w:val="24"/>
        </w:rPr>
        <w:t xml:space="preserve"> Nonetheless, Hofmeyr &amp; Paleker</w:t>
      </w:r>
      <w:r w:rsidRPr="00E40443">
        <w:rPr>
          <w:rStyle w:val="FootnoteReference"/>
          <w:rFonts w:cs="Arial"/>
          <w:szCs w:val="24"/>
        </w:rPr>
        <w:footnoteReference w:id="336"/>
      </w:r>
      <w:r w:rsidRPr="00E40443">
        <w:rPr>
          <w:rFonts w:cs="Arial"/>
          <w:szCs w:val="24"/>
        </w:rPr>
        <w:t xml:space="preserve"> seem to support the above view on the foundation that the </w:t>
      </w:r>
      <w:r w:rsidR="00E00663">
        <w:rPr>
          <w:rFonts w:cs="Arial"/>
          <w:szCs w:val="24"/>
        </w:rPr>
        <w:t xml:space="preserve">benefit </w:t>
      </w:r>
      <w:r w:rsidRPr="00E40443">
        <w:rPr>
          <w:rFonts w:cs="Arial"/>
          <w:szCs w:val="24"/>
        </w:rPr>
        <w:t>is not a result of the death, but rather of the marital regime between the parties.</w:t>
      </w:r>
    </w:p>
    <w:p w14:paraId="2D827E31" w14:textId="419B43BE" w:rsidR="009E3B7F" w:rsidRPr="00E40443" w:rsidRDefault="009E3B7F" w:rsidP="00C5627E">
      <w:pPr>
        <w:rPr>
          <w:rFonts w:cs="Arial"/>
          <w:szCs w:val="24"/>
        </w:rPr>
      </w:pPr>
      <w:r w:rsidRPr="00E40443">
        <w:rPr>
          <w:rFonts w:cs="Arial"/>
          <w:szCs w:val="24"/>
        </w:rPr>
        <w:t>In accordance with the above, Mr Vonzell retained the benefit he received as a result of his wife’s death, which very benefit she had attempted to withhold from him during her lifetime by obtaining a prohibitory interdict to such effect.</w:t>
      </w:r>
      <w:r w:rsidRPr="00E40443">
        <w:rPr>
          <w:rStyle w:val="FootnoteReference"/>
          <w:rFonts w:cs="Arial"/>
          <w:szCs w:val="24"/>
        </w:rPr>
        <w:footnoteReference w:id="337"/>
      </w:r>
      <w:r w:rsidRPr="00E40443">
        <w:rPr>
          <w:rFonts w:cs="Arial"/>
          <w:szCs w:val="24"/>
        </w:rPr>
        <w:t xml:space="preserve"> This precedent was followed in the case of </w:t>
      </w:r>
      <w:r w:rsidR="006F6621" w:rsidRPr="00E40443">
        <w:rPr>
          <w:rFonts w:cs="Arial"/>
          <w:i/>
          <w:iCs/>
          <w:szCs w:val="24"/>
        </w:rPr>
        <w:t xml:space="preserve">Nell v Nell </w:t>
      </w:r>
      <w:r w:rsidR="006F6621">
        <w:rPr>
          <w:rFonts w:cs="Arial"/>
          <w:i/>
          <w:iCs/>
          <w:szCs w:val="24"/>
        </w:rPr>
        <w:t>&amp;</w:t>
      </w:r>
      <w:r w:rsidR="006F6621" w:rsidRPr="00E40443">
        <w:rPr>
          <w:rFonts w:cs="Arial"/>
          <w:i/>
          <w:iCs/>
          <w:szCs w:val="24"/>
        </w:rPr>
        <w:t xml:space="preserve"> ‘n Ander</w:t>
      </w:r>
      <w:r w:rsidRPr="00E40443">
        <w:rPr>
          <w:rFonts w:cs="Arial"/>
          <w:szCs w:val="24"/>
        </w:rPr>
        <w:t>, where Human J stated that the benefit resulted from the marital regime of the parties, and did not amount to “additional benefits”.</w:t>
      </w:r>
      <w:r w:rsidRPr="00E40443">
        <w:rPr>
          <w:rStyle w:val="FootnoteReference"/>
          <w:rFonts w:cs="Arial"/>
          <w:szCs w:val="24"/>
        </w:rPr>
        <w:footnoteReference w:id="338"/>
      </w:r>
      <w:r w:rsidR="006F6621">
        <w:rPr>
          <w:rFonts w:cs="Arial"/>
          <w:i/>
          <w:iCs/>
          <w:szCs w:val="24"/>
        </w:rPr>
        <w:t xml:space="preserve"> </w:t>
      </w:r>
      <w:r w:rsidR="006F6621">
        <w:rPr>
          <w:rFonts w:cs="Arial"/>
          <w:szCs w:val="24"/>
        </w:rPr>
        <w:t>This Court</w:t>
      </w:r>
      <w:r w:rsidR="00E00663">
        <w:rPr>
          <w:rFonts w:cs="Arial"/>
          <w:szCs w:val="24"/>
        </w:rPr>
        <w:t>,</w:t>
      </w:r>
      <w:r w:rsidR="006F6621">
        <w:rPr>
          <w:rFonts w:cs="Arial"/>
          <w:szCs w:val="24"/>
        </w:rPr>
        <w:t xml:space="preserve"> </w:t>
      </w:r>
      <w:r w:rsidRPr="00E40443">
        <w:rPr>
          <w:rFonts w:cs="Arial"/>
          <w:szCs w:val="24"/>
        </w:rPr>
        <w:t xml:space="preserve">nevertheless, deserves praise for referring to authority in terms whereof a guilty spouse could not be placed in a better financial position by virtue of any benefit derived from a </w:t>
      </w:r>
      <w:r w:rsidRPr="00E40443">
        <w:rPr>
          <w:rFonts w:cs="Arial"/>
          <w:szCs w:val="24"/>
        </w:rPr>
        <w:lastRenderedPageBreak/>
        <w:t>marriage “wrecked by his own unlawful conduct”.</w:t>
      </w:r>
      <w:r w:rsidRPr="00E40443">
        <w:rPr>
          <w:rStyle w:val="FootnoteReference"/>
          <w:rFonts w:cs="Arial"/>
          <w:szCs w:val="24"/>
        </w:rPr>
        <w:footnoteReference w:id="339"/>
      </w:r>
      <w:r w:rsidRPr="00E40443">
        <w:rPr>
          <w:rFonts w:cs="Arial"/>
          <w:szCs w:val="24"/>
        </w:rPr>
        <w:t xml:space="preserve"> Various other (alleged) murderers can be regarded as having lived a life of luxury, which they would not necessarily have had if they had not murdered the spouse.</w:t>
      </w:r>
    </w:p>
    <w:p w14:paraId="022FEFED" w14:textId="1209F605" w:rsidR="009E3B7F" w:rsidRPr="00E40443" w:rsidRDefault="009E3B7F" w:rsidP="00C5627E">
      <w:pPr>
        <w:rPr>
          <w:rFonts w:cs="Arial"/>
          <w:szCs w:val="24"/>
        </w:rPr>
      </w:pPr>
      <w:r w:rsidRPr="00E40443">
        <w:rPr>
          <w:rFonts w:cs="Arial"/>
          <w:szCs w:val="24"/>
        </w:rPr>
        <w:t xml:space="preserve">The view expressed in </w:t>
      </w:r>
      <w:r w:rsidR="006F6621" w:rsidRPr="00E40443">
        <w:rPr>
          <w:rFonts w:cs="Arial"/>
          <w:i/>
          <w:iCs/>
          <w:szCs w:val="24"/>
        </w:rPr>
        <w:t xml:space="preserve">Nell v Nell </w:t>
      </w:r>
      <w:r w:rsidR="00D67E92">
        <w:rPr>
          <w:rFonts w:cs="Arial"/>
          <w:i/>
          <w:iCs/>
          <w:szCs w:val="24"/>
        </w:rPr>
        <w:t>&amp;</w:t>
      </w:r>
      <w:r w:rsidR="006F6621" w:rsidRPr="00E40443">
        <w:rPr>
          <w:rFonts w:cs="Arial"/>
          <w:i/>
          <w:iCs/>
          <w:szCs w:val="24"/>
        </w:rPr>
        <w:t xml:space="preserve"> ‘n Ander</w:t>
      </w:r>
      <w:r w:rsidR="006F6621" w:rsidRPr="00E40443">
        <w:rPr>
          <w:rFonts w:cs="Arial"/>
          <w:szCs w:val="24"/>
        </w:rPr>
        <w:t xml:space="preserve"> </w:t>
      </w:r>
      <w:r w:rsidRPr="00E40443">
        <w:rPr>
          <w:rFonts w:cs="Arial"/>
          <w:szCs w:val="24"/>
        </w:rPr>
        <w:t xml:space="preserve">above, served as foundation for the groundbreaking finding </w:t>
      </w:r>
      <w:r w:rsidR="00E00663">
        <w:rPr>
          <w:rFonts w:cs="Arial"/>
          <w:szCs w:val="24"/>
        </w:rPr>
        <w:t xml:space="preserve">in </w:t>
      </w:r>
      <w:r w:rsidR="00E00663" w:rsidRPr="001E7B5C">
        <w:rPr>
          <w:rFonts w:cs="Arial"/>
          <w:i/>
          <w:iCs/>
          <w:szCs w:val="24"/>
        </w:rPr>
        <w:t>Leeb v Leeb</w:t>
      </w:r>
      <w:r w:rsidR="00E00663">
        <w:rPr>
          <w:rFonts w:cs="Arial"/>
          <w:szCs w:val="24"/>
        </w:rPr>
        <w:t xml:space="preserve"> </w:t>
      </w:r>
      <w:r w:rsidRPr="00E40443">
        <w:rPr>
          <w:rFonts w:cs="Arial"/>
          <w:szCs w:val="24"/>
        </w:rPr>
        <w:t xml:space="preserve">that a </w:t>
      </w:r>
      <w:r w:rsidR="00E00663">
        <w:rPr>
          <w:rFonts w:cs="Arial"/>
          <w:szCs w:val="24"/>
        </w:rPr>
        <w:t>c</w:t>
      </w:r>
      <w:r w:rsidRPr="00E40443">
        <w:rPr>
          <w:rFonts w:cs="Arial"/>
          <w:szCs w:val="24"/>
        </w:rPr>
        <w:t>ourt indeed has the power to order forfeiture by the murderer spouse of benefits derived from their marital regime.</w:t>
      </w:r>
      <w:r w:rsidRPr="00E40443">
        <w:rPr>
          <w:rStyle w:val="FootnoteReference"/>
          <w:rFonts w:cs="Arial"/>
          <w:szCs w:val="24"/>
        </w:rPr>
        <w:footnoteReference w:id="340"/>
      </w:r>
      <w:r w:rsidRPr="00E40443">
        <w:rPr>
          <w:rFonts w:cs="Arial"/>
          <w:szCs w:val="24"/>
        </w:rPr>
        <w:t xml:space="preserve"> </w:t>
      </w:r>
    </w:p>
    <w:p w14:paraId="3F71F56F" w14:textId="21D2F840" w:rsidR="007941D1" w:rsidRPr="00E40443" w:rsidRDefault="009E3B7F" w:rsidP="00C5627E">
      <w:pPr>
        <w:rPr>
          <w:rFonts w:cs="Arial"/>
          <w:szCs w:val="24"/>
        </w:rPr>
      </w:pPr>
      <w:r w:rsidRPr="00E40443">
        <w:rPr>
          <w:rFonts w:cs="Arial"/>
          <w:szCs w:val="24"/>
        </w:rPr>
        <w:t xml:space="preserve">Despite criticism, this departure from precedent should be </w:t>
      </w:r>
      <w:r w:rsidR="00E00663">
        <w:rPr>
          <w:rFonts w:cs="Arial"/>
          <w:szCs w:val="24"/>
        </w:rPr>
        <w:t>commended</w:t>
      </w:r>
      <w:r w:rsidRPr="00E40443">
        <w:rPr>
          <w:rFonts w:cs="Arial"/>
          <w:szCs w:val="24"/>
        </w:rPr>
        <w:t>. Rather than citing lack of authority,</w:t>
      </w:r>
      <w:r w:rsidRPr="00E40443">
        <w:rPr>
          <w:rStyle w:val="FootnoteReference"/>
          <w:rFonts w:cs="Arial"/>
          <w:szCs w:val="24"/>
        </w:rPr>
        <w:footnoteReference w:id="341"/>
      </w:r>
      <w:r w:rsidRPr="00E40443">
        <w:rPr>
          <w:rFonts w:cs="Arial"/>
          <w:szCs w:val="24"/>
        </w:rPr>
        <w:t xml:space="preserve"> the law was developed to protect the interests of a deceased estate by declaring that Mrs Leeb forfeit</w:t>
      </w:r>
      <w:r w:rsidR="00E00663">
        <w:rPr>
          <w:rFonts w:cs="Arial"/>
          <w:szCs w:val="24"/>
        </w:rPr>
        <w:t>ed</w:t>
      </w:r>
      <w:r w:rsidRPr="00E40443">
        <w:rPr>
          <w:rFonts w:cs="Arial"/>
          <w:szCs w:val="24"/>
        </w:rPr>
        <w:t xml:space="preserve"> “by reason of the murder, the benefits of the marriage in community of property”,</w:t>
      </w:r>
      <w:r w:rsidRPr="00E40443">
        <w:rPr>
          <w:rStyle w:val="FootnoteReference"/>
          <w:rFonts w:cs="Arial"/>
          <w:szCs w:val="24"/>
        </w:rPr>
        <w:footnoteReference w:id="342"/>
      </w:r>
      <w:r w:rsidRPr="00E40443">
        <w:rPr>
          <w:rFonts w:cs="Arial"/>
          <w:szCs w:val="24"/>
        </w:rPr>
        <w:t xml:space="preserve"> and justified such deprivation on the grounds that </w:t>
      </w:r>
      <w:r w:rsidRPr="00E40443">
        <w:rPr>
          <w:rFonts w:cs="Arial"/>
          <w:i/>
          <w:iCs/>
          <w:szCs w:val="24"/>
        </w:rPr>
        <w:t>de bloedige hand</w:t>
      </w:r>
      <w:r w:rsidRPr="00E40443">
        <w:rPr>
          <w:rFonts w:cs="Arial"/>
          <w:szCs w:val="24"/>
        </w:rPr>
        <w:t xml:space="preserve"> prohibits the murderer from benefitting from the crime which caused the dissolution of the marriage.</w:t>
      </w:r>
      <w:r w:rsidRPr="00E40443">
        <w:rPr>
          <w:rStyle w:val="FootnoteReference"/>
          <w:rFonts w:cs="Arial"/>
          <w:szCs w:val="24"/>
        </w:rPr>
        <w:footnoteReference w:id="343"/>
      </w:r>
      <w:r w:rsidRPr="00E40443">
        <w:rPr>
          <w:rFonts w:cs="Arial"/>
          <w:szCs w:val="24"/>
        </w:rPr>
        <w:t xml:space="preserve"> Jamneck &amp; Rautenbach</w:t>
      </w:r>
      <w:r w:rsidR="00D67E92" w:rsidRPr="00E40443">
        <w:rPr>
          <w:rStyle w:val="FootnoteReference"/>
          <w:rFonts w:cs="Arial"/>
          <w:szCs w:val="24"/>
        </w:rPr>
        <w:footnoteReference w:id="344"/>
      </w:r>
      <w:r w:rsidRPr="00E40443">
        <w:rPr>
          <w:rFonts w:cs="Arial"/>
          <w:szCs w:val="24"/>
        </w:rPr>
        <w:t xml:space="preserve"> argue that logically, this principle can be applied to marriages out of community of property to which the accrual system applies.</w:t>
      </w:r>
      <w:r w:rsidR="0068423E" w:rsidRPr="00E40443">
        <w:rPr>
          <w:rFonts w:cs="Arial"/>
          <w:szCs w:val="24"/>
        </w:rPr>
        <w:t xml:space="preserve"> </w:t>
      </w:r>
    </w:p>
    <w:p w14:paraId="113E8857" w14:textId="2DBF31A4" w:rsidR="0068423E" w:rsidRPr="00E40443" w:rsidRDefault="0068423E" w:rsidP="00C5627E">
      <w:pPr>
        <w:rPr>
          <w:rFonts w:cs="Arial"/>
          <w:szCs w:val="24"/>
        </w:rPr>
      </w:pPr>
      <w:r w:rsidRPr="00E40443">
        <w:rPr>
          <w:rFonts w:cs="Arial"/>
          <w:szCs w:val="24"/>
        </w:rPr>
        <w:t xml:space="preserve">Sonnekus reiterates </w:t>
      </w:r>
      <w:r w:rsidR="007941D1" w:rsidRPr="00E40443">
        <w:rPr>
          <w:rFonts w:cs="Arial"/>
          <w:szCs w:val="24"/>
        </w:rPr>
        <w:t xml:space="preserve">that a declaration of unworthiness merely prevents a wrongdoer from benefiting from the assets that the deceased contributed to the marriage; it is not a punishment aimed at depriving the wrongdoer of his assets, as </w:t>
      </w:r>
      <w:r w:rsidR="00D67E92">
        <w:rPr>
          <w:rFonts w:cs="Arial"/>
          <w:szCs w:val="24"/>
        </w:rPr>
        <w:t xml:space="preserve">he </w:t>
      </w:r>
      <w:r w:rsidR="007941D1" w:rsidRPr="00E40443">
        <w:rPr>
          <w:rFonts w:cs="Arial"/>
          <w:szCs w:val="24"/>
        </w:rPr>
        <w:t>cannot be deprived of assets that he contributed to the joint estate.</w:t>
      </w:r>
      <w:r w:rsidR="007941D1" w:rsidRPr="00E40443">
        <w:rPr>
          <w:rStyle w:val="FootnoteReference"/>
          <w:rFonts w:cs="Arial"/>
          <w:szCs w:val="24"/>
        </w:rPr>
        <w:footnoteReference w:id="345"/>
      </w:r>
    </w:p>
    <w:p w14:paraId="105975E8" w14:textId="77777777" w:rsidR="009E3B7F" w:rsidRPr="00E40443" w:rsidRDefault="009E3B7F" w:rsidP="00C5627E">
      <w:pPr>
        <w:rPr>
          <w:rFonts w:cs="Arial"/>
          <w:szCs w:val="24"/>
        </w:rPr>
      </w:pPr>
      <w:r w:rsidRPr="00E40443">
        <w:rPr>
          <w:rFonts w:cs="Arial"/>
          <w:szCs w:val="24"/>
        </w:rPr>
        <w:t>It should be noted that until the matter is conclusively adjudicated in the Supreme Court of Appeal, these decisions are not binding in jurisdictions beyond the division of the High Court in which the matter was decided.</w:t>
      </w:r>
      <w:r w:rsidRPr="00E40443">
        <w:rPr>
          <w:rStyle w:val="FootnoteReference"/>
          <w:rFonts w:cs="Arial"/>
          <w:szCs w:val="24"/>
        </w:rPr>
        <w:footnoteReference w:id="346"/>
      </w:r>
    </w:p>
    <w:p w14:paraId="28FA13A0" w14:textId="77777777" w:rsidR="00A46066" w:rsidRPr="00E40443" w:rsidRDefault="00A46066" w:rsidP="00C5627E">
      <w:pPr>
        <w:rPr>
          <w:rFonts w:cs="Arial"/>
          <w:szCs w:val="24"/>
        </w:rPr>
      </w:pPr>
    </w:p>
    <w:p w14:paraId="420756B2" w14:textId="77777777" w:rsidR="006D09D3" w:rsidRPr="00E40443" w:rsidRDefault="006D09D3" w:rsidP="00C5627E">
      <w:pPr>
        <w:pStyle w:val="Heading3"/>
        <w:numPr>
          <w:ilvl w:val="2"/>
          <w:numId w:val="20"/>
        </w:numPr>
        <w:ind w:left="851" w:hanging="851"/>
        <w:rPr>
          <w:rFonts w:cs="Arial"/>
          <w:b/>
          <w:bCs/>
        </w:rPr>
      </w:pPr>
      <w:bookmarkStart w:id="44" w:name="_Toc191216290"/>
      <w:r w:rsidRPr="00E40443">
        <w:rPr>
          <w:rFonts w:cs="Arial"/>
          <w:b/>
          <w:bCs/>
        </w:rPr>
        <w:t>Pension benefits</w:t>
      </w:r>
      <w:bookmarkEnd w:id="44"/>
    </w:p>
    <w:p w14:paraId="55644254" w14:textId="2EFD2E2F" w:rsidR="00FD3D2F" w:rsidRPr="00E40443" w:rsidRDefault="00FD3D2F" w:rsidP="00C5627E">
      <w:pPr>
        <w:rPr>
          <w:rFonts w:cs="Arial"/>
          <w:szCs w:val="24"/>
        </w:rPr>
      </w:pPr>
      <w:r w:rsidRPr="00E40443">
        <w:rPr>
          <w:rFonts w:cs="Arial"/>
          <w:szCs w:val="24"/>
        </w:rPr>
        <w:t>As was stated previously, a causal nex</w:t>
      </w:r>
      <w:r w:rsidR="00435D02">
        <w:rPr>
          <w:rFonts w:cs="Arial"/>
          <w:szCs w:val="24"/>
        </w:rPr>
        <w:t>u</w:t>
      </w:r>
      <w:r w:rsidRPr="00E40443">
        <w:rPr>
          <w:rFonts w:cs="Arial"/>
          <w:szCs w:val="24"/>
        </w:rPr>
        <w:t xml:space="preserve">s must exist between the murderer’s conduct and the enrichment that follows. It appears as if Knoetze is satisfied that depriving Mrs Nell of the pension benefits paid out after her husband’s death was causally linked to her wrongful </w:t>
      </w:r>
      <w:r w:rsidRPr="00E40443">
        <w:rPr>
          <w:rFonts w:cs="Arial"/>
          <w:szCs w:val="24"/>
        </w:rPr>
        <w:lastRenderedPageBreak/>
        <w:t xml:space="preserve">conduct, amounting to an extension of the application of </w:t>
      </w:r>
      <w:r w:rsidRPr="00E40443">
        <w:rPr>
          <w:rFonts w:cs="Arial"/>
          <w:i/>
          <w:iCs/>
          <w:szCs w:val="24"/>
        </w:rPr>
        <w:t>de bloedige hand</w:t>
      </w:r>
      <w:r w:rsidRPr="00E40443">
        <w:rPr>
          <w:rFonts w:cs="Arial"/>
          <w:szCs w:val="24"/>
        </w:rPr>
        <w:t xml:space="preserve"> to pension benefits.</w:t>
      </w:r>
      <w:r w:rsidRPr="00E40443">
        <w:rPr>
          <w:rStyle w:val="FootnoteReference"/>
          <w:rFonts w:cs="Arial"/>
          <w:szCs w:val="24"/>
        </w:rPr>
        <w:footnoteReference w:id="347"/>
      </w:r>
    </w:p>
    <w:p w14:paraId="1FB07DCB" w14:textId="39811D80" w:rsidR="00320DDC" w:rsidRPr="00E40443" w:rsidRDefault="00FD22D7" w:rsidP="00C5627E">
      <w:pPr>
        <w:rPr>
          <w:rFonts w:cs="Arial"/>
          <w:szCs w:val="24"/>
        </w:rPr>
      </w:pPr>
      <w:r w:rsidRPr="00E40443">
        <w:rPr>
          <w:rFonts w:cs="Arial"/>
          <w:szCs w:val="24"/>
        </w:rPr>
        <w:t xml:space="preserve">In keeping with the development of common law, </w:t>
      </w:r>
      <w:r w:rsidR="00D67E92">
        <w:rPr>
          <w:rFonts w:cs="Arial"/>
          <w:szCs w:val="24"/>
        </w:rPr>
        <w:t>the Court</w:t>
      </w:r>
      <w:r w:rsidR="006D09D3" w:rsidRPr="00E40443">
        <w:rPr>
          <w:rFonts w:cs="Arial"/>
          <w:szCs w:val="24"/>
        </w:rPr>
        <w:t xml:space="preserve"> was not persuaded that application of </w:t>
      </w:r>
      <w:r w:rsidR="006D09D3" w:rsidRPr="00E40443">
        <w:rPr>
          <w:rFonts w:cs="Arial"/>
          <w:i/>
          <w:iCs/>
          <w:szCs w:val="24"/>
        </w:rPr>
        <w:t>de bloedige hand</w:t>
      </w:r>
      <w:r w:rsidR="006D09D3" w:rsidRPr="00E40443">
        <w:rPr>
          <w:rFonts w:cs="Arial"/>
          <w:szCs w:val="24"/>
        </w:rPr>
        <w:t xml:space="preserve"> should be limited to benefits flowing directly from the victim’s estate</w:t>
      </w:r>
      <w:r w:rsidR="00D67E92">
        <w:rPr>
          <w:rFonts w:cs="Arial"/>
          <w:szCs w:val="24"/>
        </w:rPr>
        <w:t>,</w:t>
      </w:r>
      <w:r w:rsidR="006D09D3" w:rsidRPr="00E40443">
        <w:rPr>
          <w:rStyle w:val="FootnoteReference"/>
          <w:rFonts w:cs="Arial"/>
          <w:szCs w:val="24"/>
        </w:rPr>
        <w:footnoteReference w:id="348"/>
      </w:r>
      <w:r w:rsidR="006D09D3" w:rsidRPr="00E40443">
        <w:rPr>
          <w:rFonts w:cs="Arial"/>
          <w:szCs w:val="24"/>
        </w:rPr>
        <w:t xml:space="preserve"> and not only declared Mrs Mkhize prohibited from </w:t>
      </w:r>
      <w:r w:rsidR="00D67E92">
        <w:rPr>
          <w:rFonts w:cs="Arial"/>
          <w:szCs w:val="24"/>
        </w:rPr>
        <w:t>profiting</w:t>
      </w:r>
      <w:r w:rsidR="006D09D3" w:rsidRPr="00E40443">
        <w:rPr>
          <w:rFonts w:cs="Arial"/>
          <w:szCs w:val="24"/>
        </w:rPr>
        <w:t xml:space="preserve"> from any statutory benefits</w:t>
      </w:r>
      <w:r w:rsidRPr="00E40443">
        <w:rPr>
          <w:rFonts w:cs="Arial"/>
          <w:szCs w:val="24"/>
        </w:rPr>
        <w:t>,</w:t>
      </w:r>
      <w:r w:rsidR="006D09D3" w:rsidRPr="00E40443">
        <w:rPr>
          <w:rFonts w:cs="Arial"/>
          <w:szCs w:val="24"/>
        </w:rPr>
        <w:t xml:space="preserve"> but </w:t>
      </w:r>
      <w:r w:rsidRPr="00E40443">
        <w:rPr>
          <w:rFonts w:cs="Arial"/>
          <w:szCs w:val="24"/>
        </w:rPr>
        <w:t xml:space="preserve">also </w:t>
      </w:r>
      <w:r w:rsidR="006D09D3" w:rsidRPr="00E40443">
        <w:rPr>
          <w:rFonts w:cs="Arial"/>
          <w:szCs w:val="24"/>
        </w:rPr>
        <w:t>ordered that the pension benefits be paid to the estate of the late Mr Mkhize.</w:t>
      </w:r>
      <w:r w:rsidR="006D09D3" w:rsidRPr="00E40443">
        <w:rPr>
          <w:rStyle w:val="FootnoteReference"/>
          <w:rFonts w:cs="Arial"/>
          <w:szCs w:val="24"/>
        </w:rPr>
        <w:footnoteReference w:id="349"/>
      </w:r>
      <w:r w:rsidR="006D09D3" w:rsidRPr="00E40443">
        <w:rPr>
          <w:rFonts w:cs="Arial"/>
          <w:szCs w:val="24"/>
        </w:rPr>
        <w:t xml:space="preserve"> Although not expressly excluded, it would not be unreasonable to discern that the Court included pension benefits in the prohibition to benefit from </w:t>
      </w:r>
      <w:r w:rsidR="006D09D3" w:rsidRPr="00E40443">
        <w:rPr>
          <w:rFonts w:cs="Arial"/>
          <w:szCs w:val="24"/>
        </w:rPr>
        <w:t>“</w:t>
      </w:r>
      <w:r w:rsidR="006D09D3" w:rsidRPr="00D67E92">
        <w:rPr>
          <w:rFonts w:cs="Arial"/>
          <w:i/>
          <w:iCs/>
          <w:szCs w:val="24"/>
        </w:rPr>
        <w:t>enige polisse op die oorledene se lewe</w:t>
      </w:r>
      <w:r w:rsidR="006D09D3" w:rsidRPr="00E40443">
        <w:rPr>
          <w:rFonts w:cs="Arial"/>
          <w:szCs w:val="24"/>
        </w:rPr>
        <w:t>”</w:t>
      </w:r>
      <w:r w:rsidR="006D09D3" w:rsidRPr="00E40443">
        <w:rPr>
          <w:rFonts w:cs="Arial"/>
          <w:szCs w:val="24"/>
        </w:rPr>
        <w:t xml:space="preserve"> [any [policies on the life of the deceased].</w:t>
      </w:r>
      <w:r w:rsidR="006D09D3" w:rsidRPr="00E40443">
        <w:rPr>
          <w:rStyle w:val="FootnoteReference"/>
          <w:rFonts w:cs="Arial"/>
          <w:szCs w:val="24"/>
        </w:rPr>
        <w:footnoteReference w:id="350"/>
      </w:r>
      <w:r w:rsidR="000F500A" w:rsidRPr="00E40443">
        <w:rPr>
          <w:rFonts w:cs="Arial"/>
          <w:szCs w:val="24"/>
        </w:rPr>
        <w:t xml:space="preserve"> </w:t>
      </w:r>
    </w:p>
    <w:p w14:paraId="0E2D87F9" w14:textId="139D4FCD" w:rsidR="009D00A0" w:rsidRPr="00E40443" w:rsidRDefault="009D00A0" w:rsidP="00C5627E">
      <w:pPr>
        <w:rPr>
          <w:rFonts w:cs="Arial"/>
          <w:szCs w:val="24"/>
        </w:rPr>
      </w:pPr>
      <w:r w:rsidRPr="00E40443">
        <w:rPr>
          <w:rFonts w:cs="Arial"/>
          <w:szCs w:val="24"/>
        </w:rPr>
        <w:t xml:space="preserve">Although </w:t>
      </w:r>
      <w:r w:rsidR="000F500A" w:rsidRPr="00E40443">
        <w:rPr>
          <w:rFonts w:cs="Arial"/>
          <w:szCs w:val="24"/>
        </w:rPr>
        <w:t xml:space="preserve">Sonnekus finds it significant that no subsequent judgement differs from </w:t>
      </w:r>
      <w:r w:rsidR="00320DDC" w:rsidRPr="00E40443">
        <w:rPr>
          <w:rFonts w:cs="Arial"/>
          <w:szCs w:val="24"/>
        </w:rPr>
        <w:t xml:space="preserve">that of </w:t>
      </w:r>
      <w:r w:rsidR="00320DDC" w:rsidRPr="00E40443">
        <w:rPr>
          <w:rFonts w:cs="Arial"/>
          <w:i/>
          <w:iCs/>
          <w:szCs w:val="24"/>
        </w:rPr>
        <w:t>Makhanya</w:t>
      </w:r>
      <w:r w:rsidR="00320DDC" w:rsidRPr="00E40443">
        <w:rPr>
          <w:rFonts w:cs="Arial"/>
          <w:szCs w:val="24"/>
        </w:rPr>
        <w:t xml:space="preserve">, </w:t>
      </w:r>
      <w:r w:rsidRPr="00E40443">
        <w:rPr>
          <w:rFonts w:cs="Arial"/>
          <w:szCs w:val="24"/>
        </w:rPr>
        <w:t xml:space="preserve">he </w:t>
      </w:r>
      <w:r w:rsidR="00320DDC" w:rsidRPr="00E40443">
        <w:rPr>
          <w:rFonts w:cs="Arial"/>
          <w:szCs w:val="24"/>
        </w:rPr>
        <w:t>nevertheless deems i</w:t>
      </w:r>
      <w:r w:rsidR="00D67E92">
        <w:rPr>
          <w:rFonts w:cs="Arial"/>
          <w:szCs w:val="24"/>
        </w:rPr>
        <w:t>t</w:t>
      </w:r>
      <w:r w:rsidR="00320DDC" w:rsidRPr="00E40443">
        <w:rPr>
          <w:rFonts w:cs="Arial"/>
          <w:szCs w:val="24"/>
        </w:rPr>
        <w:t xml:space="preserve"> necessary to note that this exclusion </w:t>
      </w:r>
      <w:r w:rsidR="00D67E92">
        <w:rPr>
          <w:rFonts w:cs="Arial"/>
          <w:szCs w:val="24"/>
        </w:rPr>
        <w:t xml:space="preserve">does not amount to </w:t>
      </w:r>
      <w:r w:rsidR="00320DDC" w:rsidRPr="00E40443">
        <w:rPr>
          <w:rFonts w:cs="Arial"/>
          <w:szCs w:val="24"/>
        </w:rPr>
        <w:t xml:space="preserve">an extension of </w:t>
      </w:r>
      <w:r w:rsidR="00320DDC" w:rsidRPr="00E40443">
        <w:rPr>
          <w:rFonts w:cs="Arial"/>
          <w:i/>
          <w:iCs/>
          <w:szCs w:val="24"/>
        </w:rPr>
        <w:t>de bloedige hand</w:t>
      </w:r>
      <w:r w:rsidR="00320DDC" w:rsidRPr="00E40443">
        <w:rPr>
          <w:rFonts w:cs="Arial"/>
          <w:szCs w:val="24"/>
        </w:rPr>
        <w:t xml:space="preserve"> beyond the law of succession, but rather a logical application of the generalised unworthiness in terms whereof no-one may profit from their own wrongful conduct.</w:t>
      </w:r>
      <w:r w:rsidR="00FD3D2F" w:rsidRPr="00E40443">
        <w:rPr>
          <w:rStyle w:val="FootnoteReference"/>
          <w:rFonts w:cs="Arial"/>
          <w:szCs w:val="24"/>
        </w:rPr>
        <w:footnoteReference w:id="351"/>
      </w:r>
    </w:p>
    <w:p w14:paraId="4072B3A0" w14:textId="272A9274" w:rsidR="006D09D3" w:rsidRPr="00E40443" w:rsidRDefault="00FD22D7" w:rsidP="00C5627E">
      <w:pPr>
        <w:rPr>
          <w:rFonts w:cs="Arial"/>
          <w:szCs w:val="24"/>
        </w:rPr>
      </w:pPr>
      <w:r w:rsidRPr="00E40443">
        <w:rPr>
          <w:rFonts w:cs="Arial"/>
          <w:szCs w:val="24"/>
        </w:rPr>
        <w:t xml:space="preserve">In addition to the above, </w:t>
      </w:r>
      <w:r w:rsidR="00D67E92">
        <w:rPr>
          <w:rFonts w:cs="Arial"/>
          <w:szCs w:val="24"/>
        </w:rPr>
        <w:t>a</w:t>
      </w:r>
      <w:r w:rsidR="006D09D3" w:rsidRPr="00E40443">
        <w:rPr>
          <w:rFonts w:cs="Arial"/>
          <w:szCs w:val="24"/>
        </w:rPr>
        <w:t>lthough Mrs Maqubela was not found unworthy to inherit, the Court proceeded to reduce the benefit accruing to her by virtue of the pension pay-out by ordering that the estate is to be wound up in accordance with</w:t>
      </w:r>
      <w:r w:rsidR="00D67E92">
        <w:rPr>
          <w:rFonts w:cs="Arial"/>
          <w:szCs w:val="24"/>
        </w:rPr>
        <w:t xml:space="preserve"> intestate succession</w:t>
      </w:r>
      <w:r w:rsidR="006D09D3" w:rsidRPr="00E40443">
        <w:rPr>
          <w:rFonts w:cs="Arial"/>
          <w:szCs w:val="24"/>
        </w:rPr>
        <w:t>,</w:t>
      </w:r>
      <w:r w:rsidR="006D09D3" w:rsidRPr="00E40443">
        <w:rPr>
          <w:rStyle w:val="FootnoteReference"/>
          <w:rFonts w:cs="Arial"/>
          <w:szCs w:val="24"/>
        </w:rPr>
        <w:footnoteReference w:id="352"/>
      </w:r>
      <w:r w:rsidR="006D09D3" w:rsidRPr="00E40443">
        <w:rPr>
          <w:rFonts w:cs="Arial"/>
          <w:szCs w:val="24"/>
        </w:rPr>
        <w:t xml:space="preserve"> thereby limiting her benefit to the greater of a child’s share o</w:t>
      </w:r>
      <w:r w:rsidR="00D67E92">
        <w:rPr>
          <w:rFonts w:cs="Arial"/>
          <w:szCs w:val="24"/>
        </w:rPr>
        <w:t>r</w:t>
      </w:r>
      <w:r w:rsidR="006D09D3" w:rsidRPr="00E40443">
        <w:rPr>
          <w:rFonts w:cs="Arial"/>
          <w:szCs w:val="24"/>
        </w:rPr>
        <w:t xml:space="preserve"> the amount determined by the relevant Minister.</w:t>
      </w:r>
      <w:r w:rsidR="006D09D3" w:rsidRPr="00E40443">
        <w:rPr>
          <w:rStyle w:val="FootnoteReference"/>
          <w:rFonts w:cs="Arial"/>
          <w:szCs w:val="24"/>
        </w:rPr>
        <w:footnoteReference w:id="353"/>
      </w:r>
    </w:p>
    <w:p w14:paraId="53BA3365" w14:textId="77777777" w:rsidR="00F00035" w:rsidRPr="00C9345C" w:rsidRDefault="00F00035" w:rsidP="00C5627E">
      <w:pPr>
        <w:rPr>
          <w:rFonts w:cs="Arial"/>
          <w:szCs w:val="24"/>
        </w:rPr>
      </w:pPr>
    </w:p>
    <w:p w14:paraId="3B4890E0" w14:textId="26852688" w:rsidR="002977D8" w:rsidRPr="00977269" w:rsidRDefault="00092A3A" w:rsidP="00C5627E">
      <w:pPr>
        <w:pStyle w:val="Heading2"/>
        <w:numPr>
          <w:ilvl w:val="1"/>
          <w:numId w:val="20"/>
        </w:numPr>
        <w:ind w:left="567" w:hanging="567"/>
        <w:rPr>
          <w:b w:val="0"/>
          <w:bCs/>
        </w:rPr>
      </w:pPr>
      <w:bookmarkStart w:id="45" w:name="_Toc191216291"/>
      <w:r w:rsidRPr="00977269">
        <w:rPr>
          <w:bCs/>
        </w:rPr>
        <w:t xml:space="preserve">Instances where </w:t>
      </w:r>
      <w:r w:rsidRPr="00977269">
        <w:rPr>
          <w:bCs/>
          <w:i/>
          <w:iCs/>
        </w:rPr>
        <w:t>de bloedige hand</w:t>
      </w:r>
      <w:r w:rsidRPr="00977269">
        <w:rPr>
          <w:bCs/>
        </w:rPr>
        <w:t xml:space="preserve"> did not find application</w:t>
      </w:r>
      <w:bookmarkEnd w:id="45"/>
    </w:p>
    <w:p w14:paraId="5518F26B" w14:textId="5471A32B" w:rsidR="000D6A28" w:rsidRPr="000D6A28" w:rsidRDefault="000D6A28" w:rsidP="00904EC5">
      <w:pPr>
        <w:spacing w:line="240" w:lineRule="auto"/>
        <w:ind w:left="567" w:right="566"/>
        <w:rPr>
          <w:rFonts w:cs="Arial"/>
          <w:szCs w:val="24"/>
        </w:rPr>
      </w:pPr>
      <w:r w:rsidRPr="00C9345C">
        <w:rPr>
          <w:rFonts w:cs="Arial"/>
          <w:sz w:val="20"/>
          <w:szCs w:val="20"/>
        </w:rPr>
        <w:t xml:space="preserve">Nevertheless if he </w:t>
      </w:r>
      <w:r w:rsidRPr="000D6A28">
        <w:rPr>
          <w:rFonts w:cs="Arial"/>
          <w:sz w:val="20"/>
          <w:szCs w:val="20"/>
        </w:rPr>
        <w:t>who killed the testator had a cause for killing him which was just, and which was approved by laws, he ought by no means be deemed unworthy of what has been left to him. Where there was no blame, there ought to be no penalty and the ademption of the quest is a kind of penalty.</w:t>
      </w:r>
      <w:r>
        <w:rPr>
          <w:rStyle w:val="FootnoteReference"/>
          <w:rFonts w:cs="Arial"/>
          <w:sz w:val="20"/>
          <w:szCs w:val="20"/>
        </w:rPr>
        <w:footnoteReference w:id="354"/>
      </w:r>
    </w:p>
    <w:p w14:paraId="726E95B2" w14:textId="33BCC788" w:rsidR="000B0C2B" w:rsidRPr="00A3587E" w:rsidRDefault="00E53297" w:rsidP="00C5627E">
      <w:pPr>
        <w:rPr>
          <w:rFonts w:cs="Arial"/>
          <w:szCs w:val="24"/>
        </w:rPr>
      </w:pPr>
      <w:r>
        <w:rPr>
          <w:rFonts w:cs="Arial"/>
          <w:szCs w:val="24"/>
        </w:rPr>
        <w:t xml:space="preserve">It </w:t>
      </w:r>
      <w:r w:rsidRPr="00D61DCF">
        <w:rPr>
          <w:rFonts w:cs="Arial"/>
          <w:szCs w:val="24"/>
        </w:rPr>
        <w:t xml:space="preserve">appears that not everyone who </w:t>
      </w:r>
      <w:r>
        <w:rPr>
          <w:rFonts w:cs="Arial"/>
          <w:szCs w:val="24"/>
        </w:rPr>
        <w:t xml:space="preserve">causes the death of </w:t>
      </w:r>
      <w:r w:rsidRPr="00D61DCF">
        <w:rPr>
          <w:rFonts w:cs="Arial"/>
          <w:szCs w:val="24"/>
        </w:rPr>
        <w:t>another is disqualified from inheriting</w:t>
      </w:r>
      <w:r>
        <w:rPr>
          <w:rFonts w:cs="Arial"/>
          <w:szCs w:val="24"/>
        </w:rPr>
        <w:t xml:space="preserve">. </w:t>
      </w:r>
      <w:r w:rsidR="00D138C0">
        <w:rPr>
          <w:rFonts w:cs="Arial"/>
          <w:szCs w:val="24"/>
        </w:rPr>
        <w:t xml:space="preserve">For a favourable order in a competent </w:t>
      </w:r>
      <w:r w:rsidR="004F411D">
        <w:rPr>
          <w:rFonts w:cs="Arial"/>
          <w:szCs w:val="24"/>
        </w:rPr>
        <w:t>c</w:t>
      </w:r>
      <w:r w:rsidR="00D138C0">
        <w:rPr>
          <w:rFonts w:cs="Arial"/>
          <w:szCs w:val="24"/>
        </w:rPr>
        <w:t xml:space="preserve">ourt, the </w:t>
      </w:r>
      <w:r w:rsidR="004F411D">
        <w:rPr>
          <w:rFonts w:cs="Arial"/>
          <w:szCs w:val="24"/>
        </w:rPr>
        <w:t>a</w:t>
      </w:r>
      <w:r w:rsidR="00D138C0">
        <w:rPr>
          <w:rFonts w:cs="Arial"/>
          <w:szCs w:val="24"/>
        </w:rPr>
        <w:t>pplicant</w:t>
      </w:r>
      <w:r w:rsidR="00437791">
        <w:rPr>
          <w:rFonts w:cs="Arial"/>
          <w:szCs w:val="24"/>
        </w:rPr>
        <w:t xml:space="preserve"> or </w:t>
      </w:r>
      <w:r w:rsidR="004F411D">
        <w:rPr>
          <w:rFonts w:cs="Arial"/>
          <w:szCs w:val="24"/>
        </w:rPr>
        <w:t>p</w:t>
      </w:r>
      <w:r w:rsidR="00437791">
        <w:rPr>
          <w:rFonts w:cs="Arial"/>
          <w:szCs w:val="24"/>
        </w:rPr>
        <w:t>laintiff</w:t>
      </w:r>
      <w:r w:rsidR="00D138C0">
        <w:rPr>
          <w:rFonts w:cs="Arial"/>
          <w:szCs w:val="24"/>
        </w:rPr>
        <w:t xml:space="preserve"> must prove all the </w:t>
      </w:r>
      <w:r w:rsidR="00D138C0" w:rsidRPr="00904EC5">
        <w:rPr>
          <w:rFonts w:cs="Arial"/>
          <w:szCs w:val="24"/>
        </w:rPr>
        <w:lastRenderedPageBreak/>
        <w:t>elements on a balance of probabilities.</w:t>
      </w:r>
      <w:r w:rsidR="000F7927" w:rsidRPr="00904EC5">
        <w:rPr>
          <w:rStyle w:val="FootnoteReference"/>
          <w:rFonts w:cs="Arial"/>
          <w:szCs w:val="24"/>
        </w:rPr>
        <w:footnoteReference w:id="355"/>
      </w:r>
      <w:r w:rsidR="00D138C0" w:rsidRPr="00904EC5">
        <w:rPr>
          <w:rFonts w:cs="Arial"/>
          <w:szCs w:val="24"/>
        </w:rPr>
        <w:t xml:space="preserve"> </w:t>
      </w:r>
      <w:r w:rsidRPr="00904EC5">
        <w:rPr>
          <w:rFonts w:cs="Arial"/>
          <w:szCs w:val="24"/>
        </w:rPr>
        <w:t xml:space="preserve">Some of the </w:t>
      </w:r>
      <w:r w:rsidR="00300C0D" w:rsidRPr="00904EC5">
        <w:rPr>
          <w:rFonts w:cs="Arial"/>
          <w:szCs w:val="24"/>
        </w:rPr>
        <w:t xml:space="preserve">most common </w:t>
      </w:r>
      <w:r w:rsidRPr="00904EC5">
        <w:rPr>
          <w:rFonts w:cs="Arial"/>
          <w:szCs w:val="24"/>
        </w:rPr>
        <w:t>grounds of justification are private defence, necessity, consent, statutory authority</w:t>
      </w:r>
      <w:r w:rsidRPr="00D61DCF">
        <w:rPr>
          <w:rFonts w:cs="Arial"/>
          <w:szCs w:val="24"/>
        </w:rPr>
        <w:t>, mental incapacity or mental illness, youthfulness, being under the influence of intoxicating substances, and provocation.</w:t>
      </w:r>
      <w:r w:rsidRPr="00D61DCF">
        <w:rPr>
          <w:rStyle w:val="FootnoteReference"/>
          <w:rFonts w:cs="Arial"/>
          <w:szCs w:val="24"/>
        </w:rPr>
        <w:footnoteReference w:id="356"/>
      </w:r>
      <w:r w:rsidR="000F7927" w:rsidRPr="000F7927">
        <w:rPr>
          <w:rFonts w:cs="Arial"/>
          <w:szCs w:val="24"/>
        </w:rPr>
        <w:t xml:space="preserve"> </w:t>
      </w:r>
      <w:r w:rsidR="000F7927">
        <w:rPr>
          <w:rFonts w:cs="Arial"/>
          <w:szCs w:val="24"/>
        </w:rPr>
        <w:t xml:space="preserve">If </w:t>
      </w:r>
      <w:r w:rsidR="002D1506" w:rsidRPr="002D1506">
        <w:rPr>
          <w:rFonts w:cs="Arial"/>
          <w:szCs w:val="24"/>
        </w:rPr>
        <w:t>unlawfulness</w:t>
      </w:r>
      <w:r w:rsidR="000F7927" w:rsidRPr="002D1506">
        <w:rPr>
          <w:rFonts w:cs="Arial"/>
          <w:szCs w:val="24"/>
        </w:rPr>
        <w:t xml:space="preserve"> </w:t>
      </w:r>
      <w:r w:rsidR="00435D02">
        <w:rPr>
          <w:rFonts w:cs="Arial"/>
          <w:szCs w:val="24"/>
        </w:rPr>
        <w:t xml:space="preserve">is </w:t>
      </w:r>
      <w:r w:rsidR="000F7927" w:rsidRPr="002D1506">
        <w:rPr>
          <w:rFonts w:cs="Arial"/>
          <w:szCs w:val="24"/>
        </w:rPr>
        <w:t>absent, o</w:t>
      </w:r>
      <w:r w:rsidR="002D1506">
        <w:rPr>
          <w:rFonts w:cs="Arial"/>
          <w:szCs w:val="24"/>
        </w:rPr>
        <w:t>r</w:t>
      </w:r>
      <w:r w:rsidR="000F7927" w:rsidRPr="002D1506">
        <w:rPr>
          <w:rFonts w:cs="Arial"/>
          <w:szCs w:val="24"/>
        </w:rPr>
        <w:t xml:space="preserve"> if a ground of justification is successfully raised, the claim will be dismissed.</w:t>
      </w:r>
      <w:r w:rsidR="000F7927" w:rsidRPr="002D1506">
        <w:rPr>
          <w:rStyle w:val="FootnoteReference"/>
          <w:rFonts w:cs="Arial"/>
          <w:szCs w:val="24"/>
        </w:rPr>
        <w:footnoteReference w:id="357"/>
      </w:r>
    </w:p>
    <w:p w14:paraId="4BCE3ECA" w14:textId="41B6FB4E" w:rsidR="000F7927" w:rsidRPr="000F7927" w:rsidRDefault="000F7927" w:rsidP="00C5627E">
      <w:pPr>
        <w:rPr>
          <w:rFonts w:cs="Arial"/>
          <w:szCs w:val="24"/>
        </w:rPr>
      </w:pPr>
      <w:r>
        <w:rPr>
          <w:rFonts w:cs="Arial"/>
          <w:szCs w:val="24"/>
        </w:rPr>
        <w:t xml:space="preserve">As stated above, all the elements </w:t>
      </w:r>
      <w:r w:rsidR="00265369">
        <w:rPr>
          <w:rFonts w:cs="Arial"/>
          <w:szCs w:val="24"/>
        </w:rPr>
        <w:t xml:space="preserve">of a civil claim </w:t>
      </w:r>
      <w:r>
        <w:rPr>
          <w:rFonts w:cs="Arial"/>
          <w:szCs w:val="24"/>
        </w:rPr>
        <w:t xml:space="preserve">have to be proven </w:t>
      </w:r>
      <w:r w:rsidR="00265369">
        <w:rPr>
          <w:rFonts w:cs="Arial"/>
          <w:szCs w:val="24"/>
        </w:rPr>
        <w:t>on a balance of probabilities</w:t>
      </w:r>
      <w:r>
        <w:rPr>
          <w:rFonts w:cs="Arial"/>
          <w:szCs w:val="24"/>
        </w:rPr>
        <w:t xml:space="preserve">. In </w:t>
      </w:r>
      <w:r w:rsidRPr="00F23B2A">
        <w:rPr>
          <w:i/>
          <w:iCs/>
        </w:rPr>
        <w:t>Maqubela &amp; Another v The Master and Others</w:t>
      </w:r>
      <w:r>
        <w:t>,</w:t>
      </w:r>
      <w:r w:rsidR="007A3886">
        <w:t xml:space="preserve"> </w:t>
      </w:r>
      <w:r>
        <w:t xml:space="preserve">the </w:t>
      </w:r>
      <w:r w:rsidR="004F411D">
        <w:t>a</w:t>
      </w:r>
      <w:r>
        <w:t>pplicants’ case was founded on the criminal conviction of Mrs Maqubela</w:t>
      </w:r>
      <w:r w:rsidR="004F411D">
        <w:t>.</w:t>
      </w:r>
      <w:r>
        <w:t xml:space="preserve"> </w:t>
      </w:r>
      <w:r w:rsidR="004F411D">
        <w:t>T</w:t>
      </w:r>
      <w:r>
        <w:t xml:space="preserve">he  Court had no option but to dismiss the application for want of </w:t>
      </w:r>
      <w:r w:rsidR="00B57794">
        <w:t xml:space="preserve">discharging the onus which rested on the </w:t>
      </w:r>
      <w:r w:rsidR="004F411D">
        <w:t>a</w:t>
      </w:r>
      <w:r w:rsidR="00B57794">
        <w:t>pplicants, and Mrs Maqubela was held not unworthy of inheriting from her murdered husband</w:t>
      </w:r>
      <w:r w:rsidR="00EF676A">
        <w:t xml:space="preserve">, as her conduct was not held to be </w:t>
      </w:r>
      <w:r w:rsidR="00EF676A">
        <w:rPr>
          <w:rFonts w:cs="Arial"/>
          <w:szCs w:val="24"/>
        </w:rPr>
        <w:t>unlawful.</w:t>
      </w:r>
      <w:r w:rsidR="00EF676A">
        <w:rPr>
          <w:rStyle w:val="FootnoteReference"/>
          <w:rFonts w:cs="Arial"/>
          <w:szCs w:val="24"/>
        </w:rPr>
        <w:footnoteReference w:id="358"/>
      </w:r>
    </w:p>
    <w:p w14:paraId="40D0AD9A" w14:textId="774FD64A" w:rsidR="00437791" w:rsidRDefault="002977D8" w:rsidP="00C5627E">
      <w:pPr>
        <w:rPr>
          <w:rFonts w:cs="Arial"/>
          <w:szCs w:val="24"/>
        </w:rPr>
      </w:pPr>
      <w:r w:rsidRPr="00570B03">
        <w:rPr>
          <w:rFonts w:cs="Arial"/>
          <w:szCs w:val="24"/>
        </w:rPr>
        <w:t xml:space="preserve">For the general principle that a </w:t>
      </w:r>
      <w:r w:rsidRPr="000E1041">
        <w:rPr>
          <w:rFonts w:cs="Arial"/>
          <w:szCs w:val="24"/>
        </w:rPr>
        <w:t>person may not be enriched by his wrongful conduct to apply</w:t>
      </w:r>
      <w:r w:rsidR="009D6A23">
        <w:rPr>
          <w:rFonts w:cs="Arial"/>
          <w:szCs w:val="24"/>
        </w:rPr>
        <w:t>, three requirements must be met.</w:t>
      </w:r>
      <w:r w:rsidR="002700FC">
        <w:rPr>
          <w:rFonts w:cs="Arial"/>
          <w:szCs w:val="24"/>
        </w:rPr>
        <w:t xml:space="preserve"> </w:t>
      </w:r>
      <w:r w:rsidR="009D6A23">
        <w:rPr>
          <w:rFonts w:cs="Arial"/>
          <w:szCs w:val="24"/>
        </w:rPr>
        <w:t xml:space="preserve">First, there must </w:t>
      </w:r>
      <w:r w:rsidRPr="000E1041">
        <w:rPr>
          <w:rFonts w:cs="Arial"/>
          <w:szCs w:val="24"/>
        </w:rPr>
        <w:t>be a causal connection between the killing (the wrongful act) and the enrichment.</w:t>
      </w:r>
      <w:r w:rsidRPr="000E1041">
        <w:rPr>
          <w:rStyle w:val="FootnoteReference"/>
          <w:rFonts w:cs="Arial"/>
          <w:szCs w:val="24"/>
        </w:rPr>
        <w:footnoteReference w:id="359"/>
      </w:r>
      <w:r w:rsidRPr="000E1041">
        <w:rPr>
          <w:rFonts w:cs="Arial"/>
          <w:szCs w:val="24"/>
        </w:rPr>
        <w:t xml:space="preserve"> </w:t>
      </w:r>
      <w:r w:rsidR="00411980">
        <w:t>De Waal &amp; Zimmerman</w:t>
      </w:r>
      <w:r w:rsidR="00411980">
        <w:rPr>
          <w:rStyle w:val="FootnoteReference"/>
        </w:rPr>
        <w:footnoteReference w:id="360"/>
      </w:r>
      <w:r w:rsidR="00411980">
        <w:t xml:space="preserve"> qualify the nexus as being either the direct, or the normal, natural, reasonably foreseeable</w:t>
      </w:r>
      <w:r w:rsidR="00435D02">
        <w:t>,</w:t>
      </w:r>
      <w:r w:rsidR="00411980">
        <w:t xml:space="preserve"> result of a crime. </w:t>
      </w:r>
      <w:r w:rsidR="008972C0">
        <w:rPr>
          <w:rFonts w:cs="Arial"/>
          <w:szCs w:val="24"/>
        </w:rPr>
        <w:t xml:space="preserve">In </w:t>
      </w:r>
      <w:r w:rsidR="004F411D">
        <w:rPr>
          <w:rFonts w:cs="Arial"/>
          <w:szCs w:val="24"/>
        </w:rPr>
        <w:t xml:space="preserve">one of </w:t>
      </w:r>
      <w:r w:rsidR="008972C0">
        <w:rPr>
          <w:rFonts w:cs="Arial"/>
          <w:szCs w:val="24"/>
        </w:rPr>
        <w:t>the leading South African case</w:t>
      </w:r>
      <w:r w:rsidR="004F411D">
        <w:rPr>
          <w:rFonts w:cs="Arial"/>
          <w:szCs w:val="24"/>
        </w:rPr>
        <w:t>s</w:t>
      </w:r>
      <w:r w:rsidR="008972C0">
        <w:rPr>
          <w:rFonts w:cs="Arial"/>
          <w:szCs w:val="24"/>
        </w:rPr>
        <w:t>,</w:t>
      </w:r>
      <w:r w:rsidR="00A67ED7">
        <w:rPr>
          <w:rFonts w:cs="Arial"/>
          <w:szCs w:val="24"/>
        </w:rPr>
        <w:t xml:space="preserve"> </w:t>
      </w:r>
      <w:r w:rsidR="00437791" w:rsidRPr="0075764A">
        <w:rPr>
          <w:rFonts w:cs="Arial"/>
          <w:szCs w:val="24"/>
        </w:rPr>
        <w:t xml:space="preserve">the </w:t>
      </w:r>
      <w:r w:rsidR="00C84801">
        <w:rPr>
          <w:rFonts w:cs="Arial"/>
          <w:szCs w:val="24"/>
        </w:rPr>
        <w:t>C</w:t>
      </w:r>
      <w:r w:rsidR="00437791" w:rsidRPr="0075764A">
        <w:rPr>
          <w:rFonts w:cs="Arial"/>
          <w:szCs w:val="24"/>
        </w:rPr>
        <w:t xml:space="preserve">ourt </w:t>
      </w:r>
      <w:r w:rsidR="00437791">
        <w:rPr>
          <w:rFonts w:cs="Arial"/>
          <w:szCs w:val="24"/>
        </w:rPr>
        <w:t>did not find a</w:t>
      </w:r>
      <w:r w:rsidR="00437791" w:rsidRPr="0075764A">
        <w:rPr>
          <w:rFonts w:cs="Arial"/>
          <w:szCs w:val="24"/>
        </w:rPr>
        <w:t xml:space="preserve"> causal connection between</w:t>
      </w:r>
      <w:r w:rsidR="00437791">
        <w:rPr>
          <w:rFonts w:cs="Arial"/>
          <w:szCs w:val="24"/>
        </w:rPr>
        <w:t xml:space="preserve"> Mr Steenkamp’s act </w:t>
      </w:r>
      <w:r w:rsidR="00437791" w:rsidRPr="0075764A">
        <w:rPr>
          <w:rFonts w:cs="Arial"/>
          <w:szCs w:val="24"/>
        </w:rPr>
        <w:t xml:space="preserve">of </w:t>
      </w:r>
      <w:r w:rsidR="00437791">
        <w:rPr>
          <w:rFonts w:cs="Arial"/>
          <w:szCs w:val="24"/>
        </w:rPr>
        <w:t>murdering his daughter’s grandparents and the succession received as a result of the death of his daughter, Mara.</w:t>
      </w:r>
      <w:r w:rsidR="00437791">
        <w:rPr>
          <w:rStyle w:val="FootnoteReference"/>
          <w:rFonts w:cs="Arial"/>
          <w:szCs w:val="24"/>
        </w:rPr>
        <w:footnoteReference w:id="361"/>
      </w:r>
      <w:r w:rsidR="00411980">
        <w:rPr>
          <w:rFonts w:cs="Arial"/>
          <w:szCs w:val="24"/>
        </w:rPr>
        <w:t xml:space="preserve"> </w:t>
      </w:r>
    </w:p>
    <w:p w14:paraId="6B2E94E5" w14:textId="7E97F82A" w:rsidR="002977D8" w:rsidRDefault="009D6A23" w:rsidP="00C5627E">
      <w:pPr>
        <w:rPr>
          <w:rFonts w:cs="Arial"/>
          <w:szCs w:val="24"/>
        </w:rPr>
      </w:pPr>
      <w:r>
        <w:rPr>
          <w:rFonts w:cs="Arial"/>
          <w:szCs w:val="24"/>
        </w:rPr>
        <w:t>Secondly</w:t>
      </w:r>
      <w:r w:rsidR="002977D8" w:rsidRPr="000E1041">
        <w:rPr>
          <w:rFonts w:cs="Arial"/>
          <w:szCs w:val="24"/>
        </w:rPr>
        <w:t xml:space="preserve">, the wrongdoer must </w:t>
      </w:r>
      <w:r w:rsidR="00660AB8">
        <w:rPr>
          <w:rFonts w:cs="Arial"/>
          <w:szCs w:val="24"/>
        </w:rPr>
        <w:t xml:space="preserve">be accountable for </w:t>
      </w:r>
      <w:r w:rsidR="00A04A56">
        <w:rPr>
          <w:rFonts w:cs="Arial"/>
          <w:szCs w:val="24"/>
        </w:rPr>
        <w:t>their</w:t>
      </w:r>
      <w:r w:rsidR="00660AB8">
        <w:rPr>
          <w:rFonts w:cs="Arial"/>
          <w:szCs w:val="24"/>
        </w:rPr>
        <w:t xml:space="preserve"> actions,</w:t>
      </w:r>
      <w:r w:rsidR="00660AB8">
        <w:rPr>
          <w:rStyle w:val="FootnoteReference"/>
          <w:rFonts w:cs="Arial"/>
          <w:szCs w:val="24"/>
        </w:rPr>
        <w:footnoteReference w:id="362"/>
      </w:r>
      <w:r w:rsidR="00660AB8">
        <w:rPr>
          <w:rFonts w:cs="Arial"/>
          <w:szCs w:val="24"/>
        </w:rPr>
        <w:t xml:space="preserve"> i.e., he or she must </w:t>
      </w:r>
      <w:r w:rsidR="002977D8" w:rsidRPr="000E1041">
        <w:rPr>
          <w:rFonts w:cs="Arial"/>
          <w:szCs w:val="24"/>
        </w:rPr>
        <w:t xml:space="preserve">be capable of understanding and appreciating the consequences of </w:t>
      </w:r>
      <w:r w:rsidR="00242C0C">
        <w:rPr>
          <w:rFonts w:cs="Arial"/>
          <w:szCs w:val="24"/>
        </w:rPr>
        <w:t xml:space="preserve">his </w:t>
      </w:r>
      <w:r w:rsidR="00CE2ACE" w:rsidRPr="000E1041">
        <w:rPr>
          <w:rFonts w:cs="Arial"/>
          <w:szCs w:val="24"/>
        </w:rPr>
        <w:t>actions</w:t>
      </w:r>
      <w:r w:rsidR="00CE2ACE">
        <w:rPr>
          <w:rFonts w:cs="Arial"/>
          <w:szCs w:val="24"/>
        </w:rPr>
        <w:t xml:space="preserve"> and</w:t>
      </w:r>
      <w:r w:rsidR="002977D8">
        <w:rPr>
          <w:rFonts w:cs="Arial"/>
          <w:szCs w:val="24"/>
        </w:rPr>
        <w:t xml:space="preserve"> be able to act in accordance with such appreciation.</w:t>
      </w:r>
      <w:r w:rsidR="002977D8" w:rsidRPr="000E1041">
        <w:rPr>
          <w:rStyle w:val="FootnoteReference"/>
          <w:rFonts w:cs="Arial"/>
          <w:szCs w:val="24"/>
        </w:rPr>
        <w:footnoteReference w:id="363"/>
      </w:r>
      <w:r w:rsidR="002977D8" w:rsidRPr="000E1041">
        <w:rPr>
          <w:rFonts w:cs="Arial"/>
          <w:szCs w:val="24"/>
        </w:rPr>
        <w:t xml:space="preserve"> </w:t>
      </w:r>
      <w:r w:rsidR="00D60DA3">
        <w:rPr>
          <w:rFonts w:cs="Arial"/>
          <w:szCs w:val="24"/>
        </w:rPr>
        <w:t xml:space="preserve">The </w:t>
      </w:r>
      <w:r w:rsidR="007A3886">
        <w:rPr>
          <w:rFonts w:cs="Arial"/>
          <w:szCs w:val="24"/>
        </w:rPr>
        <w:t xml:space="preserve">killing </w:t>
      </w:r>
      <w:r w:rsidR="00D60DA3">
        <w:rPr>
          <w:rFonts w:cs="Arial"/>
          <w:szCs w:val="24"/>
        </w:rPr>
        <w:t xml:space="preserve">thus remains </w:t>
      </w:r>
      <w:r w:rsidR="007A3886">
        <w:rPr>
          <w:rFonts w:cs="Arial"/>
          <w:szCs w:val="24"/>
        </w:rPr>
        <w:t>unlawfu</w:t>
      </w:r>
      <w:r w:rsidR="00D60DA3">
        <w:rPr>
          <w:rFonts w:cs="Arial"/>
          <w:szCs w:val="24"/>
        </w:rPr>
        <w:t>l;</w:t>
      </w:r>
      <w:r w:rsidR="007A3886">
        <w:rPr>
          <w:rStyle w:val="FootnoteReference"/>
          <w:rFonts w:cs="Arial"/>
          <w:szCs w:val="24"/>
        </w:rPr>
        <w:footnoteReference w:id="364"/>
      </w:r>
      <w:r w:rsidR="007A3886">
        <w:rPr>
          <w:rFonts w:cs="Arial"/>
          <w:szCs w:val="24"/>
        </w:rPr>
        <w:t xml:space="preserve"> </w:t>
      </w:r>
      <w:r w:rsidR="00D60DA3">
        <w:rPr>
          <w:rFonts w:cs="Arial"/>
          <w:szCs w:val="24"/>
        </w:rPr>
        <w:t>a</w:t>
      </w:r>
      <w:r w:rsidR="00CE2ACE">
        <w:rPr>
          <w:rFonts w:cs="Arial"/>
          <w:szCs w:val="24"/>
        </w:rPr>
        <w:t xml:space="preserve"> person deemed to not be accountable for their actions </w:t>
      </w:r>
      <w:r w:rsidR="00D60DA3">
        <w:rPr>
          <w:rFonts w:cs="Arial"/>
          <w:szCs w:val="24"/>
        </w:rPr>
        <w:t>due to</w:t>
      </w:r>
      <w:r w:rsidR="003D0CDC">
        <w:rPr>
          <w:rFonts w:cs="Arial"/>
          <w:szCs w:val="24"/>
        </w:rPr>
        <w:t xml:space="preserve"> </w:t>
      </w:r>
      <w:r w:rsidR="00CE2ACE">
        <w:rPr>
          <w:rFonts w:cs="Arial"/>
          <w:szCs w:val="24"/>
        </w:rPr>
        <w:t>mental ill</w:t>
      </w:r>
      <w:r w:rsidR="00D60DA3">
        <w:rPr>
          <w:rFonts w:cs="Arial"/>
          <w:szCs w:val="24"/>
        </w:rPr>
        <w:t>ness</w:t>
      </w:r>
      <w:r w:rsidR="003D0CDC">
        <w:rPr>
          <w:rFonts w:cs="Arial"/>
          <w:szCs w:val="24"/>
        </w:rPr>
        <w:t xml:space="preserve"> or </w:t>
      </w:r>
      <w:r w:rsidR="00D60DA3">
        <w:rPr>
          <w:rFonts w:cs="Arial"/>
          <w:szCs w:val="24"/>
        </w:rPr>
        <w:t xml:space="preserve">being sufficiently </w:t>
      </w:r>
      <w:r w:rsidR="00CE2ACE">
        <w:rPr>
          <w:rFonts w:cs="Arial"/>
          <w:szCs w:val="24"/>
        </w:rPr>
        <w:t>intoxicat</w:t>
      </w:r>
      <w:r w:rsidR="003D0CDC">
        <w:rPr>
          <w:rFonts w:cs="Arial"/>
          <w:szCs w:val="24"/>
        </w:rPr>
        <w:t>ed</w:t>
      </w:r>
      <w:r w:rsidR="007213EE">
        <w:rPr>
          <w:rFonts w:cs="Arial"/>
          <w:szCs w:val="24"/>
        </w:rPr>
        <w:t xml:space="preserve"> at the time of killing the deceased</w:t>
      </w:r>
      <w:r w:rsidR="00D60DA3">
        <w:rPr>
          <w:rFonts w:cs="Arial"/>
          <w:szCs w:val="24"/>
        </w:rPr>
        <w:t xml:space="preserve"> </w:t>
      </w:r>
      <w:r w:rsidR="001E7B5C">
        <w:rPr>
          <w:rFonts w:cs="Arial"/>
          <w:szCs w:val="24"/>
        </w:rPr>
        <w:t>cannot</w:t>
      </w:r>
      <w:r w:rsidR="00D60DA3">
        <w:rPr>
          <w:rFonts w:cs="Arial"/>
          <w:szCs w:val="24"/>
        </w:rPr>
        <w:t xml:space="preserve"> be blamed for their actions</w:t>
      </w:r>
      <w:r w:rsidR="00BE6BE5">
        <w:rPr>
          <w:rFonts w:cs="Arial"/>
          <w:szCs w:val="24"/>
        </w:rPr>
        <w:t>.</w:t>
      </w:r>
      <w:r w:rsidR="003D0CDC">
        <w:rPr>
          <w:rStyle w:val="FootnoteReference"/>
          <w:rFonts w:cs="Arial"/>
          <w:szCs w:val="24"/>
        </w:rPr>
        <w:footnoteReference w:id="365"/>
      </w:r>
      <w:r w:rsidR="00BE6BE5">
        <w:rPr>
          <w:rFonts w:cs="Arial"/>
          <w:szCs w:val="24"/>
        </w:rPr>
        <w:t xml:space="preserve"> </w:t>
      </w:r>
      <w:r w:rsidR="00D2426E">
        <w:rPr>
          <w:rFonts w:cs="Arial"/>
          <w:szCs w:val="24"/>
        </w:rPr>
        <w:t>Thus</w:t>
      </w:r>
      <w:r w:rsidR="004F411D">
        <w:rPr>
          <w:rFonts w:cs="Arial"/>
          <w:szCs w:val="24"/>
        </w:rPr>
        <w:t>,</w:t>
      </w:r>
      <w:r w:rsidR="002977D8">
        <w:rPr>
          <w:rFonts w:cs="Arial"/>
          <w:szCs w:val="24"/>
        </w:rPr>
        <w:t xml:space="preserve"> a person may only be deemed unworthy if he or she had intentionally and/or recklessly caused </w:t>
      </w:r>
      <w:r w:rsidR="002977D8">
        <w:rPr>
          <w:rFonts w:cs="Arial"/>
          <w:szCs w:val="24"/>
        </w:rPr>
        <w:lastRenderedPageBreak/>
        <w:t>the death of the victim</w:t>
      </w:r>
      <w:r w:rsidR="00BE79F2">
        <w:rPr>
          <w:rFonts w:cs="Arial"/>
          <w:szCs w:val="24"/>
        </w:rPr>
        <w:t>;</w:t>
      </w:r>
      <w:r w:rsidR="00BE6BE5">
        <w:rPr>
          <w:rStyle w:val="FootnoteReference"/>
          <w:rFonts w:cs="Arial"/>
          <w:szCs w:val="24"/>
        </w:rPr>
        <w:footnoteReference w:id="366"/>
      </w:r>
      <w:r w:rsidR="002977D8">
        <w:rPr>
          <w:rFonts w:cs="Arial"/>
          <w:szCs w:val="24"/>
        </w:rPr>
        <w:t xml:space="preserve"> if there is no blameworthy state a mind</w:t>
      </w:r>
      <w:r w:rsidR="00BE6BE5">
        <w:rPr>
          <w:rFonts w:cs="Arial"/>
          <w:szCs w:val="24"/>
        </w:rPr>
        <w:t xml:space="preserve"> [fault],</w:t>
      </w:r>
      <w:r w:rsidR="002977D8">
        <w:rPr>
          <w:rFonts w:cs="Arial"/>
          <w:szCs w:val="24"/>
        </w:rPr>
        <w:t xml:space="preserve"> there ought not be a penalty for such conduct</w:t>
      </w:r>
      <w:r w:rsidR="00D2426E">
        <w:rPr>
          <w:rFonts w:cs="Arial"/>
          <w:szCs w:val="24"/>
        </w:rPr>
        <w:t>.</w:t>
      </w:r>
      <w:r w:rsidR="002977D8">
        <w:rPr>
          <w:rStyle w:val="FootnoteReference"/>
          <w:rFonts w:cs="Arial"/>
          <w:szCs w:val="24"/>
        </w:rPr>
        <w:footnoteReference w:id="367"/>
      </w:r>
      <w:r w:rsidR="00CA248D">
        <w:rPr>
          <w:rFonts w:cs="Arial"/>
          <w:szCs w:val="24"/>
        </w:rPr>
        <w:t xml:space="preserve"> </w:t>
      </w:r>
    </w:p>
    <w:p w14:paraId="3D114692" w14:textId="42B7C82F" w:rsidR="00A33DBF" w:rsidRDefault="00435D02" w:rsidP="00C5627E">
      <w:pPr>
        <w:rPr>
          <w:rFonts w:cs="Arial"/>
          <w:szCs w:val="24"/>
        </w:rPr>
      </w:pPr>
      <w:r>
        <w:rPr>
          <w:rFonts w:cs="Arial"/>
          <w:szCs w:val="24"/>
        </w:rPr>
        <w:t xml:space="preserve">In </w:t>
      </w:r>
      <w:r w:rsidR="00D2426E">
        <w:rPr>
          <w:rFonts w:cs="Arial"/>
          <w:i/>
          <w:iCs/>
          <w:szCs w:val="24"/>
        </w:rPr>
        <w:t>Ex parte Meier &amp; Andere</w:t>
      </w:r>
      <w:r w:rsidR="00B510DE">
        <w:rPr>
          <w:rFonts w:cs="Arial"/>
          <w:szCs w:val="24"/>
        </w:rPr>
        <w:t>,</w:t>
      </w:r>
      <w:r w:rsidR="00D2426E" w:rsidRPr="00B510DE">
        <w:rPr>
          <w:rStyle w:val="FootnoteReference"/>
          <w:rFonts w:cs="Arial"/>
          <w:szCs w:val="24"/>
        </w:rPr>
        <w:footnoteReference w:id="368"/>
      </w:r>
      <w:r w:rsidR="00B510DE">
        <w:rPr>
          <w:rFonts w:cs="Arial"/>
          <w:i/>
          <w:iCs/>
          <w:szCs w:val="24"/>
        </w:rPr>
        <w:t xml:space="preserve"> </w:t>
      </w:r>
      <w:r w:rsidR="00B5018E">
        <w:rPr>
          <w:rFonts w:cs="Arial"/>
          <w:szCs w:val="24"/>
        </w:rPr>
        <w:t xml:space="preserve">Armin </w:t>
      </w:r>
      <w:r w:rsidR="00B510DE">
        <w:rPr>
          <w:rFonts w:cs="Arial"/>
          <w:szCs w:val="24"/>
        </w:rPr>
        <w:t xml:space="preserve">Karel Meier </w:t>
      </w:r>
      <w:r w:rsidR="00B5018E">
        <w:rPr>
          <w:rFonts w:cs="Arial"/>
          <w:szCs w:val="24"/>
        </w:rPr>
        <w:t xml:space="preserve">was </w:t>
      </w:r>
      <w:r w:rsidR="00B510DE">
        <w:rPr>
          <w:rFonts w:cs="Arial"/>
          <w:szCs w:val="24"/>
        </w:rPr>
        <w:t>held not criminally liable for murdering his father, as n</w:t>
      </w:r>
      <w:r w:rsidR="00B5018E">
        <w:rPr>
          <w:rFonts w:cs="Arial"/>
          <w:szCs w:val="24"/>
        </w:rPr>
        <w:t xml:space="preserve">o fault could be proven on </w:t>
      </w:r>
      <w:r w:rsidR="00B510DE">
        <w:rPr>
          <w:rFonts w:cs="Arial"/>
          <w:szCs w:val="24"/>
        </w:rPr>
        <w:t>his part</w:t>
      </w:r>
      <w:r w:rsidR="00B5018E">
        <w:rPr>
          <w:rFonts w:cs="Arial"/>
          <w:szCs w:val="24"/>
        </w:rPr>
        <w:t xml:space="preserve">, and the Court ordered </w:t>
      </w:r>
      <w:r w:rsidR="004E3B71">
        <w:rPr>
          <w:rFonts w:cs="Arial"/>
          <w:szCs w:val="24"/>
        </w:rPr>
        <w:t xml:space="preserve">that he is entitled to </w:t>
      </w:r>
      <w:r w:rsidR="00B5018E">
        <w:rPr>
          <w:rFonts w:cs="Arial"/>
          <w:szCs w:val="24"/>
        </w:rPr>
        <w:t>inherit from his late father.</w:t>
      </w:r>
      <w:r w:rsidR="00B510DE">
        <w:rPr>
          <w:rFonts w:cs="Arial"/>
          <w:szCs w:val="24"/>
        </w:rPr>
        <w:t xml:space="preserve"> </w:t>
      </w:r>
      <w:r w:rsidR="007D2041">
        <w:rPr>
          <w:rFonts w:cs="Arial"/>
          <w:szCs w:val="24"/>
        </w:rPr>
        <w:t xml:space="preserve">The parties in </w:t>
      </w:r>
      <w:r w:rsidR="00046315" w:rsidRPr="00046315">
        <w:rPr>
          <w:rFonts w:cs="Arial"/>
          <w:i/>
          <w:iCs/>
          <w:szCs w:val="24"/>
        </w:rPr>
        <w:t>Gafin NO v Kavin</w:t>
      </w:r>
      <w:r w:rsidR="00046315">
        <w:rPr>
          <w:rStyle w:val="FootnoteReference"/>
          <w:rFonts w:cs="Arial"/>
          <w:i/>
          <w:iCs/>
          <w:szCs w:val="24"/>
        </w:rPr>
        <w:footnoteReference w:id="369"/>
      </w:r>
      <w:r w:rsidR="00A33DBF">
        <w:rPr>
          <w:rFonts w:cs="Arial"/>
          <w:szCs w:val="24"/>
        </w:rPr>
        <w:t xml:space="preserve"> </w:t>
      </w:r>
      <w:r w:rsidR="007D2041">
        <w:rPr>
          <w:rFonts w:cs="Arial"/>
          <w:szCs w:val="24"/>
        </w:rPr>
        <w:t xml:space="preserve">consented to the admission of the criminal evidence in the civil proceedings, which required the Court only to consider whether Mr Kavin was unworthy to inherit from the deceased. As the </w:t>
      </w:r>
      <w:r w:rsidR="009500C4">
        <w:rPr>
          <w:rFonts w:cs="Arial"/>
          <w:szCs w:val="24"/>
        </w:rPr>
        <w:t>a</w:t>
      </w:r>
      <w:r w:rsidR="007D2041">
        <w:rPr>
          <w:rFonts w:cs="Arial"/>
          <w:szCs w:val="24"/>
        </w:rPr>
        <w:t xml:space="preserve">pplicant failed to discharge the onus on him, the Court </w:t>
      </w:r>
      <w:r w:rsidR="006E63A4">
        <w:rPr>
          <w:rFonts w:cs="Arial"/>
          <w:szCs w:val="24"/>
        </w:rPr>
        <w:t xml:space="preserve">found </w:t>
      </w:r>
      <w:r w:rsidR="00A33DBF">
        <w:rPr>
          <w:rFonts w:cs="Arial"/>
          <w:szCs w:val="24"/>
        </w:rPr>
        <w:t>Mr Kavin not unworthy to inherit.</w:t>
      </w:r>
      <w:r w:rsidR="00F00035">
        <w:rPr>
          <w:rStyle w:val="FootnoteReference"/>
          <w:rFonts w:cs="Arial"/>
          <w:szCs w:val="24"/>
        </w:rPr>
        <w:footnoteReference w:id="370"/>
      </w:r>
      <w:r w:rsidR="00F00035">
        <w:rPr>
          <w:rFonts w:cs="Arial"/>
          <w:szCs w:val="24"/>
        </w:rPr>
        <w:t xml:space="preserve"> </w:t>
      </w:r>
    </w:p>
    <w:p w14:paraId="751300DC" w14:textId="42035BB0" w:rsidR="002977D8" w:rsidRPr="000E1041" w:rsidRDefault="00143F8F" w:rsidP="00C5627E">
      <w:pPr>
        <w:rPr>
          <w:rFonts w:cs="Arial"/>
          <w:szCs w:val="24"/>
        </w:rPr>
      </w:pPr>
      <w:r w:rsidRPr="0075764A">
        <w:rPr>
          <w:rFonts w:cs="Arial"/>
          <w:szCs w:val="24"/>
        </w:rPr>
        <w:t xml:space="preserve">Flanegan points out that if the element of wrongfulness was absent, a person who negligently caused the death of the deceased is not prohibited from inheriting in terms of </w:t>
      </w:r>
      <w:r w:rsidRPr="0075764A">
        <w:rPr>
          <w:rFonts w:cs="Arial"/>
          <w:i/>
          <w:iCs/>
          <w:szCs w:val="24"/>
        </w:rPr>
        <w:t>de bloedige hand</w:t>
      </w:r>
      <w:r w:rsidRPr="0075764A">
        <w:rPr>
          <w:rFonts w:cs="Arial"/>
          <w:szCs w:val="24"/>
        </w:rPr>
        <w:t>.</w:t>
      </w:r>
      <w:r>
        <w:rPr>
          <w:rStyle w:val="FootnoteReference"/>
          <w:rFonts w:cs="Arial"/>
          <w:szCs w:val="24"/>
        </w:rPr>
        <w:footnoteReference w:id="371"/>
      </w:r>
      <w:r w:rsidRPr="00143F8F">
        <w:rPr>
          <w:rFonts w:cs="Arial"/>
          <w:szCs w:val="24"/>
        </w:rPr>
        <w:t xml:space="preserve"> </w:t>
      </w:r>
      <w:r>
        <w:rPr>
          <w:rFonts w:cs="Arial"/>
          <w:szCs w:val="24"/>
        </w:rPr>
        <w:t>Thus, both the elements of fault and wrongfulness [or unlawfulness] must be present. When either of the above elements are absent, a wrongdoer can accordingly not be viewed as unworthy or disqualified from inheriting from the deceased.</w:t>
      </w:r>
      <w:r>
        <w:rPr>
          <w:rStyle w:val="FootnoteReference"/>
          <w:rFonts w:cs="Arial"/>
          <w:szCs w:val="24"/>
        </w:rPr>
        <w:footnoteReference w:id="372"/>
      </w:r>
      <w:r w:rsidR="00E40931" w:rsidRPr="00E40931">
        <w:rPr>
          <w:rFonts w:cs="Arial"/>
          <w:szCs w:val="24"/>
        </w:rPr>
        <w:t xml:space="preserve"> </w:t>
      </w:r>
      <w:r w:rsidR="00D77753">
        <w:rPr>
          <w:rFonts w:cs="Arial"/>
          <w:szCs w:val="24"/>
        </w:rPr>
        <w:t xml:space="preserve">In addition hereto, the </w:t>
      </w:r>
      <w:r w:rsidR="006E63A4">
        <w:rPr>
          <w:rFonts w:cs="Arial"/>
          <w:szCs w:val="24"/>
        </w:rPr>
        <w:t>claimant</w:t>
      </w:r>
      <w:r w:rsidR="00D77753">
        <w:rPr>
          <w:rFonts w:cs="Arial"/>
          <w:szCs w:val="24"/>
        </w:rPr>
        <w:t xml:space="preserve"> must discharge the onus on them by proving all elements.</w:t>
      </w:r>
      <w:r w:rsidR="00D77753">
        <w:rPr>
          <w:rStyle w:val="FootnoteReference"/>
          <w:rFonts w:cs="Arial"/>
          <w:szCs w:val="24"/>
        </w:rPr>
        <w:footnoteReference w:id="373"/>
      </w:r>
    </w:p>
    <w:p w14:paraId="13138004" w14:textId="1565DF55" w:rsidR="002977D8" w:rsidRDefault="004317E9" w:rsidP="00C5627E">
      <w:pPr>
        <w:rPr>
          <w:rFonts w:cs="Arial"/>
          <w:szCs w:val="24"/>
        </w:rPr>
      </w:pPr>
      <w:r>
        <w:rPr>
          <w:rFonts w:cs="Arial"/>
          <w:szCs w:val="24"/>
        </w:rPr>
        <w:t xml:space="preserve">The </w:t>
      </w:r>
      <w:r w:rsidR="009500C4">
        <w:rPr>
          <w:rFonts w:cs="Arial"/>
          <w:szCs w:val="24"/>
        </w:rPr>
        <w:t xml:space="preserve">decision in the </w:t>
      </w:r>
      <w:r>
        <w:rPr>
          <w:rFonts w:cs="Arial"/>
          <w:szCs w:val="24"/>
        </w:rPr>
        <w:t xml:space="preserve">case of </w:t>
      </w:r>
      <w:r>
        <w:rPr>
          <w:rFonts w:cs="Arial"/>
          <w:i/>
          <w:iCs/>
          <w:szCs w:val="24"/>
        </w:rPr>
        <w:t xml:space="preserve">Maqubela </w:t>
      </w:r>
      <w:r>
        <w:rPr>
          <w:rFonts w:cs="Arial"/>
          <w:szCs w:val="24"/>
        </w:rPr>
        <w:t xml:space="preserve">can be seen as </w:t>
      </w:r>
      <w:r w:rsidR="00703288">
        <w:rPr>
          <w:rFonts w:cs="Arial"/>
          <w:szCs w:val="24"/>
        </w:rPr>
        <w:t>an irrational</w:t>
      </w:r>
      <w:r w:rsidR="00190217">
        <w:rPr>
          <w:rFonts w:cs="Arial"/>
          <w:szCs w:val="24"/>
        </w:rPr>
        <w:t>,</w:t>
      </w:r>
      <w:r w:rsidR="00703288">
        <w:rPr>
          <w:rFonts w:cs="Arial"/>
          <w:szCs w:val="24"/>
        </w:rPr>
        <w:t xml:space="preserve"> unreasonable </w:t>
      </w:r>
      <w:r w:rsidR="00190217">
        <w:rPr>
          <w:rFonts w:cs="Arial"/>
          <w:szCs w:val="24"/>
        </w:rPr>
        <w:t xml:space="preserve">and unjustifiable </w:t>
      </w:r>
      <w:r w:rsidR="00703288">
        <w:rPr>
          <w:rFonts w:cs="Arial"/>
          <w:szCs w:val="24"/>
        </w:rPr>
        <w:t>injustice</w:t>
      </w:r>
      <w:r>
        <w:rPr>
          <w:rFonts w:cs="Arial"/>
          <w:szCs w:val="24"/>
        </w:rPr>
        <w:t xml:space="preserve">. </w:t>
      </w:r>
      <w:r w:rsidR="00491988">
        <w:rPr>
          <w:rFonts w:cs="Arial"/>
          <w:szCs w:val="24"/>
        </w:rPr>
        <w:t>Because t</w:t>
      </w:r>
      <w:r>
        <w:rPr>
          <w:rFonts w:cs="Arial"/>
          <w:szCs w:val="24"/>
        </w:rPr>
        <w:t xml:space="preserve">he </w:t>
      </w:r>
      <w:r w:rsidR="006E63A4">
        <w:rPr>
          <w:rFonts w:cs="Arial"/>
          <w:szCs w:val="24"/>
        </w:rPr>
        <w:t>Court</w:t>
      </w:r>
      <w:r>
        <w:rPr>
          <w:rFonts w:cs="Arial"/>
          <w:szCs w:val="24"/>
        </w:rPr>
        <w:t xml:space="preserve"> was bound to a horrendous precedent, </w:t>
      </w:r>
      <w:r w:rsidR="00491988">
        <w:rPr>
          <w:rFonts w:cs="Arial"/>
          <w:szCs w:val="24"/>
        </w:rPr>
        <w:t>the criminal conviction of Mrs Maqubela could not be considered in determining her unworthiness to inherit from her murdered husband, and the burden of proving her to be unworthy of inheriting could not be discharged, resulting in Mrs Maqubela’s benefit from her deceased husband’s estate.</w:t>
      </w:r>
      <w:r w:rsidR="00491988">
        <w:rPr>
          <w:rStyle w:val="FootnoteReference"/>
          <w:rFonts w:cs="Arial"/>
          <w:szCs w:val="24"/>
        </w:rPr>
        <w:footnoteReference w:id="374"/>
      </w:r>
    </w:p>
    <w:p w14:paraId="4FE5DAE8" w14:textId="77777777" w:rsidR="004317E9" w:rsidRPr="004317E9" w:rsidRDefault="004317E9" w:rsidP="00C5627E">
      <w:pPr>
        <w:rPr>
          <w:rFonts w:cs="Arial"/>
          <w:szCs w:val="24"/>
        </w:rPr>
      </w:pPr>
    </w:p>
    <w:p w14:paraId="6E22E49B" w14:textId="230E4B93" w:rsidR="002977D8" w:rsidRPr="00977269" w:rsidRDefault="00092A3A" w:rsidP="00C5627E">
      <w:pPr>
        <w:pStyle w:val="Heading2"/>
        <w:numPr>
          <w:ilvl w:val="1"/>
          <w:numId w:val="20"/>
        </w:numPr>
        <w:ind w:left="567" w:hanging="567"/>
        <w:rPr>
          <w:b w:val="0"/>
          <w:bCs/>
        </w:rPr>
      </w:pPr>
      <w:bookmarkStart w:id="46" w:name="_Toc191216292"/>
      <w:r w:rsidRPr="00977269">
        <w:rPr>
          <w:bCs/>
        </w:rPr>
        <w:t>Conclusion</w:t>
      </w:r>
      <w:bookmarkEnd w:id="46"/>
    </w:p>
    <w:p w14:paraId="37C04CAF" w14:textId="5A415448" w:rsidR="00A46066" w:rsidRPr="00A46066" w:rsidRDefault="001B0B6B" w:rsidP="00C5627E">
      <w:pPr>
        <w:rPr>
          <w:rFonts w:eastAsiaTheme="majorEastAsia" w:cs="Arial"/>
          <w:bCs/>
          <w:szCs w:val="24"/>
        </w:rPr>
      </w:pPr>
      <w:r w:rsidRPr="000472F0">
        <w:rPr>
          <w:rFonts w:cs="Arial"/>
          <w:szCs w:val="24"/>
        </w:rPr>
        <w:t>The power to deprive a wrongdoer spouse of any benefits which would accrue to such surviving spouse, lies with the Court</w:t>
      </w:r>
      <w:r w:rsidR="006E63A4">
        <w:rPr>
          <w:rFonts w:cs="Arial"/>
          <w:szCs w:val="24"/>
        </w:rPr>
        <w:t>,</w:t>
      </w:r>
      <w:r>
        <w:rPr>
          <w:rStyle w:val="FootnoteReference"/>
          <w:rFonts w:cs="Arial"/>
          <w:szCs w:val="24"/>
        </w:rPr>
        <w:footnoteReference w:id="375"/>
      </w:r>
      <w:r w:rsidRPr="000472F0">
        <w:rPr>
          <w:rFonts w:cs="Arial"/>
          <w:szCs w:val="24"/>
        </w:rPr>
        <w:t xml:space="preserve"> determined on the bases of reasonableness, </w:t>
      </w:r>
      <w:r w:rsidRPr="000472F0">
        <w:rPr>
          <w:rFonts w:cs="Arial"/>
          <w:szCs w:val="24"/>
        </w:rPr>
        <w:lastRenderedPageBreak/>
        <w:t xml:space="preserve">fairness and </w:t>
      </w:r>
      <w:r w:rsidRPr="00A46066">
        <w:rPr>
          <w:rFonts w:cs="Arial"/>
          <w:szCs w:val="24"/>
        </w:rPr>
        <w:t>public policy.</w:t>
      </w:r>
      <w:r w:rsidRPr="00A46066">
        <w:rPr>
          <w:rStyle w:val="FootnoteReference"/>
          <w:rFonts w:cs="Arial"/>
          <w:szCs w:val="24"/>
        </w:rPr>
        <w:footnoteReference w:id="376"/>
      </w:r>
      <w:r>
        <w:rPr>
          <w:rFonts w:cs="Arial"/>
          <w:szCs w:val="24"/>
        </w:rPr>
        <w:t xml:space="preserve"> </w:t>
      </w:r>
      <w:r w:rsidR="00A46066" w:rsidRPr="00A46066">
        <w:rPr>
          <w:rFonts w:eastAsiaTheme="majorEastAsia" w:cs="Arial"/>
          <w:bCs/>
          <w:szCs w:val="24"/>
        </w:rPr>
        <w:t xml:space="preserve">Some of the above cases are prime examples of murder for benefit, where the expectation of the murder was definitely not what resulted. In most instances, the </w:t>
      </w:r>
      <w:r w:rsidR="00E9423E">
        <w:rPr>
          <w:rFonts w:eastAsiaTheme="majorEastAsia" w:cs="Arial"/>
          <w:bCs/>
          <w:szCs w:val="24"/>
        </w:rPr>
        <w:t>c</w:t>
      </w:r>
      <w:r w:rsidR="00A46066" w:rsidRPr="00A46066">
        <w:rPr>
          <w:rFonts w:eastAsiaTheme="majorEastAsia" w:cs="Arial"/>
          <w:bCs/>
          <w:szCs w:val="24"/>
        </w:rPr>
        <w:t>ourts appeared to have been appalled by the murder</w:t>
      </w:r>
      <w:r w:rsidR="006E63A4">
        <w:rPr>
          <w:rFonts w:eastAsiaTheme="majorEastAsia" w:cs="Arial"/>
          <w:bCs/>
          <w:szCs w:val="24"/>
        </w:rPr>
        <w:t>er</w:t>
      </w:r>
      <w:r w:rsidR="00A46066" w:rsidRPr="00A46066">
        <w:rPr>
          <w:rFonts w:eastAsiaTheme="majorEastAsia" w:cs="Arial"/>
          <w:bCs/>
          <w:szCs w:val="24"/>
        </w:rPr>
        <w:t>s’ conduct and found the wrongdoers to be unworthy to inherit from the deceased, which resulted in their unworthiness to benefit in ever more instances.</w:t>
      </w:r>
    </w:p>
    <w:p w14:paraId="142B3752" w14:textId="446E3E39" w:rsidR="000472F0" w:rsidRPr="000472F0" w:rsidRDefault="00A80E8C" w:rsidP="00C5627E">
      <w:pPr>
        <w:rPr>
          <w:rFonts w:cs="Arial"/>
          <w:szCs w:val="24"/>
        </w:rPr>
      </w:pPr>
      <w:r>
        <w:rPr>
          <w:rFonts w:eastAsiaTheme="majorEastAsia" w:cs="Arial"/>
          <w:bCs/>
          <w:szCs w:val="24"/>
        </w:rPr>
        <w:t xml:space="preserve">Benefits </w:t>
      </w:r>
      <w:r>
        <w:rPr>
          <w:rFonts w:eastAsiaTheme="majorEastAsia" w:cs="Arial"/>
          <w:bCs/>
          <w:i/>
          <w:iCs/>
          <w:szCs w:val="24"/>
        </w:rPr>
        <w:t>mortis causa</w:t>
      </w:r>
      <w:r>
        <w:rPr>
          <w:rFonts w:eastAsiaTheme="majorEastAsia" w:cs="Arial"/>
          <w:bCs/>
          <w:szCs w:val="24"/>
        </w:rPr>
        <w:t xml:space="preserve"> have long since been excluded from the benefits a wrongdoer is entitled to, and s</w:t>
      </w:r>
      <w:r w:rsidR="000472F0">
        <w:rPr>
          <w:rFonts w:eastAsiaTheme="majorEastAsia" w:cs="Arial"/>
          <w:bCs/>
          <w:szCs w:val="24"/>
        </w:rPr>
        <w:t xml:space="preserve">ince the judgement of </w:t>
      </w:r>
      <w:r w:rsidR="00BA0171">
        <w:rPr>
          <w:rFonts w:eastAsiaTheme="majorEastAsia" w:cs="Arial"/>
          <w:bCs/>
          <w:i/>
          <w:iCs/>
          <w:szCs w:val="24"/>
        </w:rPr>
        <w:t xml:space="preserve">Ex parte </w:t>
      </w:r>
      <w:r w:rsidR="000472F0" w:rsidRPr="000472F0">
        <w:rPr>
          <w:rFonts w:eastAsiaTheme="majorEastAsia" w:cs="Arial"/>
          <w:bCs/>
          <w:i/>
          <w:iCs/>
          <w:szCs w:val="24"/>
        </w:rPr>
        <w:t>Steenkamp</w:t>
      </w:r>
      <w:r w:rsidR="00BA0171">
        <w:rPr>
          <w:rFonts w:eastAsiaTheme="majorEastAsia" w:cs="Arial"/>
          <w:bCs/>
          <w:i/>
          <w:iCs/>
          <w:szCs w:val="24"/>
        </w:rPr>
        <w:t xml:space="preserve"> &amp; Steenkamp</w:t>
      </w:r>
      <w:r w:rsidR="000472F0">
        <w:rPr>
          <w:rFonts w:eastAsiaTheme="majorEastAsia" w:cs="Arial"/>
          <w:bCs/>
          <w:szCs w:val="24"/>
        </w:rPr>
        <w:t xml:space="preserve">, the application of </w:t>
      </w:r>
      <w:r w:rsidR="000472F0">
        <w:rPr>
          <w:rFonts w:eastAsiaTheme="majorEastAsia" w:cs="Arial"/>
          <w:bCs/>
          <w:i/>
          <w:iCs/>
          <w:szCs w:val="24"/>
        </w:rPr>
        <w:t>de bloedige hand</w:t>
      </w:r>
      <w:r w:rsidR="000472F0">
        <w:rPr>
          <w:rFonts w:eastAsiaTheme="majorEastAsia" w:cs="Arial"/>
          <w:bCs/>
          <w:szCs w:val="24"/>
        </w:rPr>
        <w:t xml:space="preserve"> </w:t>
      </w:r>
      <w:r w:rsidR="00300C0D">
        <w:rPr>
          <w:rFonts w:eastAsiaTheme="majorEastAsia" w:cs="Arial"/>
          <w:bCs/>
          <w:szCs w:val="24"/>
        </w:rPr>
        <w:t>h</w:t>
      </w:r>
      <w:r w:rsidR="000472F0">
        <w:rPr>
          <w:rFonts w:eastAsiaTheme="majorEastAsia" w:cs="Arial"/>
          <w:bCs/>
          <w:szCs w:val="24"/>
        </w:rPr>
        <w:t>as</w:t>
      </w:r>
      <w:r w:rsidR="00300C0D">
        <w:rPr>
          <w:rFonts w:eastAsiaTheme="majorEastAsia" w:cs="Arial"/>
          <w:bCs/>
          <w:szCs w:val="24"/>
        </w:rPr>
        <w:t xml:space="preserve"> been</w:t>
      </w:r>
      <w:r w:rsidR="000472F0">
        <w:rPr>
          <w:rFonts w:eastAsiaTheme="majorEastAsia" w:cs="Arial"/>
          <w:bCs/>
          <w:szCs w:val="24"/>
        </w:rPr>
        <w:t xml:space="preserve"> extended </w:t>
      </w:r>
      <w:r w:rsidR="008D3FF0">
        <w:rPr>
          <w:rFonts w:eastAsiaTheme="majorEastAsia" w:cs="Arial"/>
          <w:bCs/>
          <w:szCs w:val="24"/>
        </w:rPr>
        <w:t>to benefits in the form of</w:t>
      </w:r>
      <w:r w:rsidR="006E63A4">
        <w:rPr>
          <w:rFonts w:eastAsiaTheme="majorEastAsia" w:cs="Arial"/>
          <w:bCs/>
          <w:szCs w:val="24"/>
        </w:rPr>
        <w:t xml:space="preserve"> insurance benefits, legal costs, </w:t>
      </w:r>
      <w:r w:rsidR="000472F0">
        <w:rPr>
          <w:rFonts w:eastAsiaTheme="majorEastAsia" w:cs="Arial"/>
          <w:bCs/>
          <w:szCs w:val="24"/>
        </w:rPr>
        <w:t xml:space="preserve">maintenance, </w:t>
      </w:r>
      <w:r w:rsidR="006E63A4">
        <w:rPr>
          <w:rFonts w:eastAsiaTheme="majorEastAsia" w:cs="Arial"/>
          <w:bCs/>
          <w:szCs w:val="24"/>
        </w:rPr>
        <w:t>matrimonial property benefits and pension benefits</w:t>
      </w:r>
      <w:r>
        <w:rPr>
          <w:rFonts w:eastAsiaTheme="majorEastAsia" w:cs="Arial"/>
          <w:bCs/>
          <w:szCs w:val="24"/>
        </w:rPr>
        <w:t>.</w:t>
      </w:r>
      <w:r>
        <w:rPr>
          <w:rStyle w:val="FootnoteReference"/>
          <w:rFonts w:eastAsiaTheme="majorEastAsia" w:cs="Arial"/>
          <w:bCs/>
          <w:szCs w:val="24"/>
        </w:rPr>
        <w:footnoteReference w:id="377"/>
      </w:r>
    </w:p>
    <w:p w14:paraId="577696FE" w14:textId="314730D0" w:rsidR="000B5D27" w:rsidRDefault="000B5D27" w:rsidP="00C5627E">
      <w:pPr>
        <w:rPr>
          <w:rFonts w:eastAsiaTheme="majorEastAsia" w:cs="Arial"/>
          <w:bCs/>
          <w:szCs w:val="24"/>
        </w:rPr>
      </w:pPr>
      <w:r w:rsidRPr="00CF770D">
        <w:rPr>
          <w:rFonts w:cs="Arial"/>
          <w:szCs w:val="24"/>
        </w:rPr>
        <w:t>“The causes which may render the heir unworthy of the succession are indefinite”</w:t>
      </w:r>
      <w:r w:rsidRPr="00CF770D">
        <w:rPr>
          <w:rStyle w:val="FootnoteReference"/>
          <w:rFonts w:cs="Arial"/>
          <w:szCs w:val="24"/>
        </w:rPr>
        <w:footnoteReference w:id="378"/>
      </w:r>
      <w:r w:rsidRPr="00CF770D">
        <w:rPr>
          <w:rFonts w:cs="Arial"/>
          <w:szCs w:val="24"/>
        </w:rPr>
        <w:t xml:space="preserve"> and there is </w:t>
      </w:r>
      <w:r>
        <w:rPr>
          <w:rFonts w:cs="Arial"/>
          <w:szCs w:val="24"/>
        </w:rPr>
        <w:t xml:space="preserve">certainly </w:t>
      </w:r>
      <w:r w:rsidRPr="00CF770D">
        <w:rPr>
          <w:rFonts w:cs="Arial"/>
          <w:szCs w:val="24"/>
        </w:rPr>
        <w:t xml:space="preserve">room for </w:t>
      </w:r>
      <w:r w:rsidR="00E9423E">
        <w:rPr>
          <w:rFonts w:cs="Arial"/>
          <w:szCs w:val="24"/>
        </w:rPr>
        <w:t xml:space="preserve">the </w:t>
      </w:r>
      <w:r w:rsidRPr="00CF770D">
        <w:rPr>
          <w:rFonts w:cs="Arial"/>
          <w:szCs w:val="24"/>
        </w:rPr>
        <w:t xml:space="preserve">development of the common law to extend the application of </w:t>
      </w:r>
      <w:r>
        <w:rPr>
          <w:rFonts w:cs="Arial"/>
          <w:i/>
          <w:iCs/>
          <w:szCs w:val="24"/>
        </w:rPr>
        <w:t xml:space="preserve">de </w:t>
      </w:r>
      <w:r w:rsidRPr="00CF770D">
        <w:rPr>
          <w:rFonts w:cs="Arial"/>
          <w:i/>
          <w:iCs/>
          <w:szCs w:val="24"/>
        </w:rPr>
        <w:t>bloedige hand</w:t>
      </w:r>
      <w:r w:rsidRPr="00CF770D">
        <w:rPr>
          <w:rFonts w:cs="Arial"/>
          <w:szCs w:val="24"/>
        </w:rPr>
        <w:t xml:space="preserve"> </w:t>
      </w:r>
      <w:r>
        <w:rPr>
          <w:rFonts w:cs="Arial"/>
          <w:szCs w:val="24"/>
        </w:rPr>
        <w:t>further in accordance with the</w:t>
      </w:r>
      <w:r w:rsidRPr="0002565D">
        <w:rPr>
          <w:rFonts w:eastAsiaTheme="majorEastAsia" w:cs="Arial"/>
          <w:bCs/>
          <w:szCs w:val="24"/>
        </w:rPr>
        <w:t xml:space="preserve"> </w:t>
      </w:r>
      <w:r>
        <w:rPr>
          <w:rFonts w:eastAsiaTheme="majorEastAsia" w:cs="Arial"/>
          <w:bCs/>
          <w:szCs w:val="24"/>
        </w:rPr>
        <w:t>prescripts of decency and reasonableness.</w:t>
      </w:r>
      <w:r>
        <w:rPr>
          <w:rStyle w:val="FootnoteReference"/>
          <w:rFonts w:eastAsiaTheme="majorEastAsia" w:cs="Arial"/>
          <w:bCs/>
          <w:szCs w:val="24"/>
        </w:rPr>
        <w:footnoteReference w:id="379"/>
      </w:r>
    </w:p>
    <w:p w14:paraId="05391FD6" w14:textId="02E528DD" w:rsidR="005822CD" w:rsidRPr="005822CD" w:rsidRDefault="005822CD" w:rsidP="00C5627E">
      <w:r>
        <w:rPr>
          <w:rFonts w:eastAsiaTheme="majorEastAsia" w:cs="Arial"/>
          <w:bCs/>
          <w:szCs w:val="24"/>
        </w:rPr>
        <w:t xml:space="preserve">The following chapter will consider the possibility of extending </w:t>
      </w:r>
      <w:r>
        <w:rPr>
          <w:rFonts w:eastAsiaTheme="majorEastAsia" w:cs="Arial"/>
          <w:bCs/>
          <w:i/>
          <w:iCs/>
          <w:szCs w:val="24"/>
        </w:rPr>
        <w:t>de bloedige hand</w:t>
      </w:r>
      <w:r>
        <w:t xml:space="preserve"> </w:t>
      </w:r>
      <w:r w:rsidR="0050096C">
        <w:t xml:space="preserve">even further to </w:t>
      </w:r>
      <w:r w:rsidR="00B867EE">
        <w:t>validate awards for emotional shock resulting from the trauma suffered by family members of murder victims.</w:t>
      </w:r>
    </w:p>
    <w:p w14:paraId="29242159" w14:textId="46ED7A55" w:rsidR="00A11EFE" w:rsidRDefault="00A11EFE" w:rsidP="00C5627E">
      <w:pPr>
        <w:rPr>
          <w:rFonts w:cs="Arial"/>
          <w:szCs w:val="24"/>
        </w:rPr>
      </w:pPr>
    </w:p>
    <w:p w14:paraId="3E76448B" w14:textId="77777777" w:rsidR="006417DD" w:rsidRDefault="006417DD" w:rsidP="00C5627E">
      <w:pPr>
        <w:jc w:val="left"/>
        <w:rPr>
          <w:rFonts w:eastAsiaTheme="majorEastAsia" w:cstheme="majorBidi"/>
          <w:b/>
          <w:szCs w:val="32"/>
        </w:rPr>
      </w:pPr>
      <w:r>
        <w:br w:type="page"/>
      </w:r>
    </w:p>
    <w:p w14:paraId="070B5BD9" w14:textId="4A46FE50" w:rsidR="002977D8" w:rsidRPr="00E40443" w:rsidRDefault="002977D8" w:rsidP="00C5627E">
      <w:pPr>
        <w:pStyle w:val="Heading1"/>
        <w:rPr>
          <w:szCs w:val="24"/>
        </w:rPr>
      </w:pPr>
      <w:bookmarkStart w:id="47" w:name="_Toc191216293"/>
      <w:r w:rsidRPr="00E40443">
        <w:rPr>
          <w:szCs w:val="24"/>
        </w:rPr>
        <w:lastRenderedPageBreak/>
        <w:t>CHAPTER IV : THE POTENTIAL TO EXTEND THE APPLICATION OF DE BLOEDIGE HAND IN FUTURE</w:t>
      </w:r>
      <w:bookmarkEnd w:id="47"/>
    </w:p>
    <w:p w14:paraId="7FD2B4A9" w14:textId="3A5FF83B" w:rsidR="002977D8" w:rsidRPr="00E40443" w:rsidRDefault="00092A3A" w:rsidP="00C5627E">
      <w:pPr>
        <w:pStyle w:val="Heading2"/>
        <w:numPr>
          <w:ilvl w:val="1"/>
          <w:numId w:val="22"/>
        </w:numPr>
        <w:ind w:left="567" w:hanging="567"/>
        <w:rPr>
          <w:b w:val="0"/>
          <w:bCs/>
          <w:szCs w:val="24"/>
        </w:rPr>
      </w:pPr>
      <w:bookmarkStart w:id="48" w:name="_Toc191216294"/>
      <w:r w:rsidRPr="00E40443">
        <w:rPr>
          <w:bCs/>
          <w:szCs w:val="24"/>
        </w:rPr>
        <w:t>Introduction</w:t>
      </w:r>
      <w:bookmarkEnd w:id="48"/>
      <w:r w:rsidRPr="00E40443">
        <w:rPr>
          <w:bCs/>
          <w:szCs w:val="24"/>
        </w:rPr>
        <w:t xml:space="preserve"> </w:t>
      </w:r>
    </w:p>
    <w:p w14:paraId="09AE5D1B" w14:textId="606B12D7" w:rsidR="00F41868" w:rsidRDefault="00A23754" w:rsidP="00C5627E">
      <w:pPr>
        <w:rPr>
          <w:rFonts w:cs="Arial"/>
          <w:szCs w:val="24"/>
        </w:rPr>
      </w:pPr>
      <w:r>
        <w:rPr>
          <w:rFonts w:cs="Arial"/>
          <w:szCs w:val="24"/>
        </w:rPr>
        <w:t>The foregoing chapter clearly justifies the deprivation of a murderer to benefit from the estate of their murder victim</w:t>
      </w:r>
      <w:r w:rsidR="00F41868">
        <w:rPr>
          <w:rFonts w:cs="Arial"/>
          <w:szCs w:val="24"/>
        </w:rPr>
        <w:t xml:space="preserve">, which deprivation could incorrectly be viewed as </w:t>
      </w:r>
      <w:r>
        <w:rPr>
          <w:rFonts w:cs="Arial"/>
          <w:szCs w:val="24"/>
        </w:rPr>
        <w:t>punish</w:t>
      </w:r>
      <w:r w:rsidR="00F41868">
        <w:rPr>
          <w:rFonts w:cs="Arial"/>
          <w:szCs w:val="24"/>
        </w:rPr>
        <w:t>ment</w:t>
      </w:r>
      <w:r>
        <w:rPr>
          <w:rFonts w:cs="Arial"/>
          <w:szCs w:val="24"/>
        </w:rPr>
        <w:t>.</w:t>
      </w:r>
      <w:r>
        <w:rPr>
          <w:rStyle w:val="FootnoteReference"/>
          <w:rFonts w:cs="Arial"/>
          <w:szCs w:val="24"/>
        </w:rPr>
        <w:footnoteReference w:id="380"/>
      </w:r>
      <w:r>
        <w:rPr>
          <w:rFonts w:cs="Arial"/>
          <w:szCs w:val="24"/>
        </w:rPr>
        <w:t xml:space="preserve"> </w:t>
      </w:r>
    </w:p>
    <w:p w14:paraId="75732BA9" w14:textId="3FA0CA0F" w:rsidR="000212AC" w:rsidRPr="000212AC" w:rsidRDefault="000212AC" w:rsidP="000212AC">
      <w:pPr>
        <w:autoSpaceDE w:val="0"/>
        <w:autoSpaceDN w:val="0"/>
        <w:adjustRightInd w:val="0"/>
        <w:rPr>
          <w:rFonts w:cs="Arial"/>
          <w:szCs w:val="24"/>
        </w:rPr>
      </w:pPr>
      <w:r w:rsidRPr="000212AC">
        <w:rPr>
          <w:rFonts w:cs="Arial"/>
          <w:szCs w:val="24"/>
        </w:rPr>
        <w:t xml:space="preserve">As stated in Chapter I, </w:t>
      </w:r>
      <w:r w:rsidRPr="000212AC">
        <w:rPr>
          <w:rFonts w:cs="Arial"/>
          <w:i/>
          <w:iCs/>
          <w:szCs w:val="24"/>
        </w:rPr>
        <w:t>de bloedige hand neemt geen erffenis</w:t>
      </w:r>
      <w:r w:rsidRPr="000212AC">
        <w:rPr>
          <w:rFonts w:cs="Arial"/>
          <w:szCs w:val="24"/>
        </w:rPr>
        <w:t xml:space="preserve"> bars a murderer from inheriting various inter-connected persons as no wrongdoer is entitled to derive benefit from his criminal conduct.</w:t>
      </w:r>
      <w:r w:rsidRPr="00E40443">
        <w:rPr>
          <w:rStyle w:val="FootnoteReference"/>
          <w:rFonts w:cs="Arial"/>
          <w:szCs w:val="24"/>
        </w:rPr>
        <w:footnoteReference w:id="381"/>
      </w:r>
      <w:r w:rsidRPr="000212AC">
        <w:rPr>
          <w:rFonts w:cs="Arial"/>
          <w:szCs w:val="24"/>
        </w:rPr>
        <w:t xml:space="preserve"> It is further common cause that the extension of </w:t>
      </w:r>
      <w:r w:rsidRPr="000212AC">
        <w:rPr>
          <w:rFonts w:cs="Arial"/>
          <w:i/>
          <w:iCs/>
          <w:szCs w:val="24"/>
        </w:rPr>
        <w:t>de bloedige hand</w:t>
      </w:r>
      <w:r w:rsidRPr="000212AC">
        <w:rPr>
          <w:rFonts w:cs="Arial"/>
          <w:szCs w:val="24"/>
        </w:rPr>
        <w:t xml:space="preserve"> discussed in Chapter III above is in keeping with the grounds that the </w:t>
      </w:r>
      <w:r w:rsidRPr="000212AC">
        <w:rPr>
          <w:rFonts w:cs="Arial"/>
          <w:i/>
          <w:iCs/>
          <w:szCs w:val="24"/>
        </w:rPr>
        <w:t>boni mores</w:t>
      </w:r>
      <w:r w:rsidRPr="000212AC">
        <w:rPr>
          <w:rFonts w:cs="Arial"/>
          <w:szCs w:val="24"/>
        </w:rPr>
        <w:t xml:space="preserve"> find offensive. </w:t>
      </w:r>
    </w:p>
    <w:p w14:paraId="61D27625" w14:textId="5FAD14D5" w:rsidR="00402219" w:rsidRDefault="00F41868" w:rsidP="00C5627E">
      <w:pPr>
        <w:rPr>
          <w:rFonts w:cs="Arial"/>
          <w:szCs w:val="24"/>
        </w:rPr>
      </w:pPr>
      <w:r>
        <w:rPr>
          <w:rFonts w:cs="Arial"/>
          <w:szCs w:val="24"/>
        </w:rPr>
        <w:t xml:space="preserve">It is trite that </w:t>
      </w:r>
      <w:r w:rsidR="00883634">
        <w:rPr>
          <w:rFonts w:cs="Arial"/>
          <w:szCs w:val="24"/>
        </w:rPr>
        <w:t xml:space="preserve">the law of succession falls within the bounds of civil law, </w:t>
      </w:r>
      <w:r w:rsidR="000212AC">
        <w:rPr>
          <w:rFonts w:cs="Arial"/>
          <w:szCs w:val="24"/>
        </w:rPr>
        <w:t xml:space="preserve">where </w:t>
      </w:r>
      <w:r w:rsidR="00883634">
        <w:rPr>
          <w:rFonts w:cs="Arial"/>
          <w:szCs w:val="24"/>
        </w:rPr>
        <w:t xml:space="preserve">the general aim of </w:t>
      </w:r>
      <w:r w:rsidR="000212AC">
        <w:rPr>
          <w:rFonts w:cs="Arial"/>
          <w:szCs w:val="24"/>
        </w:rPr>
        <w:t xml:space="preserve">a sanction is held </w:t>
      </w:r>
      <w:r w:rsidR="00883634">
        <w:rPr>
          <w:rFonts w:cs="Arial"/>
          <w:szCs w:val="24"/>
        </w:rPr>
        <w:t>to be of a compensatory nature,</w:t>
      </w:r>
      <w:r w:rsidR="00883634">
        <w:rPr>
          <w:rStyle w:val="FootnoteReference"/>
          <w:rFonts w:cs="Arial"/>
          <w:szCs w:val="24"/>
        </w:rPr>
        <w:footnoteReference w:id="382"/>
      </w:r>
      <w:r w:rsidR="00646AAF" w:rsidRPr="00E40443">
        <w:rPr>
          <w:rFonts w:cs="Arial"/>
          <w:szCs w:val="24"/>
        </w:rPr>
        <w:t xml:space="preserve"> </w:t>
      </w:r>
      <w:r w:rsidR="00883634">
        <w:rPr>
          <w:rFonts w:cs="Arial"/>
          <w:szCs w:val="24"/>
        </w:rPr>
        <w:t xml:space="preserve">achieved with awards </w:t>
      </w:r>
      <w:r w:rsidR="000E54FA">
        <w:rPr>
          <w:rFonts w:cs="Arial"/>
          <w:szCs w:val="24"/>
        </w:rPr>
        <w:t xml:space="preserve">of </w:t>
      </w:r>
      <w:r w:rsidR="00B36732">
        <w:rPr>
          <w:rFonts w:cs="Arial"/>
          <w:szCs w:val="24"/>
        </w:rPr>
        <w:t xml:space="preserve">a sanction </w:t>
      </w:r>
      <w:r w:rsidR="00883634">
        <w:rPr>
          <w:rFonts w:cs="Arial"/>
          <w:szCs w:val="24"/>
        </w:rPr>
        <w:t xml:space="preserve">for either </w:t>
      </w:r>
      <w:r w:rsidR="006B4C59">
        <w:rPr>
          <w:rFonts w:cs="Arial"/>
          <w:szCs w:val="24"/>
        </w:rPr>
        <w:t>compensation</w:t>
      </w:r>
      <w:r w:rsidR="006B4C59">
        <w:rPr>
          <w:rStyle w:val="FootnoteReference"/>
          <w:rFonts w:cs="Arial"/>
          <w:szCs w:val="24"/>
        </w:rPr>
        <w:footnoteReference w:id="383"/>
      </w:r>
      <w:r w:rsidR="00883634">
        <w:rPr>
          <w:rFonts w:cs="Arial"/>
          <w:szCs w:val="24"/>
        </w:rPr>
        <w:t xml:space="preserve"> or </w:t>
      </w:r>
      <w:r w:rsidR="006B4C59">
        <w:rPr>
          <w:rFonts w:cs="Arial"/>
          <w:szCs w:val="24"/>
        </w:rPr>
        <w:t>satisfaction</w:t>
      </w:r>
      <w:r w:rsidR="00883634">
        <w:rPr>
          <w:rFonts w:cs="Arial"/>
          <w:szCs w:val="24"/>
        </w:rPr>
        <w:t>.</w:t>
      </w:r>
      <w:r w:rsidR="006B4C59">
        <w:rPr>
          <w:rStyle w:val="FootnoteReference"/>
          <w:rFonts w:cs="Arial"/>
          <w:szCs w:val="24"/>
        </w:rPr>
        <w:footnoteReference w:id="384"/>
      </w:r>
      <w:r w:rsidR="00402219">
        <w:rPr>
          <w:rFonts w:cs="Arial"/>
          <w:szCs w:val="24"/>
        </w:rPr>
        <w:t xml:space="preserve"> </w:t>
      </w:r>
    </w:p>
    <w:p w14:paraId="629632FE" w14:textId="3B20CF24" w:rsidR="00402219" w:rsidRPr="00E40443" w:rsidRDefault="00234049" w:rsidP="00402219">
      <w:pPr>
        <w:rPr>
          <w:rFonts w:cs="Arial"/>
          <w:szCs w:val="24"/>
        </w:rPr>
      </w:pPr>
      <w:r>
        <w:rPr>
          <w:rFonts w:cs="Arial"/>
          <w:szCs w:val="24"/>
        </w:rPr>
        <w:t>N</w:t>
      </w:r>
      <w:r w:rsidR="00AB6E01" w:rsidRPr="00E40443">
        <w:rPr>
          <w:rFonts w:cs="Arial"/>
          <w:szCs w:val="24"/>
        </w:rPr>
        <w:t>either a criminal conviction, nor an acquittal shall bar a civil claim for damages</w:t>
      </w:r>
      <w:r w:rsidR="00AB6E01" w:rsidRPr="00E40443">
        <w:rPr>
          <w:rStyle w:val="FootnoteReference"/>
          <w:rFonts w:cs="Arial"/>
          <w:szCs w:val="24"/>
        </w:rPr>
        <w:footnoteReference w:id="385"/>
      </w:r>
      <w:r w:rsidR="00AB6E01" w:rsidRPr="00E40443">
        <w:rPr>
          <w:rFonts w:cs="Arial"/>
          <w:szCs w:val="24"/>
        </w:rPr>
        <w:t xml:space="preserve"> and it is generally accepted that “damage (harm) rests where it falls”, except when it doesn’t. When damage is the result of a delict, the wrongdoer is by law required to compensate the wronged party.</w:t>
      </w:r>
      <w:r w:rsidR="00AB6E01" w:rsidRPr="00E40443">
        <w:rPr>
          <w:rStyle w:val="FootnoteReference"/>
          <w:rFonts w:cs="Arial"/>
          <w:szCs w:val="24"/>
        </w:rPr>
        <w:footnoteReference w:id="386"/>
      </w:r>
      <w:r w:rsidR="00883634">
        <w:rPr>
          <w:rFonts w:cs="Arial"/>
          <w:szCs w:val="24"/>
        </w:rPr>
        <w:t xml:space="preserve"> </w:t>
      </w:r>
      <w:r w:rsidR="00402219" w:rsidRPr="00E40443">
        <w:rPr>
          <w:rFonts w:cs="Arial"/>
          <w:szCs w:val="24"/>
        </w:rPr>
        <w:t>I</w:t>
      </w:r>
      <w:r w:rsidR="00402219">
        <w:rPr>
          <w:rFonts w:cs="Arial"/>
          <w:szCs w:val="24"/>
        </w:rPr>
        <w:t>n</w:t>
      </w:r>
      <w:r w:rsidR="00402219" w:rsidRPr="00E40443">
        <w:rPr>
          <w:rFonts w:cs="Arial"/>
          <w:szCs w:val="24"/>
        </w:rPr>
        <w:t xml:space="preserve"> the context </w:t>
      </w:r>
      <w:r w:rsidR="000212AC">
        <w:rPr>
          <w:rFonts w:cs="Arial"/>
          <w:szCs w:val="24"/>
        </w:rPr>
        <w:t xml:space="preserve">of </w:t>
      </w:r>
      <w:r w:rsidR="00402219" w:rsidRPr="00E40443">
        <w:rPr>
          <w:rFonts w:cs="Arial"/>
          <w:i/>
          <w:iCs/>
          <w:szCs w:val="24"/>
        </w:rPr>
        <w:t>de bloedige hand</w:t>
      </w:r>
      <w:r w:rsidR="00402219" w:rsidRPr="00E40443">
        <w:rPr>
          <w:rFonts w:cs="Arial"/>
          <w:szCs w:val="24"/>
        </w:rPr>
        <w:t xml:space="preserve">, it can be argued that the declaration of unworthiness </w:t>
      </w:r>
      <w:r w:rsidR="00402219">
        <w:rPr>
          <w:rFonts w:cs="Arial"/>
          <w:szCs w:val="24"/>
        </w:rPr>
        <w:t xml:space="preserve">places the innocent parties in the position </w:t>
      </w:r>
      <w:r w:rsidR="000212AC">
        <w:rPr>
          <w:rFonts w:cs="Arial"/>
          <w:szCs w:val="24"/>
        </w:rPr>
        <w:t xml:space="preserve">they would have been </w:t>
      </w:r>
      <w:r w:rsidR="00402219">
        <w:rPr>
          <w:rFonts w:cs="Arial"/>
          <w:szCs w:val="24"/>
        </w:rPr>
        <w:t xml:space="preserve">in but for the murderer benefitting from </w:t>
      </w:r>
      <w:r w:rsidR="00D5228A">
        <w:rPr>
          <w:rFonts w:cs="Arial"/>
          <w:szCs w:val="24"/>
        </w:rPr>
        <w:t>his</w:t>
      </w:r>
      <w:r w:rsidR="00402219">
        <w:rPr>
          <w:rFonts w:cs="Arial"/>
          <w:szCs w:val="24"/>
        </w:rPr>
        <w:t xml:space="preserve"> unlawful conduct,</w:t>
      </w:r>
      <w:r w:rsidR="00402219" w:rsidRPr="00E40443">
        <w:rPr>
          <w:rStyle w:val="FootnoteReference"/>
          <w:rFonts w:cs="Arial"/>
          <w:szCs w:val="24"/>
        </w:rPr>
        <w:footnoteReference w:id="387"/>
      </w:r>
      <w:r w:rsidR="00402219">
        <w:rPr>
          <w:rFonts w:cs="Arial"/>
          <w:szCs w:val="24"/>
        </w:rPr>
        <w:t xml:space="preserve"> which argument will be considered in this chapter.</w:t>
      </w:r>
    </w:p>
    <w:p w14:paraId="02BCF3E4" w14:textId="36CBAB0A" w:rsidR="00AB6E01" w:rsidRPr="00E40443" w:rsidRDefault="00AB6E01" w:rsidP="00C5627E">
      <w:pPr>
        <w:rPr>
          <w:rFonts w:cs="Arial"/>
          <w:szCs w:val="24"/>
        </w:rPr>
      </w:pPr>
      <w:r w:rsidRPr="00E40443">
        <w:rPr>
          <w:rFonts w:cs="Arial"/>
          <w:szCs w:val="24"/>
        </w:rPr>
        <w:lastRenderedPageBreak/>
        <w:t>Although the deceased estate has no claim against a wrongdoer,</w:t>
      </w:r>
      <w:r w:rsidRPr="00E40443">
        <w:rPr>
          <w:rStyle w:val="FootnoteReference"/>
          <w:rFonts w:cs="Arial"/>
          <w:szCs w:val="24"/>
        </w:rPr>
        <w:footnoteReference w:id="388"/>
      </w:r>
      <w:r w:rsidRPr="00E40443">
        <w:rPr>
          <w:rFonts w:cs="Arial"/>
          <w:szCs w:val="24"/>
        </w:rPr>
        <w:t xml:space="preserve"> logic must dictate that </w:t>
      </w:r>
      <w:r w:rsidR="00A23781" w:rsidRPr="00E40443">
        <w:rPr>
          <w:rFonts w:cs="Arial"/>
          <w:szCs w:val="24"/>
        </w:rPr>
        <w:t xml:space="preserve">affected </w:t>
      </w:r>
      <w:r w:rsidRPr="00E40443">
        <w:rPr>
          <w:rFonts w:cs="Arial"/>
          <w:szCs w:val="24"/>
        </w:rPr>
        <w:t xml:space="preserve">individuals may institute legal proceedings to recover either patrimonial or </w:t>
      </w:r>
      <w:r w:rsidR="00234049">
        <w:rPr>
          <w:rFonts w:cs="Arial"/>
          <w:szCs w:val="24"/>
        </w:rPr>
        <w:t>non-patrimonial</w:t>
      </w:r>
      <w:r w:rsidRPr="00E40443">
        <w:rPr>
          <w:rFonts w:cs="Arial"/>
          <w:szCs w:val="24"/>
        </w:rPr>
        <w:t xml:space="preserve"> damages resulting from the wrongdoer’s intentional or negligent conduct.</w:t>
      </w:r>
      <w:r w:rsidRPr="00E40443">
        <w:rPr>
          <w:rStyle w:val="FootnoteReference"/>
          <w:rFonts w:cs="Arial"/>
          <w:szCs w:val="24"/>
        </w:rPr>
        <w:footnoteReference w:id="389"/>
      </w:r>
      <w:r w:rsidRPr="00E40443">
        <w:rPr>
          <w:rFonts w:cs="Arial"/>
          <w:szCs w:val="24"/>
        </w:rPr>
        <w:t xml:space="preserve"> </w:t>
      </w:r>
    </w:p>
    <w:p w14:paraId="068A3C32" w14:textId="4FDACAFF" w:rsidR="00DF28BC" w:rsidRDefault="009E05F8" w:rsidP="00C5627E">
      <w:pPr>
        <w:rPr>
          <w:rFonts w:cs="Arial"/>
          <w:szCs w:val="24"/>
        </w:rPr>
      </w:pPr>
      <w:r w:rsidRPr="00E40443">
        <w:rPr>
          <w:rFonts w:cs="Arial"/>
          <w:szCs w:val="24"/>
        </w:rPr>
        <w:t>Lastly, it is important to take cognisance of the “once-and-for-all” rule</w:t>
      </w:r>
      <w:r w:rsidR="0058637A" w:rsidRPr="00E40443">
        <w:rPr>
          <w:rFonts w:cs="Arial"/>
          <w:szCs w:val="24"/>
        </w:rPr>
        <w:t>, which requires that all claims resulting from the same cause of action have to be instituted simultaneously</w:t>
      </w:r>
      <w:r w:rsidR="0058637A" w:rsidRPr="00E40443">
        <w:rPr>
          <w:rStyle w:val="FootnoteReference"/>
          <w:rFonts w:cs="Arial"/>
          <w:szCs w:val="24"/>
        </w:rPr>
        <w:footnoteReference w:id="390"/>
      </w:r>
      <w:r w:rsidR="0058637A" w:rsidRPr="00E40443">
        <w:rPr>
          <w:rFonts w:cs="Arial"/>
          <w:szCs w:val="24"/>
        </w:rPr>
        <w:t xml:space="preserve"> </w:t>
      </w:r>
      <w:r w:rsidR="00DF28BC">
        <w:rPr>
          <w:rFonts w:cs="Arial"/>
          <w:szCs w:val="24"/>
        </w:rPr>
        <w:t>and prescription</w:t>
      </w:r>
      <w:r w:rsidR="000212AC">
        <w:rPr>
          <w:rFonts w:cs="Arial"/>
          <w:szCs w:val="24"/>
        </w:rPr>
        <w:t>,</w:t>
      </w:r>
      <w:r w:rsidR="000212AC">
        <w:rPr>
          <w:rStyle w:val="FootnoteReference"/>
          <w:rFonts w:cs="Arial"/>
          <w:szCs w:val="24"/>
        </w:rPr>
        <w:footnoteReference w:id="391"/>
      </w:r>
      <w:r w:rsidR="000212AC">
        <w:rPr>
          <w:rFonts w:cs="Arial"/>
          <w:szCs w:val="24"/>
        </w:rPr>
        <w:t xml:space="preserve"> which requires a claim to be instituted within a specific time frame from the occurrence of an event</w:t>
      </w:r>
      <w:r w:rsidR="00DF28BC">
        <w:rPr>
          <w:rFonts w:cs="Arial"/>
          <w:szCs w:val="24"/>
        </w:rPr>
        <w:t xml:space="preserve">. </w:t>
      </w:r>
    </w:p>
    <w:p w14:paraId="41F738E7" w14:textId="6016EC42" w:rsidR="004F41F5" w:rsidRPr="004F41F5" w:rsidRDefault="00BB6482" w:rsidP="00B85DC6">
      <w:pPr>
        <w:rPr>
          <w:rFonts w:cs="Arial"/>
          <w:szCs w:val="24"/>
        </w:rPr>
      </w:pPr>
      <w:r>
        <w:rPr>
          <w:rFonts w:cs="Arial"/>
          <w:szCs w:val="24"/>
        </w:rPr>
        <w:t xml:space="preserve">Logic must dictate that </w:t>
      </w:r>
      <w:r w:rsidR="00FD5C80">
        <w:rPr>
          <w:rFonts w:cs="Arial"/>
          <w:szCs w:val="24"/>
        </w:rPr>
        <w:t xml:space="preserve">it is reasonably foreseeable that </w:t>
      </w:r>
      <w:r>
        <w:rPr>
          <w:rFonts w:cs="Arial"/>
          <w:szCs w:val="24"/>
        </w:rPr>
        <w:t xml:space="preserve">the </w:t>
      </w:r>
      <w:r w:rsidR="00F25681">
        <w:rPr>
          <w:rFonts w:cs="Arial"/>
          <w:szCs w:val="24"/>
        </w:rPr>
        <w:t xml:space="preserve">family members of a </w:t>
      </w:r>
      <w:r w:rsidR="00B85DC6">
        <w:rPr>
          <w:rFonts w:cs="Arial"/>
          <w:szCs w:val="24"/>
        </w:rPr>
        <w:t>murder victim</w:t>
      </w:r>
      <w:r w:rsidR="00F25681">
        <w:rPr>
          <w:rFonts w:cs="Arial"/>
          <w:szCs w:val="24"/>
        </w:rPr>
        <w:t xml:space="preserve"> </w:t>
      </w:r>
      <w:r w:rsidR="00B85DC6">
        <w:rPr>
          <w:rFonts w:cs="Arial"/>
          <w:szCs w:val="24"/>
        </w:rPr>
        <w:t xml:space="preserve">could suffer emotional shock upon learning of such unlawful death, and this chapter will consider whether </w:t>
      </w:r>
      <w:r w:rsidR="004F41F5">
        <w:rPr>
          <w:rFonts w:cs="Arial"/>
          <w:szCs w:val="24"/>
        </w:rPr>
        <w:t>survivors of family slaying and/or their family members may institute proceedings to claim damages for emotional shock suffered as a result of the unlawful killing</w:t>
      </w:r>
      <w:r w:rsidR="004B3B87">
        <w:rPr>
          <w:rFonts w:cs="Arial"/>
          <w:szCs w:val="24"/>
        </w:rPr>
        <w:t>,</w:t>
      </w:r>
      <w:r w:rsidR="004F41F5">
        <w:rPr>
          <w:rFonts w:cs="Arial"/>
          <w:szCs w:val="24"/>
        </w:rPr>
        <w:t xml:space="preserve"> in effect extending the application of </w:t>
      </w:r>
      <w:r w:rsidR="004F41F5">
        <w:rPr>
          <w:rFonts w:cs="Arial"/>
          <w:i/>
          <w:iCs/>
          <w:szCs w:val="24"/>
        </w:rPr>
        <w:t>de bloedige hand</w:t>
      </w:r>
      <w:r w:rsidR="004F41F5">
        <w:rPr>
          <w:rFonts w:cs="Arial"/>
          <w:szCs w:val="24"/>
        </w:rPr>
        <w:t xml:space="preserve"> to the law of delict, or in the very least</w:t>
      </w:r>
      <w:r w:rsidR="004B3B87">
        <w:rPr>
          <w:rFonts w:cs="Arial"/>
          <w:szCs w:val="24"/>
        </w:rPr>
        <w:t>,</w:t>
      </w:r>
      <w:r w:rsidR="004F41F5">
        <w:rPr>
          <w:rFonts w:cs="Arial"/>
          <w:szCs w:val="24"/>
        </w:rPr>
        <w:t xml:space="preserve"> considering the ripple effect that </w:t>
      </w:r>
      <w:r w:rsidR="004F41F5">
        <w:rPr>
          <w:rFonts w:cs="Arial"/>
          <w:i/>
          <w:iCs/>
          <w:szCs w:val="24"/>
        </w:rPr>
        <w:t>de bloedige hand</w:t>
      </w:r>
      <w:r w:rsidR="004F41F5">
        <w:rPr>
          <w:rFonts w:cs="Arial"/>
          <w:szCs w:val="24"/>
        </w:rPr>
        <w:t xml:space="preserve"> can have in the law of delict.</w:t>
      </w:r>
    </w:p>
    <w:p w14:paraId="41C5F2E4" w14:textId="77777777" w:rsidR="002D1DA3" w:rsidRPr="00E40443" w:rsidRDefault="002D1DA3" w:rsidP="00C5627E">
      <w:pPr>
        <w:autoSpaceDE w:val="0"/>
        <w:autoSpaceDN w:val="0"/>
        <w:adjustRightInd w:val="0"/>
        <w:rPr>
          <w:rFonts w:cs="Arial"/>
          <w:szCs w:val="24"/>
        </w:rPr>
      </w:pPr>
    </w:p>
    <w:p w14:paraId="15767E07" w14:textId="0B635F52" w:rsidR="002977D8" w:rsidRPr="00E40443" w:rsidRDefault="00092A3A" w:rsidP="00C5627E">
      <w:pPr>
        <w:pStyle w:val="Heading2"/>
        <w:numPr>
          <w:ilvl w:val="1"/>
          <w:numId w:val="22"/>
        </w:numPr>
        <w:ind w:left="567" w:hanging="567"/>
        <w:rPr>
          <w:b w:val="0"/>
          <w:bCs/>
          <w:szCs w:val="24"/>
        </w:rPr>
      </w:pPr>
      <w:bookmarkStart w:id="49" w:name="_Toc191216295"/>
      <w:r w:rsidRPr="00E40443">
        <w:rPr>
          <w:bCs/>
          <w:szCs w:val="24"/>
        </w:rPr>
        <w:t>Overview o</w:t>
      </w:r>
      <w:r w:rsidR="004B3B87">
        <w:rPr>
          <w:bCs/>
          <w:szCs w:val="24"/>
        </w:rPr>
        <w:t>f</w:t>
      </w:r>
      <w:r w:rsidRPr="00E40443">
        <w:rPr>
          <w:bCs/>
          <w:szCs w:val="24"/>
        </w:rPr>
        <w:t xml:space="preserve"> delictual claims</w:t>
      </w:r>
      <w:bookmarkEnd w:id="49"/>
    </w:p>
    <w:p w14:paraId="7DCD8E08" w14:textId="6D72D2F7" w:rsidR="002977D8" w:rsidRPr="00E40443" w:rsidRDefault="002977D8" w:rsidP="00C5627E">
      <w:pPr>
        <w:rPr>
          <w:rFonts w:cs="Arial"/>
          <w:szCs w:val="24"/>
        </w:rPr>
      </w:pPr>
      <w:r w:rsidRPr="00E40443">
        <w:rPr>
          <w:rFonts w:cs="Arial"/>
          <w:szCs w:val="24"/>
        </w:rPr>
        <w:t>A delict is described as “a wrongful and culpable act which has a harmful consequence”,</w:t>
      </w:r>
      <w:r w:rsidRPr="00E40443">
        <w:rPr>
          <w:rStyle w:val="FootnoteReference"/>
          <w:rFonts w:cs="Arial"/>
          <w:szCs w:val="24"/>
        </w:rPr>
        <w:footnoteReference w:id="392"/>
      </w:r>
      <w:r w:rsidRPr="00E40443">
        <w:rPr>
          <w:rFonts w:cs="Arial"/>
          <w:szCs w:val="24"/>
        </w:rPr>
        <w:t xml:space="preserve"> requiring some loss or damage to be suffered, for which the law avails compensation. Damage is defined as “the detrimental impact upon any patrimonial or personal interest deemed worthy of protection by the law”</w:t>
      </w:r>
      <w:r w:rsidRPr="00E40443">
        <w:rPr>
          <w:rStyle w:val="FootnoteReference"/>
          <w:rFonts w:cs="Arial"/>
          <w:szCs w:val="24"/>
        </w:rPr>
        <w:footnoteReference w:id="393"/>
      </w:r>
      <w:r w:rsidRPr="00E40443">
        <w:rPr>
          <w:rFonts w:cs="Arial"/>
          <w:szCs w:val="24"/>
        </w:rPr>
        <w:t xml:space="preserve"> resulting from an uncertain damage-causing event.</w:t>
      </w:r>
      <w:r w:rsidRPr="00E40443">
        <w:rPr>
          <w:rStyle w:val="FootnoteReference"/>
          <w:rFonts w:cs="Arial"/>
          <w:szCs w:val="24"/>
        </w:rPr>
        <w:footnoteReference w:id="394"/>
      </w:r>
      <w:r w:rsidR="00225FD6" w:rsidRPr="00E40443">
        <w:rPr>
          <w:rFonts w:cs="Arial"/>
          <w:szCs w:val="24"/>
        </w:rPr>
        <w:t xml:space="preserve"> It thus serves to determine a person is liable for the damage suffered by another, i.e.</w:t>
      </w:r>
      <w:r w:rsidR="004B3B87">
        <w:rPr>
          <w:rFonts w:cs="Arial"/>
          <w:szCs w:val="24"/>
        </w:rPr>
        <w:t>,</w:t>
      </w:r>
      <w:r w:rsidR="00225FD6" w:rsidRPr="00E40443">
        <w:rPr>
          <w:rFonts w:cs="Arial"/>
          <w:szCs w:val="24"/>
        </w:rPr>
        <w:t xml:space="preserve"> when he is obliged to bear the damage.</w:t>
      </w:r>
      <w:r w:rsidR="00225FD6" w:rsidRPr="00E40443">
        <w:rPr>
          <w:rStyle w:val="FootnoteReference"/>
          <w:rFonts w:cs="Arial"/>
          <w:szCs w:val="24"/>
        </w:rPr>
        <w:footnoteReference w:id="395"/>
      </w:r>
    </w:p>
    <w:p w14:paraId="7BFB157C" w14:textId="1A7D0420" w:rsidR="002977D8" w:rsidRPr="00E40443" w:rsidRDefault="00000C97" w:rsidP="00C5627E">
      <w:pPr>
        <w:rPr>
          <w:rFonts w:cs="Arial"/>
          <w:szCs w:val="24"/>
        </w:rPr>
      </w:pPr>
      <w:r w:rsidRPr="00E40443">
        <w:rPr>
          <w:rFonts w:cs="Arial"/>
          <w:szCs w:val="24"/>
        </w:rPr>
        <w:t>It is well known that damages are awarded for injuries that were caused as the direct, natural, or reasonable result of the wrongful act.</w:t>
      </w:r>
      <w:r w:rsidRPr="00E40443">
        <w:rPr>
          <w:rStyle w:val="FootnoteReference"/>
          <w:rFonts w:cs="Arial"/>
          <w:szCs w:val="24"/>
        </w:rPr>
        <w:footnoteReference w:id="396"/>
      </w:r>
      <w:r w:rsidRPr="00E40443">
        <w:rPr>
          <w:rFonts w:cs="Arial"/>
          <w:szCs w:val="24"/>
        </w:rPr>
        <w:t xml:space="preserve"> </w:t>
      </w:r>
      <w:r w:rsidR="002D637C">
        <w:rPr>
          <w:rFonts w:cs="Arial"/>
          <w:szCs w:val="24"/>
        </w:rPr>
        <w:t>Courts have developed the g</w:t>
      </w:r>
      <w:r w:rsidR="002977D8" w:rsidRPr="00E40443">
        <w:rPr>
          <w:rFonts w:cs="Arial"/>
          <w:szCs w:val="24"/>
        </w:rPr>
        <w:t xml:space="preserve">eneral principles of delictual liability </w:t>
      </w:r>
      <w:r w:rsidR="002D637C">
        <w:rPr>
          <w:rFonts w:cs="Arial"/>
          <w:szCs w:val="24"/>
        </w:rPr>
        <w:t xml:space="preserve">in cases of </w:t>
      </w:r>
      <w:r w:rsidR="002977D8" w:rsidRPr="00E40443">
        <w:rPr>
          <w:rFonts w:cs="Arial"/>
          <w:szCs w:val="24"/>
        </w:rPr>
        <w:t xml:space="preserve">emotional shock </w:t>
      </w:r>
      <w:r w:rsidR="002D637C">
        <w:rPr>
          <w:rFonts w:cs="Arial"/>
          <w:szCs w:val="24"/>
        </w:rPr>
        <w:t xml:space="preserve">by </w:t>
      </w:r>
      <w:r w:rsidR="002977D8" w:rsidRPr="00E40443">
        <w:rPr>
          <w:rFonts w:cs="Arial"/>
          <w:szCs w:val="24"/>
        </w:rPr>
        <w:t>using the yardstick of “reasonable foreseeability”.</w:t>
      </w:r>
      <w:r w:rsidR="002977D8" w:rsidRPr="00E40443">
        <w:rPr>
          <w:rStyle w:val="FootnoteReference"/>
          <w:rFonts w:cs="Arial"/>
          <w:szCs w:val="24"/>
        </w:rPr>
        <w:footnoteReference w:id="397"/>
      </w:r>
      <w:r w:rsidR="002977D8" w:rsidRPr="00E40443">
        <w:rPr>
          <w:rFonts w:cs="Arial"/>
          <w:szCs w:val="24"/>
        </w:rPr>
        <w:t xml:space="preserve"> There is, however, no need to foresee the exact nature and </w:t>
      </w:r>
      <w:r w:rsidR="002977D8" w:rsidRPr="00E40443">
        <w:rPr>
          <w:rFonts w:cs="Arial"/>
          <w:szCs w:val="24"/>
        </w:rPr>
        <w:lastRenderedPageBreak/>
        <w:t>extent, nor the precise manner of causing the harm; it is sufficient that merely a specific consequence must be foreseeable.</w:t>
      </w:r>
      <w:r w:rsidR="002977D8" w:rsidRPr="00E40443">
        <w:rPr>
          <w:rStyle w:val="FootnoteReference"/>
          <w:rFonts w:cs="Arial"/>
          <w:szCs w:val="24"/>
        </w:rPr>
        <w:footnoteReference w:id="398"/>
      </w:r>
      <w:r w:rsidR="002977D8" w:rsidRPr="00E40443">
        <w:rPr>
          <w:rFonts w:cs="Arial"/>
          <w:szCs w:val="24"/>
        </w:rPr>
        <w:t xml:space="preserve"> Foresight of a mere possibility of harm will not suffice.</w:t>
      </w:r>
      <w:r w:rsidR="002977D8" w:rsidRPr="00E40443">
        <w:rPr>
          <w:rStyle w:val="FootnoteReference"/>
          <w:rFonts w:cs="Arial"/>
          <w:szCs w:val="24"/>
        </w:rPr>
        <w:footnoteReference w:id="399"/>
      </w:r>
    </w:p>
    <w:p w14:paraId="770336F6" w14:textId="7376BE01" w:rsidR="008A2FA4" w:rsidRDefault="002D637C" w:rsidP="00C5627E">
      <w:pPr>
        <w:rPr>
          <w:rFonts w:cs="Arial"/>
          <w:szCs w:val="24"/>
        </w:rPr>
      </w:pPr>
      <w:r>
        <w:rPr>
          <w:rFonts w:cs="Arial"/>
          <w:szCs w:val="24"/>
        </w:rPr>
        <w:t>It is trite that all the elements of a civil claim have to be proven on a balance of probabilities, failing which</w:t>
      </w:r>
      <w:r w:rsidR="004B3B87">
        <w:rPr>
          <w:rFonts w:cs="Arial"/>
          <w:szCs w:val="24"/>
        </w:rPr>
        <w:t>,</w:t>
      </w:r>
      <w:r>
        <w:rPr>
          <w:rFonts w:cs="Arial"/>
          <w:szCs w:val="24"/>
        </w:rPr>
        <w:t xml:space="preserve"> the order will not be granted, and it appears as if </w:t>
      </w:r>
      <w:r w:rsidR="004B3B87">
        <w:rPr>
          <w:rFonts w:cs="Arial"/>
          <w:szCs w:val="24"/>
        </w:rPr>
        <w:t>c</w:t>
      </w:r>
      <w:r>
        <w:rPr>
          <w:rFonts w:cs="Arial"/>
          <w:szCs w:val="24"/>
        </w:rPr>
        <w:t xml:space="preserve">ourts </w:t>
      </w:r>
      <w:r w:rsidR="00422C09">
        <w:rPr>
          <w:rFonts w:cs="Arial"/>
          <w:szCs w:val="24"/>
        </w:rPr>
        <w:t>have overcome their initial reluctance to grant claims for emotional shock on less stringent requirements.</w:t>
      </w:r>
      <w:r w:rsidR="00422C09">
        <w:rPr>
          <w:rStyle w:val="FootnoteReference"/>
          <w:rFonts w:cs="Arial"/>
          <w:szCs w:val="24"/>
        </w:rPr>
        <w:footnoteReference w:id="400"/>
      </w:r>
      <w:r w:rsidR="002800C5">
        <w:rPr>
          <w:rFonts w:cs="Arial"/>
          <w:szCs w:val="24"/>
        </w:rPr>
        <w:t xml:space="preserve"> One should however not lose sight of the generalised civil law limitations.</w:t>
      </w:r>
    </w:p>
    <w:p w14:paraId="015933F5" w14:textId="758128B2" w:rsidR="004E1332" w:rsidRPr="00E40443" w:rsidRDefault="0061519C" w:rsidP="00C5627E">
      <w:pPr>
        <w:rPr>
          <w:rFonts w:cs="Arial"/>
          <w:szCs w:val="24"/>
        </w:rPr>
      </w:pPr>
      <w:r>
        <w:rPr>
          <w:rFonts w:cs="Arial"/>
          <w:szCs w:val="24"/>
        </w:rPr>
        <w:t xml:space="preserve"> </w:t>
      </w:r>
    </w:p>
    <w:p w14:paraId="21C5E22E" w14:textId="6EE60E7E" w:rsidR="00DF352C" w:rsidRPr="00E40443" w:rsidRDefault="00092A3A" w:rsidP="00C5627E">
      <w:pPr>
        <w:pStyle w:val="Heading2"/>
        <w:numPr>
          <w:ilvl w:val="1"/>
          <w:numId w:val="22"/>
        </w:numPr>
        <w:ind w:left="567" w:hanging="567"/>
        <w:rPr>
          <w:b w:val="0"/>
          <w:bCs/>
          <w:szCs w:val="24"/>
        </w:rPr>
      </w:pPr>
      <w:bookmarkStart w:id="50" w:name="_Toc191216296"/>
      <w:r>
        <w:rPr>
          <w:bCs/>
          <w:szCs w:val="24"/>
        </w:rPr>
        <w:t xml:space="preserve">Limiting factors: </w:t>
      </w:r>
      <w:r w:rsidRPr="00E40443">
        <w:rPr>
          <w:bCs/>
          <w:szCs w:val="24"/>
        </w:rPr>
        <w:t>“</w:t>
      </w:r>
      <w:r>
        <w:rPr>
          <w:bCs/>
          <w:szCs w:val="24"/>
        </w:rPr>
        <w:t>o</w:t>
      </w:r>
      <w:r w:rsidRPr="00E40443">
        <w:rPr>
          <w:bCs/>
          <w:szCs w:val="24"/>
        </w:rPr>
        <w:t>nce-</w:t>
      </w:r>
      <w:r>
        <w:rPr>
          <w:bCs/>
          <w:szCs w:val="24"/>
        </w:rPr>
        <w:t>a</w:t>
      </w:r>
      <w:r w:rsidRPr="00E40443">
        <w:rPr>
          <w:bCs/>
          <w:szCs w:val="24"/>
        </w:rPr>
        <w:t>nd-</w:t>
      </w:r>
      <w:r>
        <w:rPr>
          <w:bCs/>
          <w:szCs w:val="24"/>
        </w:rPr>
        <w:t>f</w:t>
      </w:r>
      <w:r w:rsidRPr="00E40443">
        <w:rPr>
          <w:bCs/>
          <w:szCs w:val="24"/>
        </w:rPr>
        <w:t>or-</w:t>
      </w:r>
      <w:r>
        <w:rPr>
          <w:bCs/>
          <w:szCs w:val="24"/>
        </w:rPr>
        <w:t>a</w:t>
      </w:r>
      <w:r w:rsidRPr="00E40443">
        <w:rPr>
          <w:bCs/>
          <w:szCs w:val="24"/>
        </w:rPr>
        <w:t xml:space="preserve">ll” </w:t>
      </w:r>
      <w:r>
        <w:rPr>
          <w:bCs/>
          <w:szCs w:val="24"/>
        </w:rPr>
        <w:t>r</w:t>
      </w:r>
      <w:r w:rsidRPr="00E40443">
        <w:rPr>
          <w:bCs/>
          <w:szCs w:val="24"/>
        </w:rPr>
        <w:t xml:space="preserve">ule </w:t>
      </w:r>
      <w:r>
        <w:rPr>
          <w:bCs/>
          <w:szCs w:val="24"/>
        </w:rPr>
        <w:t>and prescription</w:t>
      </w:r>
      <w:bookmarkEnd w:id="50"/>
    </w:p>
    <w:p w14:paraId="1661EE02" w14:textId="3320F078" w:rsidR="003F487F" w:rsidRPr="00E40443" w:rsidRDefault="00640240" w:rsidP="00C5627E">
      <w:pPr>
        <w:rPr>
          <w:szCs w:val="24"/>
        </w:rPr>
      </w:pPr>
      <w:r w:rsidRPr="00E40443">
        <w:rPr>
          <w:szCs w:val="24"/>
        </w:rPr>
        <w:t xml:space="preserve">In terms of the above rule, a </w:t>
      </w:r>
      <w:r w:rsidR="0017030F">
        <w:rPr>
          <w:szCs w:val="24"/>
        </w:rPr>
        <w:t>p</w:t>
      </w:r>
      <w:r w:rsidRPr="00E40443">
        <w:rPr>
          <w:szCs w:val="24"/>
        </w:rPr>
        <w:t>laintiff “must claim damages for all damage … based on a single cause of action”</w:t>
      </w:r>
      <w:r w:rsidR="00B4682E" w:rsidRPr="00E40443">
        <w:rPr>
          <w:szCs w:val="24"/>
        </w:rPr>
        <w:t xml:space="preserve"> </w:t>
      </w:r>
      <w:r w:rsidR="002800C5">
        <w:rPr>
          <w:szCs w:val="24"/>
        </w:rPr>
        <w:t xml:space="preserve">simultaneously </w:t>
      </w:r>
      <w:r w:rsidR="00B4682E" w:rsidRPr="00E40443">
        <w:rPr>
          <w:szCs w:val="24"/>
        </w:rPr>
        <w:t xml:space="preserve">for various practical reasons. </w:t>
      </w:r>
      <w:r w:rsidR="002800C5">
        <w:rPr>
          <w:szCs w:val="24"/>
        </w:rPr>
        <w:t xml:space="preserve">Here are </w:t>
      </w:r>
      <w:r w:rsidR="003F487F" w:rsidRPr="00E40443">
        <w:rPr>
          <w:szCs w:val="24"/>
        </w:rPr>
        <w:t>a few practical examples</w:t>
      </w:r>
      <w:r w:rsidR="0057575A" w:rsidRPr="00E40443">
        <w:rPr>
          <w:rStyle w:val="FootnoteReference"/>
          <w:szCs w:val="24"/>
        </w:rPr>
        <w:footnoteReference w:id="401"/>
      </w:r>
      <w:r w:rsidR="003F487F" w:rsidRPr="00E40443">
        <w:rPr>
          <w:szCs w:val="24"/>
        </w:rPr>
        <w:t xml:space="preserve"> pertaining to causes of action. For the sake of simplicity, the parties to the set of facts are A and B, married with two children X and Y. D and E are their neighbours and friends. </w:t>
      </w:r>
    </w:p>
    <w:p w14:paraId="3CDBDCED" w14:textId="40643A29" w:rsidR="003F487F" w:rsidRPr="00E40443" w:rsidRDefault="0057575A" w:rsidP="00C5627E">
      <w:pPr>
        <w:rPr>
          <w:szCs w:val="24"/>
        </w:rPr>
      </w:pPr>
      <w:r w:rsidRPr="00E40443">
        <w:rPr>
          <w:szCs w:val="24"/>
        </w:rPr>
        <w:t xml:space="preserve">While under the influence of intoxicating liquor, </w:t>
      </w:r>
      <w:r w:rsidR="009B1430" w:rsidRPr="00E40443">
        <w:rPr>
          <w:szCs w:val="24"/>
        </w:rPr>
        <w:t>D initiates a quarrel with A. D loses his temper and assaults A. A feels humiliated, is in pain, and incurs medical costs. Although all three delictual actions are available, all these actions are founded on one event and the claim thus has to include the amount sought in respect of each action.</w:t>
      </w:r>
    </w:p>
    <w:p w14:paraId="7C82D845" w14:textId="7D4C0B23" w:rsidR="009B1430" w:rsidRPr="00E40443" w:rsidRDefault="009B1430" w:rsidP="00C5627E">
      <w:pPr>
        <w:rPr>
          <w:szCs w:val="24"/>
        </w:rPr>
      </w:pPr>
      <w:r w:rsidRPr="00E40443">
        <w:rPr>
          <w:szCs w:val="24"/>
        </w:rPr>
        <w:t xml:space="preserve">X and Y are riding their bicycles down the street, when E suddenly </w:t>
      </w:r>
      <w:r w:rsidR="0017030F">
        <w:rPr>
          <w:szCs w:val="24"/>
        </w:rPr>
        <w:t xml:space="preserve"> exits </w:t>
      </w:r>
      <w:r w:rsidRPr="00E40443">
        <w:rPr>
          <w:szCs w:val="24"/>
        </w:rPr>
        <w:t xml:space="preserve">her yard to get in the car with B and runs into them. X suffers minor injuries, while Y’s bicycle was damaged when he swerved out to avoid colliding with E, thereby colliding with B’s car. This constitutes a single cause of action, and the amounts for the bodily injuries, the damage to the bicycle and the damage to the car must be computed and instated simultaneously. </w:t>
      </w:r>
    </w:p>
    <w:p w14:paraId="1543CB32" w14:textId="6F676221" w:rsidR="00DC43EA" w:rsidRPr="00E40443" w:rsidRDefault="00DC43EA" w:rsidP="00C5627E">
      <w:pPr>
        <w:rPr>
          <w:szCs w:val="24"/>
        </w:rPr>
      </w:pPr>
      <w:r w:rsidRPr="00E40443">
        <w:rPr>
          <w:szCs w:val="24"/>
        </w:rPr>
        <w:t xml:space="preserve">After a fight with D, E gets in her car and speeds out of the driveway into the road, blissfully unaware that A and X are walking their dog. Both A and X are seriously injured and taken to hospital, where A succumbs to his injuries and dies three months later. Logic dictates that </w:t>
      </w:r>
      <w:r w:rsidRPr="00E40443">
        <w:rPr>
          <w:szCs w:val="24"/>
        </w:rPr>
        <w:lastRenderedPageBreak/>
        <w:t>there must be two causes of action, as the events that lead to the damages, occurred on two different dates, namely the date of the accident, and the date of death.</w:t>
      </w:r>
    </w:p>
    <w:p w14:paraId="7DD49927" w14:textId="654B44F0" w:rsidR="003F487F" w:rsidRDefault="00DC43EA" w:rsidP="00C5627E">
      <w:pPr>
        <w:rPr>
          <w:szCs w:val="24"/>
        </w:rPr>
      </w:pPr>
      <w:r w:rsidRPr="00E40443">
        <w:rPr>
          <w:szCs w:val="24"/>
        </w:rPr>
        <w:t xml:space="preserve">A negligently causes injury to E, who recovers damages from A. After the claim is finalised, </w:t>
      </w:r>
      <w:r w:rsidR="00006B6B" w:rsidRPr="00E40443">
        <w:rPr>
          <w:szCs w:val="24"/>
        </w:rPr>
        <w:t>further unforeseen complications arise from the initial injuries. E has no further claim against A and those expenses will have to be borne by her.</w:t>
      </w:r>
    </w:p>
    <w:p w14:paraId="2C855186" w14:textId="77A17C8C" w:rsidR="00527815" w:rsidRDefault="00527815" w:rsidP="00C5627E">
      <w:pPr>
        <w:rPr>
          <w:szCs w:val="24"/>
        </w:rPr>
      </w:pPr>
      <w:r>
        <w:rPr>
          <w:szCs w:val="24"/>
        </w:rPr>
        <w:t>It is trite that if a claim is not instituted within three years</w:t>
      </w:r>
      <w:r w:rsidR="00B22342">
        <w:rPr>
          <w:rStyle w:val="FootnoteReference"/>
          <w:szCs w:val="24"/>
        </w:rPr>
        <w:footnoteReference w:id="402"/>
      </w:r>
      <w:r>
        <w:rPr>
          <w:szCs w:val="24"/>
        </w:rPr>
        <w:t xml:space="preserve"> from the cause of action, such </w:t>
      </w:r>
      <w:r w:rsidR="00D546C4">
        <w:rPr>
          <w:szCs w:val="24"/>
        </w:rPr>
        <w:t>claim runs the risk of being extinguished by prescription.</w:t>
      </w:r>
      <w:r w:rsidR="00D546C4">
        <w:rPr>
          <w:rStyle w:val="FootnoteReference"/>
          <w:szCs w:val="24"/>
        </w:rPr>
        <w:footnoteReference w:id="403"/>
      </w:r>
      <w:r w:rsidR="00D627BD">
        <w:rPr>
          <w:szCs w:val="24"/>
        </w:rPr>
        <w:t xml:space="preserve"> Legislation further provides that a debt does not become due, and prescription does accordingly not start running, before the creditor becomes aware that a debt exists.</w:t>
      </w:r>
      <w:r w:rsidR="00D627BD">
        <w:rPr>
          <w:rStyle w:val="FootnoteReference"/>
          <w:szCs w:val="24"/>
        </w:rPr>
        <w:footnoteReference w:id="404"/>
      </w:r>
      <w:r w:rsidR="00583659">
        <w:rPr>
          <w:szCs w:val="24"/>
        </w:rPr>
        <w:t xml:space="preserve"> </w:t>
      </w:r>
      <w:r>
        <w:rPr>
          <w:szCs w:val="24"/>
        </w:rPr>
        <w:t>It is</w:t>
      </w:r>
      <w:r w:rsidR="00583659">
        <w:rPr>
          <w:szCs w:val="24"/>
        </w:rPr>
        <w:t xml:space="preserve"> worth mentioning that </w:t>
      </w:r>
      <w:r>
        <w:rPr>
          <w:szCs w:val="24"/>
        </w:rPr>
        <w:t>prescription “penalises unreasonable inaction, not inability to act.”</w:t>
      </w:r>
      <w:r>
        <w:rPr>
          <w:rStyle w:val="FootnoteReference"/>
          <w:szCs w:val="24"/>
        </w:rPr>
        <w:footnoteReference w:id="405"/>
      </w:r>
      <w:r>
        <w:rPr>
          <w:szCs w:val="24"/>
        </w:rPr>
        <w:t xml:space="preserve"> </w:t>
      </w:r>
    </w:p>
    <w:p w14:paraId="2CF4177E" w14:textId="0DECB487" w:rsidR="00583659" w:rsidRPr="00E40443" w:rsidRDefault="00583659" w:rsidP="00C5627E">
      <w:pPr>
        <w:rPr>
          <w:szCs w:val="24"/>
        </w:rPr>
      </w:pPr>
      <w:r>
        <w:rPr>
          <w:szCs w:val="24"/>
        </w:rPr>
        <w:t>Mukheib</w:t>
      </w:r>
      <w:r w:rsidR="00EF1E4C">
        <w:rPr>
          <w:szCs w:val="24"/>
        </w:rPr>
        <w:t>i</w:t>
      </w:r>
      <w:r>
        <w:rPr>
          <w:szCs w:val="24"/>
        </w:rPr>
        <w:t>r</w:t>
      </w:r>
      <w:r>
        <w:rPr>
          <w:rStyle w:val="FootnoteReference"/>
          <w:szCs w:val="24"/>
        </w:rPr>
        <w:footnoteReference w:id="406"/>
      </w:r>
      <w:r>
        <w:rPr>
          <w:szCs w:val="24"/>
        </w:rPr>
        <w:t xml:space="preserve"> indicates that a person who </w:t>
      </w:r>
      <w:r w:rsidR="009B6E62">
        <w:rPr>
          <w:szCs w:val="24"/>
        </w:rPr>
        <w:t xml:space="preserve">suffers from a psychological condition </w:t>
      </w:r>
      <w:r w:rsidR="002800C5">
        <w:rPr>
          <w:szCs w:val="24"/>
        </w:rPr>
        <w:t xml:space="preserve">which </w:t>
      </w:r>
      <w:r>
        <w:rPr>
          <w:szCs w:val="24"/>
        </w:rPr>
        <w:t xml:space="preserve">either prevented or seriously inhibited </w:t>
      </w:r>
      <w:r w:rsidR="002800C5">
        <w:rPr>
          <w:szCs w:val="24"/>
        </w:rPr>
        <w:t xml:space="preserve">them </w:t>
      </w:r>
      <w:r>
        <w:rPr>
          <w:szCs w:val="24"/>
        </w:rPr>
        <w:t>from instituting legal proceeding</w:t>
      </w:r>
      <w:r w:rsidR="009B6E62">
        <w:rPr>
          <w:szCs w:val="24"/>
        </w:rPr>
        <w:t>s is not by default barred from claiming damages from the wrongdoer, as prescription starts running only once the victim becomes aware that the wrongdoer’s conduct is blameworthy.</w:t>
      </w:r>
    </w:p>
    <w:p w14:paraId="5227A926" w14:textId="77777777" w:rsidR="00640240" w:rsidRPr="00E40443" w:rsidRDefault="00640240" w:rsidP="00C5627E">
      <w:pPr>
        <w:rPr>
          <w:szCs w:val="24"/>
        </w:rPr>
      </w:pPr>
    </w:p>
    <w:p w14:paraId="6F4E3420" w14:textId="3004B982" w:rsidR="002977D8" w:rsidRPr="00E40443" w:rsidRDefault="00092A3A" w:rsidP="00C5627E">
      <w:pPr>
        <w:pStyle w:val="Heading2"/>
        <w:numPr>
          <w:ilvl w:val="1"/>
          <w:numId w:val="22"/>
        </w:numPr>
        <w:ind w:left="567" w:hanging="567"/>
        <w:rPr>
          <w:b w:val="0"/>
          <w:bCs/>
          <w:szCs w:val="24"/>
        </w:rPr>
      </w:pPr>
      <w:bookmarkStart w:id="51" w:name="_Toc191216297"/>
      <w:r w:rsidRPr="00E40443">
        <w:rPr>
          <w:bCs/>
          <w:szCs w:val="24"/>
        </w:rPr>
        <w:t>Who may claim delictual damages?</w:t>
      </w:r>
      <w:bookmarkEnd w:id="51"/>
    </w:p>
    <w:p w14:paraId="4A330A55" w14:textId="1A4989A2" w:rsidR="004F2121" w:rsidRPr="00E40443" w:rsidRDefault="004F2121" w:rsidP="00C5627E">
      <w:pPr>
        <w:rPr>
          <w:rFonts w:cs="Arial"/>
          <w:szCs w:val="24"/>
        </w:rPr>
      </w:pPr>
      <w:r w:rsidRPr="00E40443">
        <w:rPr>
          <w:rFonts w:cs="Arial"/>
          <w:szCs w:val="24"/>
        </w:rPr>
        <w:t>It is trite that both depend</w:t>
      </w:r>
      <w:r w:rsidR="0042753A">
        <w:rPr>
          <w:rFonts w:cs="Arial"/>
          <w:szCs w:val="24"/>
        </w:rPr>
        <w:t>a</w:t>
      </w:r>
      <w:r w:rsidRPr="00E40443">
        <w:rPr>
          <w:rFonts w:cs="Arial"/>
          <w:szCs w:val="24"/>
        </w:rPr>
        <w:t>nts and non-depend</w:t>
      </w:r>
      <w:r w:rsidR="0042753A">
        <w:rPr>
          <w:rFonts w:cs="Arial"/>
          <w:szCs w:val="24"/>
        </w:rPr>
        <w:t>a</w:t>
      </w:r>
      <w:r w:rsidRPr="00E40443">
        <w:rPr>
          <w:rFonts w:cs="Arial"/>
          <w:szCs w:val="24"/>
        </w:rPr>
        <w:t xml:space="preserve">nts can institute a claim for damage </w:t>
      </w:r>
      <w:r w:rsidR="002800C5">
        <w:rPr>
          <w:rFonts w:cs="Arial"/>
          <w:szCs w:val="24"/>
        </w:rPr>
        <w:t xml:space="preserve">resulting from </w:t>
      </w:r>
      <w:r w:rsidRPr="00E40443">
        <w:rPr>
          <w:rFonts w:cs="Arial"/>
          <w:szCs w:val="24"/>
        </w:rPr>
        <w:t>injury or death to another person.</w:t>
      </w:r>
      <w:r w:rsidRPr="00E40443">
        <w:rPr>
          <w:rStyle w:val="FootnoteReference"/>
          <w:rFonts w:cs="Arial"/>
          <w:szCs w:val="24"/>
        </w:rPr>
        <w:footnoteReference w:id="407"/>
      </w:r>
    </w:p>
    <w:p w14:paraId="5C0AAC1A" w14:textId="063D9197" w:rsidR="002977D8" w:rsidRPr="00E40443" w:rsidRDefault="0065356B" w:rsidP="00C5627E">
      <w:pPr>
        <w:rPr>
          <w:rFonts w:cs="Arial"/>
          <w:szCs w:val="24"/>
        </w:rPr>
      </w:pPr>
      <w:r>
        <w:rPr>
          <w:rFonts w:cs="Arial"/>
          <w:szCs w:val="24"/>
        </w:rPr>
        <w:t>According to common law, t</w:t>
      </w:r>
      <w:r w:rsidR="002977D8" w:rsidRPr="00E40443">
        <w:rPr>
          <w:rFonts w:cs="Arial"/>
          <w:szCs w:val="24"/>
        </w:rPr>
        <w:t>he depend</w:t>
      </w:r>
      <w:r w:rsidR="0042753A">
        <w:rPr>
          <w:rFonts w:cs="Arial"/>
          <w:szCs w:val="24"/>
        </w:rPr>
        <w:t>a</w:t>
      </w:r>
      <w:r w:rsidR="002977D8" w:rsidRPr="00E40443">
        <w:rPr>
          <w:rFonts w:cs="Arial"/>
          <w:szCs w:val="24"/>
        </w:rPr>
        <w:t>nts of a deceased person</w:t>
      </w:r>
      <w:r>
        <w:rPr>
          <w:rFonts w:cs="Arial"/>
          <w:szCs w:val="24"/>
        </w:rPr>
        <w:t xml:space="preserve">, and in particular </w:t>
      </w:r>
      <w:r w:rsidRPr="00E40443">
        <w:rPr>
          <w:rFonts w:cs="Arial"/>
          <w:szCs w:val="24"/>
        </w:rPr>
        <w:t>the surviving spouse(s)</w:t>
      </w:r>
      <w:r>
        <w:rPr>
          <w:rFonts w:cs="Arial"/>
          <w:szCs w:val="24"/>
        </w:rPr>
        <w:t>,</w:t>
      </w:r>
      <w:r>
        <w:rPr>
          <w:rStyle w:val="FootnoteReference"/>
          <w:rFonts w:cs="Arial"/>
          <w:szCs w:val="24"/>
        </w:rPr>
        <w:footnoteReference w:id="408"/>
      </w:r>
      <w:r>
        <w:rPr>
          <w:rFonts w:cs="Arial"/>
          <w:szCs w:val="24"/>
        </w:rPr>
        <w:t xml:space="preserve"> who suffer a loss of support as a result of such death, are entitled to </w:t>
      </w:r>
      <w:r w:rsidR="002977D8" w:rsidRPr="00E40443">
        <w:rPr>
          <w:rFonts w:cs="Arial"/>
          <w:szCs w:val="24"/>
        </w:rPr>
        <w:t xml:space="preserve">institute proceedings </w:t>
      </w:r>
      <w:r>
        <w:rPr>
          <w:rFonts w:cs="Arial"/>
          <w:szCs w:val="24"/>
        </w:rPr>
        <w:t>to recover same from the person who in an unlawful and culpable manner murdere</w:t>
      </w:r>
      <w:r w:rsidR="0017030F">
        <w:rPr>
          <w:rFonts w:cs="Arial"/>
          <w:szCs w:val="24"/>
        </w:rPr>
        <w:t>d</w:t>
      </w:r>
      <w:r>
        <w:rPr>
          <w:rFonts w:cs="Arial"/>
          <w:szCs w:val="24"/>
        </w:rPr>
        <w:t xml:space="preserve"> the deceased.</w:t>
      </w:r>
      <w:r w:rsidR="002977D8" w:rsidRPr="00E40443">
        <w:rPr>
          <w:rStyle w:val="FootnoteReference"/>
          <w:rFonts w:cs="Arial"/>
          <w:szCs w:val="24"/>
        </w:rPr>
        <w:footnoteReference w:id="409"/>
      </w:r>
      <w:r w:rsidR="002977D8" w:rsidRPr="00E40443">
        <w:rPr>
          <w:rFonts w:cs="Arial"/>
          <w:szCs w:val="24"/>
        </w:rPr>
        <w:t xml:space="preserve"> </w:t>
      </w:r>
      <w:r>
        <w:rPr>
          <w:rFonts w:cs="Arial"/>
          <w:szCs w:val="24"/>
        </w:rPr>
        <w:t>T</w:t>
      </w:r>
      <w:r w:rsidR="002977D8" w:rsidRPr="00E40443">
        <w:rPr>
          <w:rFonts w:cs="Arial"/>
          <w:szCs w:val="24"/>
        </w:rPr>
        <w:t>his</w:t>
      </w:r>
      <w:r>
        <w:rPr>
          <w:rFonts w:cs="Arial"/>
          <w:szCs w:val="24"/>
        </w:rPr>
        <w:t xml:space="preserve"> </w:t>
      </w:r>
      <w:r w:rsidR="002977D8" w:rsidRPr="00E40443">
        <w:rPr>
          <w:rFonts w:cs="Arial"/>
          <w:szCs w:val="24"/>
        </w:rPr>
        <w:t xml:space="preserve">action is </w:t>
      </w:r>
      <w:r>
        <w:rPr>
          <w:rFonts w:cs="Arial"/>
          <w:szCs w:val="24"/>
        </w:rPr>
        <w:t xml:space="preserve">in principle </w:t>
      </w:r>
      <w:r w:rsidR="002977D8" w:rsidRPr="00E40443">
        <w:rPr>
          <w:rFonts w:cs="Arial"/>
          <w:szCs w:val="24"/>
        </w:rPr>
        <w:t xml:space="preserve">available </w:t>
      </w:r>
      <w:r>
        <w:rPr>
          <w:rFonts w:cs="Arial"/>
          <w:szCs w:val="24"/>
        </w:rPr>
        <w:t xml:space="preserve">to every person who can prove </w:t>
      </w:r>
      <w:r w:rsidR="002977D8" w:rsidRPr="00E40443">
        <w:rPr>
          <w:rFonts w:cs="Arial"/>
          <w:szCs w:val="24"/>
        </w:rPr>
        <w:t>dependency on the deceased</w:t>
      </w:r>
      <w:r>
        <w:rPr>
          <w:rFonts w:cs="Arial"/>
          <w:szCs w:val="24"/>
        </w:rPr>
        <w:t>,</w:t>
      </w:r>
      <w:r w:rsidR="002977D8" w:rsidRPr="00E40443">
        <w:rPr>
          <w:rStyle w:val="FootnoteReference"/>
          <w:rFonts w:cs="Arial"/>
          <w:szCs w:val="24"/>
        </w:rPr>
        <w:footnoteReference w:id="410"/>
      </w:r>
      <w:r w:rsidR="002977D8" w:rsidRPr="00E40443">
        <w:rPr>
          <w:rFonts w:cs="Arial"/>
          <w:szCs w:val="24"/>
        </w:rPr>
        <w:t xml:space="preserve"> </w:t>
      </w:r>
      <w:r>
        <w:rPr>
          <w:rFonts w:cs="Arial"/>
          <w:szCs w:val="24"/>
        </w:rPr>
        <w:t xml:space="preserve">whether by </w:t>
      </w:r>
      <w:r w:rsidR="002977D8" w:rsidRPr="00E40443">
        <w:rPr>
          <w:rFonts w:cs="Arial"/>
          <w:szCs w:val="24"/>
        </w:rPr>
        <w:t>order</w:t>
      </w:r>
      <w:r w:rsidR="00C84801">
        <w:rPr>
          <w:rFonts w:cs="Arial"/>
          <w:szCs w:val="24"/>
        </w:rPr>
        <w:t xml:space="preserve"> of </w:t>
      </w:r>
      <w:r w:rsidR="0017030F">
        <w:rPr>
          <w:rFonts w:cs="Arial"/>
          <w:szCs w:val="24"/>
        </w:rPr>
        <w:t>c</w:t>
      </w:r>
      <w:r w:rsidR="00C84801">
        <w:rPr>
          <w:rFonts w:cs="Arial"/>
          <w:szCs w:val="24"/>
        </w:rPr>
        <w:t>ourt</w:t>
      </w:r>
      <w:r w:rsidR="002977D8" w:rsidRPr="00E40443">
        <w:rPr>
          <w:rFonts w:cs="Arial"/>
          <w:szCs w:val="24"/>
        </w:rPr>
        <w:t>,</w:t>
      </w:r>
      <w:r w:rsidR="002977D8" w:rsidRPr="00E40443">
        <w:rPr>
          <w:rStyle w:val="FootnoteReference"/>
          <w:rFonts w:cs="Arial"/>
          <w:szCs w:val="24"/>
        </w:rPr>
        <w:footnoteReference w:id="411"/>
      </w:r>
      <w:r w:rsidR="002977D8" w:rsidRPr="00E40443">
        <w:rPr>
          <w:rFonts w:cs="Arial"/>
          <w:szCs w:val="24"/>
        </w:rPr>
        <w:t xml:space="preserve"> </w:t>
      </w:r>
      <w:r>
        <w:rPr>
          <w:rFonts w:cs="Arial"/>
          <w:szCs w:val="24"/>
        </w:rPr>
        <w:t>or a defined relationship</w:t>
      </w:r>
      <w:r w:rsidR="002977D8" w:rsidRPr="00E40443">
        <w:rPr>
          <w:rFonts w:cs="Arial"/>
          <w:szCs w:val="24"/>
        </w:rPr>
        <w:t>.</w:t>
      </w:r>
      <w:r w:rsidR="002977D8" w:rsidRPr="00E40443">
        <w:rPr>
          <w:rStyle w:val="FootnoteReference"/>
          <w:rFonts w:cs="Arial"/>
          <w:szCs w:val="24"/>
        </w:rPr>
        <w:footnoteReference w:id="412"/>
      </w:r>
      <w:r w:rsidR="002A7CDA" w:rsidRPr="00E40443">
        <w:rPr>
          <w:rFonts w:cs="Arial"/>
          <w:szCs w:val="24"/>
        </w:rPr>
        <w:t xml:space="preserve"> This </w:t>
      </w:r>
      <w:r>
        <w:rPr>
          <w:rFonts w:cs="Arial"/>
          <w:szCs w:val="24"/>
        </w:rPr>
        <w:t xml:space="preserve">principle also finds </w:t>
      </w:r>
      <w:r w:rsidR="002A7CDA" w:rsidRPr="00E40443">
        <w:rPr>
          <w:rFonts w:cs="Arial"/>
          <w:szCs w:val="24"/>
        </w:rPr>
        <w:t xml:space="preserve">application </w:t>
      </w:r>
      <w:r>
        <w:rPr>
          <w:rFonts w:cs="Arial"/>
          <w:szCs w:val="24"/>
        </w:rPr>
        <w:t xml:space="preserve">where the </w:t>
      </w:r>
      <w:r w:rsidR="002A7CDA" w:rsidRPr="00E40443">
        <w:rPr>
          <w:rFonts w:cs="Arial"/>
          <w:szCs w:val="24"/>
        </w:rPr>
        <w:t>breadwinner</w:t>
      </w:r>
      <w:r>
        <w:rPr>
          <w:rFonts w:cs="Arial"/>
          <w:szCs w:val="24"/>
        </w:rPr>
        <w:t xml:space="preserve"> was injured</w:t>
      </w:r>
      <w:r w:rsidR="002A7CDA" w:rsidRPr="00E40443">
        <w:rPr>
          <w:rFonts w:cs="Arial"/>
          <w:szCs w:val="24"/>
        </w:rPr>
        <w:t>,</w:t>
      </w:r>
      <w:r w:rsidR="002A7CDA" w:rsidRPr="00E40443">
        <w:rPr>
          <w:rStyle w:val="FootnoteReference"/>
          <w:rFonts w:cs="Arial"/>
          <w:szCs w:val="24"/>
        </w:rPr>
        <w:footnoteReference w:id="413"/>
      </w:r>
      <w:r w:rsidR="002A7CDA" w:rsidRPr="00E40443">
        <w:rPr>
          <w:rFonts w:cs="Arial"/>
          <w:szCs w:val="24"/>
        </w:rPr>
        <w:t xml:space="preserve"> </w:t>
      </w:r>
      <w:r w:rsidR="002A7CDA" w:rsidRPr="00E40443">
        <w:rPr>
          <w:rFonts w:cs="Arial"/>
          <w:szCs w:val="24"/>
        </w:rPr>
        <w:lastRenderedPageBreak/>
        <w:t>on condition that the breadwinner is no longer able to support the dependants in the same way as before suffering the injuries.</w:t>
      </w:r>
    </w:p>
    <w:p w14:paraId="20795343" w14:textId="12EDDDCB" w:rsidR="002977D8" w:rsidRPr="00E40443" w:rsidRDefault="00271304" w:rsidP="00C5627E">
      <w:pPr>
        <w:rPr>
          <w:rFonts w:cs="Arial"/>
          <w:szCs w:val="24"/>
        </w:rPr>
      </w:pPr>
      <w:r>
        <w:rPr>
          <w:rFonts w:cs="Arial"/>
          <w:szCs w:val="24"/>
        </w:rPr>
        <w:t>According to Neethling &amp; Potgieter,</w:t>
      </w:r>
      <w:r>
        <w:rPr>
          <w:rStyle w:val="FootnoteReference"/>
          <w:rFonts w:cs="Arial"/>
          <w:szCs w:val="24"/>
        </w:rPr>
        <w:footnoteReference w:id="414"/>
      </w:r>
      <w:r>
        <w:rPr>
          <w:rFonts w:cs="Arial"/>
          <w:szCs w:val="24"/>
        </w:rPr>
        <w:t xml:space="preserve"> the </w:t>
      </w:r>
      <w:r w:rsidR="002977D8" w:rsidRPr="00E40443">
        <w:rPr>
          <w:rFonts w:cs="Arial"/>
          <w:szCs w:val="24"/>
        </w:rPr>
        <w:t xml:space="preserve">non-dependent persons </w:t>
      </w:r>
      <w:r>
        <w:rPr>
          <w:rFonts w:cs="Arial"/>
          <w:szCs w:val="24"/>
        </w:rPr>
        <w:t xml:space="preserve">who </w:t>
      </w:r>
      <w:r w:rsidR="00640120">
        <w:rPr>
          <w:rFonts w:cs="Arial"/>
          <w:szCs w:val="24"/>
        </w:rPr>
        <w:t xml:space="preserve">may claim </w:t>
      </w:r>
      <w:r>
        <w:rPr>
          <w:rFonts w:cs="Arial"/>
          <w:szCs w:val="24"/>
        </w:rPr>
        <w:t xml:space="preserve">from the </w:t>
      </w:r>
      <w:r w:rsidRPr="00E40443">
        <w:rPr>
          <w:rFonts w:cs="Arial"/>
          <w:szCs w:val="24"/>
        </w:rPr>
        <w:t>wrongdoer</w:t>
      </w:r>
      <w:r w:rsidR="002977D8" w:rsidRPr="00E40443">
        <w:rPr>
          <w:rFonts w:cs="Arial"/>
          <w:szCs w:val="24"/>
        </w:rPr>
        <w:t xml:space="preserve"> </w:t>
      </w:r>
      <w:r>
        <w:rPr>
          <w:rFonts w:cs="Arial"/>
          <w:szCs w:val="24"/>
        </w:rPr>
        <w:t xml:space="preserve">are </w:t>
      </w:r>
      <w:r w:rsidR="00640120">
        <w:rPr>
          <w:rFonts w:cs="Arial"/>
          <w:szCs w:val="24"/>
        </w:rPr>
        <w:t xml:space="preserve">the </w:t>
      </w:r>
      <w:r w:rsidR="002977D8" w:rsidRPr="00E40443">
        <w:rPr>
          <w:rFonts w:cs="Arial"/>
          <w:szCs w:val="24"/>
        </w:rPr>
        <w:t>executor of the estate</w:t>
      </w:r>
      <w:r w:rsidR="00640120">
        <w:rPr>
          <w:rFonts w:cs="Arial"/>
          <w:szCs w:val="24"/>
        </w:rPr>
        <w:t>,</w:t>
      </w:r>
      <w:r w:rsidR="00640120">
        <w:rPr>
          <w:rStyle w:val="FootnoteReference"/>
          <w:rFonts w:cs="Arial"/>
          <w:szCs w:val="24"/>
        </w:rPr>
        <w:footnoteReference w:id="415"/>
      </w:r>
      <w:r w:rsidR="002977D8" w:rsidRPr="00E40443">
        <w:rPr>
          <w:rFonts w:cs="Arial"/>
          <w:szCs w:val="24"/>
        </w:rPr>
        <w:t xml:space="preserve"> the immediate family of the deceased</w:t>
      </w:r>
      <w:r w:rsidR="00640120">
        <w:rPr>
          <w:rFonts w:cs="Arial"/>
          <w:szCs w:val="24"/>
        </w:rPr>
        <w:t>,</w:t>
      </w:r>
      <w:r w:rsidR="00640120">
        <w:rPr>
          <w:rStyle w:val="FootnoteReference"/>
          <w:rFonts w:cs="Arial"/>
          <w:szCs w:val="24"/>
        </w:rPr>
        <w:footnoteReference w:id="416"/>
      </w:r>
      <w:r w:rsidR="002977D8" w:rsidRPr="00E40443">
        <w:rPr>
          <w:rFonts w:cs="Arial"/>
          <w:szCs w:val="24"/>
        </w:rPr>
        <w:t xml:space="preserve"> </w:t>
      </w:r>
      <w:r w:rsidR="00640120">
        <w:rPr>
          <w:rFonts w:cs="Arial"/>
          <w:szCs w:val="24"/>
        </w:rPr>
        <w:t xml:space="preserve">and the </w:t>
      </w:r>
      <w:r>
        <w:rPr>
          <w:rFonts w:cs="Arial"/>
          <w:szCs w:val="24"/>
        </w:rPr>
        <w:t xml:space="preserve">individual tasked with </w:t>
      </w:r>
      <w:r w:rsidR="00640120">
        <w:rPr>
          <w:rFonts w:cs="Arial"/>
          <w:szCs w:val="24"/>
        </w:rPr>
        <w:t>support</w:t>
      </w:r>
      <w:r>
        <w:rPr>
          <w:rFonts w:cs="Arial"/>
          <w:szCs w:val="24"/>
        </w:rPr>
        <w:t>ing</w:t>
      </w:r>
      <w:r w:rsidR="00640120">
        <w:rPr>
          <w:rFonts w:cs="Arial"/>
          <w:szCs w:val="24"/>
        </w:rPr>
        <w:t xml:space="preserve"> the victim</w:t>
      </w:r>
      <w:r w:rsidR="00C87544" w:rsidRPr="00E40443">
        <w:rPr>
          <w:rFonts w:cs="Arial"/>
          <w:szCs w:val="24"/>
        </w:rPr>
        <w:t>.</w:t>
      </w:r>
      <w:r w:rsidR="00C87544" w:rsidRPr="00E40443">
        <w:rPr>
          <w:rStyle w:val="FootnoteReference"/>
          <w:rFonts w:cs="Arial"/>
          <w:szCs w:val="24"/>
        </w:rPr>
        <w:footnoteReference w:id="417"/>
      </w:r>
      <w:r w:rsidR="00C87544" w:rsidRPr="00E40443">
        <w:rPr>
          <w:rFonts w:cs="Arial"/>
          <w:szCs w:val="24"/>
        </w:rPr>
        <w:t xml:space="preserve"> </w:t>
      </w:r>
    </w:p>
    <w:p w14:paraId="56445B34" w14:textId="77777777" w:rsidR="002977D8" w:rsidRPr="00E40443" w:rsidRDefault="002977D8" w:rsidP="00C5627E">
      <w:pPr>
        <w:rPr>
          <w:rFonts w:cs="Arial"/>
          <w:szCs w:val="24"/>
        </w:rPr>
      </w:pPr>
    </w:p>
    <w:p w14:paraId="176BACEA" w14:textId="117C6F78" w:rsidR="002977D8" w:rsidRPr="00E40443" w:rsidRDefault="00092A3A" w:rsidP="00C5627E">
      <w:pPr>
        <w:pStyle w:val="Heading2"/>
        <w:numPr>
          <w:ilvl w:val="1"/>
          <w:numId w:val="22"/>
        </w:numPr>
        <w:ind w:left="567" w:hanging="567"/>
        <w:rPr>
          <w:b w:val="0"/>
          <w:bCs/>
          <w:szCs w:val="24"/>
        </w:rPr>
      </w:pPr>
      <w:bookmarkStart w:id="52" w:name="_Toc191216298"/>
      <w:r w:rsidRPr="00E40443">
        <w:rPr>
          <w:bCs/>
          <w:szCs w:val="24"/>
        </w:rPr>
        <w:t>What is emotional shock?</w:t>
      </w:r>
      <w:bookmarkEnd w:id="52"/>
    </w:p>
    <w:p w14:paraId="18D54A60" w14:textId="54FB5824" w:rsidR="002977D8" w:rsidRPr="00E40443" w:rsidRDefault="002977D8" w:rsidP="00C5627E">
      <w:pPr>
        <w:rPr>
          <w:rFonts w:cs="Arial"/>
          <w:szCs w:val="24"/>
        </w:rPr>
      </w:pPr>
      <w:r w:rsidRPr="00E40443">
        <w:rPr>
          <w:szCs w:val="24"/>
        </w:rPr>
        <w:t>The concept of “</w:t>
      </w:r>
      <w:r w:rsidR="0093628A">
        <w:rPr>
          <w:szCs w:val="24"/>
        </w:rPr>
        <w:t xml:space="preserve">emotional </w:t>
      </w:r>
      <w:r w:rsidRPr="00E40443">
        <w:rPr>
          <w:szCs w:val="24"/>
        </w:rPr>
        <w:t xml:space="preserve">shock” has been developed to include, amongst others, the concepts of “psychiatric injury”, “psychological legion”, “psychological trauma”, and “psychiatric disorder”. For a claim to </w:t>
      </w:r>
      <w:r w:rsidR="0093628A">
        <w:rPr>
          <w:szCs w:val="24"/>
        </w:rPr>
        <w:t>succeed</w:t>
      </w:r>
      <w:r w:rsidRPr="00E40443">
        <w:rPr>
          <w:szCs w:val="24"/>
        </w:rPr>
        <w:t xml:space="preserve">, </w:t>
      </w:r>
      <w:r w:rsidR="0093628A">
        <w:rPr>
          <w:szCs w:val="24"/>
        </w:rPr>
        <w:t xml:space="preserve">the alleged shock </w:t>
      </w:r>
      <w:r w:rsidRPr="00E40443">
        <w:rPr>
          <w:szCs w:val="24"/>
        </w:rPr>
        <w:t>must be supported by psychiatric evidence a</w:t>
      </w:r>
      <w:r w:rsidRPr="00E40443">
        <w:rPr>
          <w:rFonts w:cs="Arial"/>
          <w:szCs w:val="24"/>
        </w:rPr>
        <w:t>nd must result in psychiatric or psychological injuries.</w:t>
      </w:r>
      <w:r w:rsidRPr="00E40443">
        <w:rPr>
          <w:rStyle w:val="FootnoteReference"/>
          <w:rFonts w:cs="Arial"/>
          <w:szCs w:val="24"/>
        </w:rPr>
        <w:footnoteReference w:id="418"/>
      </w:r>
      <w:r w:rsidRPr="00E40443">
        <w:rPr>
          <w:rFonts w:cs="Arial"/>
          <w:szCs w:val="24"/>
        </w:rPr>
        <w:t xml:space="preserve"> </w:t>
      </w:r>
    </w:p>
    <w:p w14:paraId="440B248A" w14:textId="77777777" w:rsidR="00003CB7" w:rsidRDefault="002977D8" w:rsidP="00C5627E">
      <w:pPr>
        <w:rPr>
          <w:rFonts w:cs="Arial"/>
          <w:szCs w:val="24"/>
        </w:rPr>
      </w:pPr>
      <w:r w:rsidRPr="00E40443">
        <w:rPr>
          <w:rFonts w:cs="Arial"/>
          <w:szCs w:val="24"/>
        </w:rPr>
        <w:t xml:space="preserve">Emotional shock </w:t>
      </w:r>
      <w:r w:rsidR="00003CB7">
        <w:rPr>
          <w:rFonts w:cs="Arial"/>
          <w:szCs w:val="24"/>
        </w:rPr>
        <w:t xml:space="preserve">is a very broad term which </w:t>
      </w:r>
      <w:r w:rsidRPr="00E40443">
        <w:rPr>
          <w:rFonts w:cs="Arial"/>
          <w:szCs w:val="24"/>
        </w:rPr>
        <w:t>is described as “any recognisable harmful infringement of the brain and nervous system of a person”, “a sudden painful emotion or fright resulting from the awareness or observation of an unwelcome or disturbing event which causes unpleasant emotions such as fear, anxiety or grief”</w:t>
      </w:r>
      <w:r w:rsidR="00003CB7">
        <w:rPr>
          <w:rStyle w:val="FootnoteReference"/>
          <w:rFonts w:cs="Arial"/>
          <w:szCs w:val="24"/>
        </w:rPr>
        <w:footnoteReference w:id="419"/>
      </w:r>
      <w:r w:rsidR="00003CB7">
        <w:rPr>
          <w:rFonts w:cs="Arial"/>
          <w:szCs w:val="24"/>
        </w:rPr>
        <w:t xml:space="preserve"> which can be caused by fear for personal or material safety,</w:t>
      </w:r>
      <w:r w:rsidRPr="00E40443">
        <w:rPr>
          <w:rFonts w:cs="Arial"/>
          <w:szCs w:val="24"/>
        </w:rPr>
        <w:t xml:space="preserve"> </w:t>
      </w:r>
      <w:r w:rsidR="00003CB7">
        <w:rPr>
          <w:rFonts w:cs="Arial"/>
          <w:szCs w:val="24"/>
        </w:rPr>
        <w:t xml:space="preserve">witnessing a gruesome accident, or learning of the passing of or injury to someone with whom the recipient of the news had a close emotional relationship, </w:t>
      </w:r>
      <w:r w:rsidRPr="00E40443">
        <w:rPr>
          <w:rFonts w:cs="Arial"/>
          <w:szCs w:val="24"/>
        </w:rPr>
        <w:t xml:space="preserve">or </w:t>
      </w:r>
      <w:r w:rsidR="00003CB7">
        <w:rPr>
          <w:rFonts w:cs="Arial"/>
          <w:szCs w:val="24"/>
        </w:rPr>
        <w:t xml:space="preserve">even </w:t>
      </w:r>
      <w:r w:rsidRPr="00E40443">
        <w:rPr>
          <w:rFonts w:cs="Arial"/>
          <w:szCs w:val="24"/>
        </w:rPr>
        <w:t>“shock suffered by a person without necessarily personally sustaining personal injury”.</w:t>
      </w:r>
      <w:r w:rsidRPr="00E40443">
        <w:rPr>
          <w:rStyle w:val="FootnoteReference"/>
          <w:rFonts w:cs="Arial"/>
          <w:szCs w:val="24"/>
        </w:rPr>
        <w:footnoteReference w:id="420"/>
      </w:r>
      <w:r w:rsidR="00C14300" w:rsidRPr="00E40443">
        <w:rPr>
          <w:rFonts w:cs="Arial"/>
          <w:szCs w:val="24"/>
        </w:rPr>
        <w:t xml:space="preserve"> It is important to note that shock</w:t>
      </w:r>
      <w:r w:rsidR="0085220E" w:rsidRPr="00E40443">
        <w:rPr>
          <w:rFonts w:cs="Arial"/>
          <w:szCs w:val="24"/>
        </w:rPr>
        <w:t xml:space="preserve"> </w:t>
      </w:r>
      <w:r w:rsidR="00003CB7">
        <w:rPr>
          <w:rFonts w:cs="Arial"/>
          <w:szCs w:val="24"/>
        </w:rPr>
        <w:t>usually results from an emotional reaction</w:t>
      </w:r>
      <w:r w:rsidR="0085220E" w:rsidRPr="00E40443">
        <w:rPr>
          <w:rFonts w:cs="Arial"/>
          <w:szCs w:val="24"/>
        </w:rPr>
        <w:t>,</w:t>
      </w:r>
      <w:r w:rsidR="004A15A5" w:rsidRPr="00E40443">
        <w:rPr>
          <w:rStyle w:val="FootnoteReference"/>
          <w:rFonts w:cs="Arial"/>
          <w:szCs w:val="24"/>
        </w:rPr>
        <w:footnoteReference w:id="421"/>
      </w:r>
      <w:r w:rsidR="0085220E" w:rsidRPr="00E40443">
        <w:rPr>
          <w:rFonts w:cs="Arial"/>
          <w:szCs w:val="24"/>
        </w:rPr>
        <w:t xml:space="preserve"> and </w:t>
      </w:r>
      <w:r w:rsidR="00003CB7">
        <w:rPr>
          <w:rFonts w:cs="Arial"/>
          <w:szCs w:val="24"/>
        </w:rPr>
        <w:t xml:space="preserve">could result in </w:t>
      </w:r>
      <w:r w:rsidR="00C14300" w:rsidRPr="00E40443">
        <w:rPr>
          <w:rFonts w:cs="Arial"/>
          <w:szCs w:val="24"/>
        </w:rPr>
        <w:t xml:space="preserve">further mental </w:t>
      </w:r>
      <w:r w:rsidR="00003CB7">
        <w:rPr>
          <w:rFonts w:cs="Arial"/>
          <w:szCs w:val="24"/>
        </w:rPr>
        <w:t xml:space="preserve">suffering and associated illnesses </w:t>
      </w:r>
      <w:r w:rsidR="00C14300" w:rsidRPr="00E40443">
        <w:rPr>
          <w:rFonts w:cs="Arial"/>
          <w:szCs w:val="24"/>
        </w:rPr>
        <w:t>like anxiety, hysteria, insomnia, neuroses, and others.</w:t>
      </w:r>
      <w:r w:rsidR="00C14300" w:rsidRPr="00E40443">
        <w:rPr>
          <w:rStyle w:val="FootnoteReference"/>
          <w:rFonts w:cs="Arial"/>
          <w:szCs w:val="24"/>
        </w:rPr>
        <w:footnoteReference w:id="422"/>
      </w:r>
    </w:p>
    <w:p w14:paraId="5CFC9117" w14:textId="77777777" w:rsidR="008471ED" w:rsidRDefault="002977D8" w:rsidP="00C5627E">
      <w:pPr>
        <w:rPr>
          <w:szCs w:val="24"/>
        </w:rPr>
      </w:pPr>
      <w:r w:rsidRPr="00E40443">
        <w:rPr>
          <w:szCs w:val="24"/>
        </w:rPr>
        <w:t>The law differentiates between primary and secondary victims</w:t>
      </w:r>
      <w:r w:rsidR="008471ED">
        <w:rPr>
          <w:szCs w:val="24"/>
        </w:rPr>
        <w:t xml:space="preserve"> of emotional shock</w:t>
      </w:r>
      <w:r w:rsidRPr="00E40443">
        <w:rPr>
          <w:szCs w:val="24"/>
        </w:rPr>
        <w:t>.</w:t>
      </w:r>
    </w:p>
    <w:p w14:paraId="26837EAE" w14:textId="09EDFF68" w:rsidR="008524EC" w:rsidRDefault="002977D8" w:rsidP="00C5627E">
      <w:pPr>
        <w:rPr>
          <w:rFonts w:cs="Arial"/>
          <w:szCs w:val="24"/>
        </w:rPr>
      </w:pPr>
      <w:r w:rsidRPr="00E40443">
        <w:rPr>
          <w:szCs w:val="24"/>
        </w:rPr>
        <w:t xml:space="preserve">Primary victims </w:t>
      </w:r>
      <w:r w:rsidR="00A700D4">
        <w:rPr>
          <w:szCs w:val="24"/>
        </w:rPr>
        <w:t>a</w:t>
      </w:r>
      <w:r w:rsidRPr="00E40443">
        <w:rPr>
          <w:szCs w:val="24"/>
        </w:rPr>
        <w:t xml:space="preserve">re directly and personally involved in </w:t>
      </w:r>
      <w:r w:rsidR="00A700D4">
        <w:rPr>
          <w:szCs w:val="24"/>
        </w:rPr>
        <w:t>a</w:t>
      </w:r>
      <w:r w:rsidRPr="00E40443">
        <w:rPr>
          <w:szCs w:val="24"/>
        </w:rPr>
        <w:t xml:space="preserve"> traumatic experience, and the shock they suffer can be defined </w:t>
      </w:r>
      <w:r w:rsidRPr="00E40443">
        <w:rPr>
          <w:rFonts w:cs="Arial"/>
          <w:szCs w:val="24"/>
        </w:rPr>
        <w:t xml:space="preserve">as “any recognisable harmful infringement on the brain and </w:t>
      </w:r>
      <w:r w:rsidRPr="00E40443">
        <w:rPr>
          <w:rFonts w:cs="Arial"/>
          <w:szCs w:val="24"/>
        </w:rPr>
        <w:lastRenderedPageBreak/>
        <w:t>nervous system of a person”</w:t>
      </w:r>
      <w:r w:rsidRPr="00E40443">
        <w:rPr>
          <w:rStyle w:val="FootnoteReference"/>
          <w:rFonts w:cs="Arial"/>
          <w:szCs w:val="24"/>
        </w:rPr>
        <w:footnoteReference w:id="423"/>
      </w:r>
      <w:r w:rsidRPr="00E40443">
        <w:rPr>
          <w:rFonts w:cs="Arial"/>
          <w:szCs w:val="24"/>
        </w:rPr>
        <w:t xml:space="preserve"> or “a sudden, painful emotion or fright resulting from the realisation or perception of an unwelcome or disturbing event which brings about an unpleasant mental condition such as fear, anxiety or grief”.</w:t>
      </w:r>
      <w:r w:rsidRPr="00E40443">
        <w:rPr>
          <w:rStyle w:val="FootnoteReference"/>
          <w:rFonts w:cs="Arial"/>
          <w:szCs w:val="24"/>
        </w:rPr>
        <w:footnoteReference w:id="424"/>
      </w:r>
      <w:r w:rsidRPr="00E40443">
        <w:rPr>
          <w:rFonts w:cs="Arial"/>
          <w:szCs w:val="24"/>
        </w:rPr>
        <w:t xml:space="preserve"> </w:t>
      </w:r>
      <w:r w:rsidR="00A700D4">
        <w:rPr>
          <w:rFonts w:cs="Arial"/>
          <w:szCs w:val="24"/>
        </w:rPr>
        <w:t xml:space="preserve">In simple terms, these are the people that the incident happens to, for example </w:t>
      </w:r>
      <w:r w:rsidR="008524EC">
        <w:rPr>
          <w:rFonts w:cs="Arial"/>
          <w:szCs w:val="24"/>
        </w:rPr>
        <w:t>the owner of or a passenger in a vehicle which is involved in a collision, the parent of a small child</w:t>
      </w:r>
      <w:r w:rsidR="00A700D4">
        <w:rPr>
          <w:rFonts w:cs="Arial"/>
          <w:szCs w:val="24"/>
        </w:rPr>
        <w:t xml:space="preserve"> </w:t>
      </w:r>
      <w:r w:rsidR="008524EC">
        <w:rPr>
          <w:rFonts w:cs="Arial"/>
          <w:szCs w:val="24"/>
        </w:rPr>
        <w:t>witnessing how another vehicle collides with the vehicle in which such child is</w:t>
      </w:r>
      <w:r w:rsidR="00A700D4">
        <w:rPr>
          <w:rFonts w:cs="Arial"/>
          <w:szCs w:val="24"/>
        </w:rPr>
        <w:t xml:space="preserve"> tucked in their car seat</w:t>
      </w:r>
      <w:r w:rsidR="008524EC">
        <w:rPr>
          <w:rFonts w:cs="Arial"/>
          <w:szCs w:val="24"/>
        </w:rPr>
        <w:t xml:space="preserve">, and a pedestrian in the immediate vicinity of a motor vehicle that had gotten out of control. </w:t>
      </w:r>
      <w:r w:rsidR="00A700D4">
        <w:rPr>
          <w:rFonts w:cs="Arial"/>
          <w:szCs w:val="24"/>
        </w:rPr>
        <w:t>Other examples include being pointed at with a firearm,</w:t>
      </w:r>
      <w:r w:rsidR="00C548CD">
        <w:rPr>
          <w:rFonts w:cs="Arial"/>
          <w:szCs w:val="24"/>
        </w:rPr>
        <w:t xml:space="preserve"> being assaulted,</w:t>
      </w:r>
      <w:r w:rsidR="00A700D4">
        <w:rPr>
          <w:rFonts w:cs="Arial"/>
          <w:szCs w:val="24"/>
        </w:rPr>
        <w:t xml:space="preserve"> being in the close vicinity of an unexpected explosion, and being attacked by a dog.</w:t>
      </w:r>
    </w:p>
    <w:p w14:paraId="0BCEE4A5" w14:textId="0C69066C" w:rsidR="002977D8" w:rsidRPr="00E40443" w:rsidRDefault="002977D8" w:rsidP="00C5627E">
      <w:pPr>
        <w:rPr>
          <w:rFonts w:cs="Arial"/>
          <w:szCs w:val="24"/>
        </w:rPr>
      </w:pPr>
      <w:r w:rsidRPr="00E40443">
        <w:rPr>
          <w:rFonts w:cs="Arial"/>
          <w:szCs w:val="24"/>
        </w:rPr>
        <w:t xml:space="preserve">A secondary victim </w:t>
      </w:r>
      <w:r w:rsidR="00A700D4">
        <w:rPr>
          <w:rFonts w:cs="Arial"/>
          <w:szCs w:val="24"/>
        </w:rPr>
        <w:t xml:space="preserve">is someone </w:t>
      </w:r>
      <w:r w:rsidR="00C548CD">
        <w:rPr>
          <w:rFonts w:cs="Arial"/>
          <w:szCs w:val="24"/>
        </w:rPr>
        <w:t xml:space="preserve">with in a close relationship with one of the aforementioned victims, </w:t>
      </w:r>
      <w:r w:rsidR="00A700D4">
        <w:rPr>
          <w:rFonts w:cs="Arial"/>
          <w:szCs w:val="24"/>
        </w:rPr>
        <w:t xml:space="preserve">who </w:t>
      </w:r>
      <w:r w:rsidR="00C548CD">
        <w:rPr>
          <w:szCs w:val="24"/>
        </w:rPr>
        <w:t xml:space="preserve">learns </w:t>
      </w:r>
      <w:r w:rsidRPr="00E40443">
        <w:rPr>
          <w:szCs w:val="24"/>
        </w:rPr>
        <w:t xml:space="preserve">about the incident </w:t>
      </w:r>
      <w:r w:rsidR="00C548CD">
        <w:rPr>
          <w:szCs w:val="24"/>
        </w:rPr>
        <w:t xml:space="preserve">and its impact </w:t>
      </w:r>
      <w:r w:rsidRPr="00E40443">
        <w:rPr>
          <w:szCs w:val="24"/>
        </w:rPr>
        <w:t>after it had occurred</w:t>
      </w:r>
      <w:r w:rsidR="00C548CD">
        <w:rPr>
          <w:szCs w:val="24"/>
        </w:rPr>
        <w:t>.</w:t>
      </w:r>
      <w:r w:rsidRPr="00E40443">
        <w:rPr>
          <w:rStyle w:val="FootnoteReference"/>
          <w:rFonts w:cs="Arial"/>
          <w:szCs w:val="24"/>
        </w:rPr>
        <w:footnoteReference w:id="425"/>
      </w:r>
      <w:r w:rsidR="00A700D4">
        <w:rPr>
          <w:rFonts w:cs="Arial"/>
          <w:szCs w:val="24"/>
        </w:rPr>
        <w:t xml:space="preserve"> Examples would include the owner of a motor vehicle being informed of a collision, </w:t>
      </w:r>
      <w:r w:rsidR="00C548CD">
        <w:rPr>
          <w:rFonts w:cs="Arial"/>
          <w:szCs w:val="24"/>
        </w:rPr>
        <w:t>a parent learning that their child was injured or killed in a collision, a wife learning of her husband’s murder, being informed that there was an unexpected explosion and that the loved one is unaccounted for, and witnessing a dog attack.</w:t>
      </w:r>
    </w:p>
    <w:p w14:paraId="1B263774" w14:textId="23EE7D56" w:rsidR="002977D8" w:rsidRPr="00E40443" w:rsidRDefault="002977D8" w:rsidP="00C5627E">
      <w:pPr>
        <w:rPr>
          <w:rFonts w:cs="Arial"/>
          <w:szCs w:val="24"/>
        </w:rPr>
      </w:pPr>
      <w:r w:rsidRPr="00E40443">
        <w:rPr>
          <w:rFonts w:cs="Arial"/>
          <w:szCs w:val="24"/>
        </w:rPr>
        <w:t>It has been proposed that the definition of emotional shock should be amended to read “a prolonged, serious, negative emotional reaction to an unexpected disturbing event resulting in psychological or psychiatric injuries which must be proven”, as this does not distinguish, nor does it require distinction between primary and secondary victims.</w:t>
      </w:r>
      <w:r w:rsidRPr="00E40443">
        <w:rPr>
          <w:rStyle w:val="FootnoteReference"/>
          <w:rFonts w:cs="Arial"/>
          <w:szCs w:val="24"/>
        </w:rPr>
        <w:footnoteReference w:id="426"/>
      </w:r>
    </w:p>
    <w:p w14:paraId="4FD706F1" w14:textId="77777777" w:rsidR="00D41FED" w:rsidRPr="00E40443" w:rsidRDefault="00D41FED" w:rsidP="00C5627E">
      <w:pPr>
        <w:rPr>
          <w:rFonts w:cs="Arial"/>
          <w:szCs w:val="24"/>
        </w:rPr>
      </w:pPr>
    </w:p>
    <w:p w14:paraId="79936FB8" w14:textId="7022196D" w:rsidR="002977D8" w:rsidRPr="00E40443" w:rsidRDefault="00092A3A" w:rsidP="00C5627E">
      <w:pPr>
        <w:pStyle w:val="Heading2"/>
        <w:numPr>
          <w:ilvl w:val="1"/>
          <w:numId w:val="22"/>
        </w:numPr>
        <w:ind w:left="567" w:hanging="567"/>
        <w:rPr>
          <w:b w:val="0"/>
          <w:bCs/>
          <w:szCs w:val="24"/>
        </w:rPr>
      </w:pPr>
      <w:bookmarkStart w:id="53" w:name="_Toc191216299"/>
      <w:r w:rsidRPr="00E40443">
        <w:rPr>
          <w:bCs/>
          <w:szCs w:val="24"/>
        </w:rPr>
        <w:t>What are the requirements for emotional shock?</w:t>
      </w:r>
      <w:bookmarkEnd w:id="53"/>
    </w:p>
    <w:p w14:paraId="14353416" w14:textId="1B9F2950" w:rsidR="00B15586" w:rsidRDefault="00B15586" w:rsidP="00B15586">
      <w:r>
        <w:t xml:space="preserve">The </w:t>
      </w:r>
      <w:r w:rsidR="004E4D65">
        <w:t>c</w:t>
      </w:r>
      <w:r>
        <w:t>ourts’ initial hesitation to grant a claim for emotional damages if shock was not accompanied by physical symptoms</w:t>
      </w:r>
      <w:r>
        <w:rPr>
          <w:rStyle w:val="FootnoteReference"/>
          <w:rFonts w:cs="Arial"/>
          <w:szCs w:val="24"/>
        </w:rPr>
        <w:footnoteReference w:id="427"/>
      </w:r>
      <w:r w:rsidRPr="00F1534F">
        <w:t xml:space="preserve"> </w:t>
      </w:r>
      <w:r>
        <w:t>was severely criticised</w:t>
      </w:r>
      <w:r w:rsidR="004E4D65">
        <w:t xml:space="preserve"> in</w:t>
      </w:r>
      <w:r>
        <w:t xml:space="preserve"> </w:t>
      </w:r>
      <w:r>
        <w:rPr>
          <w:rFonts w:cs="Arial"/>
          <w:i/>
          <w:iCs/>
          <w:szCs w:val="24"/>
        </w:rPr>
        <w:t>Bester v Commercial Union Versekeringsmaatskappy van SA Bpk</w:t>
      </w:r>
      <w:r>
        <w:rPr>
          <w:rFonts w:cs="Arial"/>
          <w:szCs w:val="24"/>
        </w:rPr>
        <w:t>,</w:t>
      </w:r>
      <w:r>
        <w:rPr>
          <w:rStyle w:val="FootnoteReference"/>
          <w:i/>
          <w:iCs/>
        </w:rPr>
        <w:t xml:space="preserve"> </w:t>
      </w:r>
      <w:r>
        <w:rPr>
          <w:rStyle w:val="FootnoteReference"/>
          <w:i/>
          <w:iCs/>
        </w:rPr>
        <w:footnoteReference w:id="428"/>
      </w:r>
      <w:r>
        <w:t xml:space="preserve"> which judgment paved the way for the application of reasonable foreseeability as yardstick to determine whether a victim of emotional shock is entitled to such a claim when the Court held it as logically indefensible that a victim of </w:t>
      </w:r>
      <w:r>
        <w:lastRenderedPageBreak/>
        <w:t>emotional shock be deprived of an award for damages merely because the symptoms suffered by such person do not coincide with the general perception of illness.</w:t>
      </w:r>
      <w:r>
        <w:rPr>
          <w:rStyle w:val="FootnoteReference"/>
          <w:rFonts w:cs="Arial"/>
          <w:szCs w:val="24"/>
        </w:rPr>
        <w:footnoteReference w:id="429"/>
      </w:r>
    </w:p>
    <w:p w14:paraId="581BDDC6" w14:textId="41D6E168" w:rsidR="00B15586" w:rsidRDefault="00B15586" w:rsidP="00B15586">
      <w:pPr>
        <w:rPr>
          <w:rFonts w:cs="Arial"/>
          <w:szCs w:val="24"/>
        </w:rPr>
      </w:pPr>
      <w:r>
        <w:t xml:space="preserve">Although a successful claim depends on </w:t>
      </w:r>
      <w:r>
        <w:rPr>
          <w:rFonts w:cs="Arial"/>
          <w:szCs w:val="24"/>
        </w:rPr>
        <w:t xml:space="preserve">proving an </w:t>
      </w:r>
      <w:r w:rsidRPr="00326C2D">
        <w:rPr>
          <w:rFonts w:cs="Arial"/>
          <w:szCs w:val="24"/>
        </w:rPr>
        <w:t>identifiable psychiatric injury</w:t>
      </w:r>
      <w:r>
        <w:rPr>
          <w:rFonts w:cs="Arial"/>
          <w:szCs w:val="24"/>
        </w:rPr>
        <w:t>,</w:t>
      </w:r>
      <w:r w:rsidRPr="00326C2D">
        <w:rPr>
          <w:rStyle w:val="FootnoteReference"/>
          <w:rFonts w:cs="Arial"/>
          <w:szCs w:val="24"/>
        </w:rPr>
        <w:footnoteReference w:id="430"/>
      </w:r>
      <w:r>
        <w:rPr>
          <w:rFonts w:cs="Arial"/>
          <w:szCs w:val="24"/>
        </w:rPr>
        <w:t xml:space="preserve"> it is not affected by who, or what, is threatened.</w:t>
      </w:r>
      <w:r w:rsidRPr="0050340E">
        <w:rPr>
          <w:rStyle w:val="FootnoteReference"/>
          <w:rFonts w:cs="Arial"/>
          <w:szCs w:val="24"/>
        </w:rPr>
        <w:footnoteReference w:id="431"/>
      </w:r>
      <w:r>
        <w:rPr>
          <w:rFonts w:cs="Arial"/>
          <w:szCs w:val="24"/>
        </w:rPr>
        <w:t xml:space="preserve"> Although there was a strong emotional bond or close relationship between the secondary victim and the injured or deceased person in each of the cases where compensation was awarded to such victim, such awards are not restricted to cases where the secondary victim was a blood- or close relative of the injure</w:t>
      </w:r>
      <w:r w:rsidR="004E4D65">
        <w:rPr>
          <w:rFonts w:cs="Arial"/>
          <w:szCs w:val="24"/>
        </w:rPr>
        <w:t>d</w:t>
      </w:r>
      <w:r>
        <w:rPr>
          <w:rFonts w:cs="Arial"/>
          <w:szCs w:val="24"/>
        </w:rPr>
        <w:t xml:space="preserve"> or deceased person</w:t>
      </w:r>
      <w:r w:rsidR="004E4D65">
        <w:rPr>
          <w:rFonts w:cs="Arial"/>
          <w:szCs w:val="24"/>
        </w:rPr>
        <w:t>.</w:t>
      </w:r>
      <w:r w:rsidRPr="00326C2D">
        <w:rPr>
          <w:rStyle w:val="FootnoteReference"/>
          <w:rFonts w:cs="Arial"/>
          <w:szCs w:val="24"/>
        </w:rPr>
        <w:footnoteReference w:id="432"/>
      </w:r>
    </w:p>
    <w:p w14:paraId="4ECBFE96" w14:textId="746653AD" w:rsidR="002F4207" w:rsidRPr="00326C2D" w:rsidRDefault="002F4207" w:rsidP="00B15586">
      <w:pPr>
        <w:rPr>
          <w:rFonts w:cs="Arial"/>
          <w:szCs w:val="24"/>
        </w:rPr>
      </w:pPr>
      <w:r>
        <w:rPr>
          <w:rFonts w:cs="Arial"/>
          <w:szCs w:val="24"/>
        </w:rPr>
        <w:t>It thus appears that the only requirements for a successful claim for damages founded on emotional shock are the presence of a detectable psychiatric injury,</w:t>
      </w:r>
      <w:r>
        <w:rPr>
          <w:rStyle w:val="FootnoteReference"/>
          <w:rFonts w:cs="Arial"/>
          <w:szCs w:val="24"/>
        </w:rPr>
        <w:footnoteReference w:id="433"/>
      </w:r>
      <w:r>
        <w:rPr>
          <w:rFonts w:cs="Arial"/>
          <w:szCs w:val="24"/>
        </w:rPr>
        <w:t xml:space="preserve"> which injury was caused by the wrongdoer’s failure to reasonably foresee possibility</w:t>
      </w:r>
      <w:r>
        <w:rPr>
          <w:rStyle w:val="FootnoteReference"/>
          <w:rFonts w:cs="Arial"/>
          <w:szCs w:val="24"/>
        </w:rPr>
        <w:footnoteReference w:id="434"/>
      </w:r>
      <w:r>
        <w:rPr>
          <w:rFonts w:cs="Arial"/>
          <w:szCs w:val="24"/>
        </w:rPr>
        <w:t xml:space="preserve"> that his conduct would cause what the victim perceives</w:t>
      </w:r>
      <w:r w:rsidR="00C37B6C">
        <w:rPr>
          <w:rStyle w:val="FootnoteReference"/>
          <w:rFonts w:cs="Arial"/>
          <w:szCs w:val="24"/>
        </w:rPr>
        <w:footnoteReference w:id="435"/>
      </w:r>
      <w:r>
        <w:rPr>
          <w:rFonts w:cs="Arial"/>
          <w:szCs w:val="24"/>
        </w:rPr>
        <w:t xml:space="preserve"> as harm.</w:t>
      </w:r>
    </w:p>
    <w:p w14:paraId="09A2E74A" w14:textId="27DCED60" w:rsidR="00E40443" w:rsidRPr="00E40443" w:rsidRDefault="00E40443" w:rsidP="00C5627E">
      <w:pPr>
        <w:rPr>
          <w:rFonts w:cs="Arial"/>
          <w:szCs w:val="24"/>
        </w:rPr>
      </w:pPr>
    </w:p>
    <w:p w14:paraId="6FFEC15A" w14:textId="4846533E" w:rsidR="002977D8" w:rsidRPr="00E40443" w:rsidRDefault="00092A3A" w:rsidP="00C5627E">
      <w:pPr>
        <w:pStyle w:val="Heading2"/>
        <w:numPr>
          <w:ilvl w:val="1"/>
          <w:numId w:val="22"/>
        </w:numPr>
        <w:ind w:left="567" w:hanging="567"/>
        <w:rPr>
          <w:b w:val="0"/>
          <w:bCs/>
          <w:szCs w:val="24"/>
        </w:rPr>
      </w:pPr>
      <w:bookmarkStart w:id="54" w:name="_Toc191216300"/>
      <w:r w:rsidRPr="00E40443">
        <w:rPr>
          <w:bCs/>
          <w:szCs w:val="24"/>
        </w:rPr>
        <w:t>Delictual claims for emotional shock in practice</w:t>
      </w:r>
      <w:bookmarkEnd w:id="54"/>
      <w:r w:rsidRPr="00E40443">
        <w:rPr>
          <w:bCs/>
          <w:szCs w:val="24"/>
        </w:rPr>
        <w:t xml:space="preserve"> </w:t>
      </w:r>
    </w:p>
    <w:p w14:paraId="023F10DA" w14:textId="69D49BC6" w:rsidR="00B15586" w:rsidRDefault="00B15586" w:rsidP="006E174D">
      <w:r>
        <w:t xml:space="preserve">Damages resulting from emotional shock are available in cases of negligent driving, in instances where other acts of violence were </w:t>
      </w:r>
      <w:r w:rsidR="002F4207">
        <w:t xml:space="preserve">committed, </w:t>
      </w:r>
      <w:r>
        <w:t xml:space="preserve">and even </w:t>
      </w:r>
      <w:r w:rsidRPr="0050340E">
        <w:t>claim</w:t>
      </w:r>
      <w:r>
        <w:t>s</w:t>
      </w:r>
      <w:r w:rsidRPr="0050340E">
        <w:t xml:space="preserve"> in terms of the </w:t>
      </w:r>
      <w:r w:rsidRPr="0050340E">
        <w:rPr>
          <w:i/>
          <w:iCs/>
        </w:rPr>
        <w:t>actio de pauperie</w:t>
      </w:r>
      <w:r w:rsidRPr="0050340E">
        <w:t>.</w:t>
      </w:r>
      <w:r w:rsidRPr="0050340E">
        <w:rPr>
          <w:rStyle w:val="FootnoteReference"/>
        </w:rPr>
        <w:footnoteReference w:id="436"/>
      </w:r>
      <w:r>
        <w:t xml:space="preserve"> </w:t>
      </w:r>
    </w:p>
    <w:p w14:paraId="6A18E092" w14:textId="53B5D87D" w:rsidR="006E174D" w:rsidRPr="006E174D" w:rsidRDefault="006E174D" w:rsidP="006E174D">
      <w:pPr>
        <w:rPr>
          <w:szCs w:val="24"/>
        </w:rPr>
      </w:pPr>
      <w:r w:rsidRPr="006E174D">
        <w:rPr>
          <w:szCs w:val="24"/>
        </w:rPr>
        <w:t>Ahmed and Steynberg</w:t>
      </w:r>
      <w:r w:rsidRPr="00E40443">
        <w:rPr>
          <w:rStyle w:val="FootnoteReference"/>
          <w:szCs w:val="24"/>
        </w:rPr>
        <w:footnoteReference w:id="437"/>
      </w:r>
      <w:r w:rsidRPr="006E174D">
        <w:rPr>
          <w:szCs w:val="24"/>
        </w:rPr>
        <w:t xml:space="preserve"> state that persons who suffer from emotional shock could theoretically claim for both patrimonial and non-patrimonial damages, the former being in respect of medical and related expenses, while the latter encompasses pain and suffering, shock, and loss of amenities of life.</w:t>
      </w:r>
      <w:r w:rsidR="00B30EC5">
        <w:rPr>
          <w:szCs w:val="24"/>
        </w:rPr>
        <w:t xml:space="preserve"> The aim of an award for damages is to compensate the victim of emotional shock for the impairment of their health.</w:t>
      </w:r>
      <w:r w:rsidR="00B30EC5">
        <w:rPr>
          <w:rStyle w:val="FootnoteReference"/>
          <w:szCs w:val="24"/>
        </w:rPr>
        <w:footnoteReference w:id="438"/>
      </w:r>
    </w:p>
    <w:p w14:paraId="4A9EDE4F" w14:textId="64C0AAC1" w:rsidR="002977D8" w:rsidRDefault="002977D8" w:rsidP="00C5627E">
      <w:r>
        <w:lastRenderedPageBreak/>
        <w:t>Hereunder follow</w:t>
      </w:r>
      <w:r w:rsidR="006E174D">
        <w:t>s</w:t>
      </w:r>
      <w:r>
        <w:t xml:space="preserve"> a short summary of the outcome of some cases, listed in chronological order.</w:t>
      </w:r>
      <w:r w:rsidR="00853EE9">
        <w:t xml:space="preserve"> </w:t>
      </w:r>
    </w:p>
    <w:p w14:paraId="6D085479" w14:textId="77777777" w:rsidR="00F82895" w:rsidRPr="00326C2D" w:rsidRDefault="00F82895" w:rsidP="00C5627E"/>
    <w:p w14:paraId="7A7C58C5" w14:textId="1021032C" w:rsidR="006E174D" w:rsidRDefault="009A222E" w:rsidP="00477BFA">
      <w:pPr>
        <w:pStyle w:val="Heading2"/>
        <w:numPr>
          <w:ilvl w:val="2"/>
          <w:numId w:val="22"/>
        </w:numPr>
        <w:ind w:left="851" w:hanging="851"/>
        <w:rPr>
          <w:rFonts w:cs="Arial"/>
          <w:i/>
          <w:iCs/>
          <w:szCs w:val="24"/>
        </w:rPr>
      </w:pPr>
      <w:bookmarkStart w:id="55" w:name="_Toc191216301"/>
      <w:r>
        <w:rPr>
          <w:rFonts w:cs="Arial"/>
          <w:i/>
          <w:iCs/>
          <w:szCs w:val="24"/>
        </w:rPr>
        <w:t>Cases in which damages were not awarded</w:t>
      </w:r>
      <w:bookmarkEnd w:id="55"/>
    </w:p>
    <w:p w14:paraId="183DC51C" w14:textId="67A0F41B" w:rsidR="009A222E" w:rsidRPr="009A222E" w:rsidRDefault="009A222E" w:rsidP="009A222E">
      <w:r>
        <w:t>Courts were initially reluctant to award a claim for damages based on emotional shock, for want of imminent danger on the part of the claimant</w:t>
      </w:r>
      <w:r w:rsidRPr="00121559">
        <w:t xml:space="preserve">. </w:t>
      </w:r>
      <w:r w:rsidR="00121559" w:rsidRPr="00121559">
        <w:t xml:space="preserve">As far as it relates to the below cases </w:t>
      </w:r>
      <w:r w:rsidR="00BE1DAF">
        <w:t xml:space="preserve"> of </w:t>
      </w:r>
      <w:r w:rsidR="00BE1DAF" w:rsidRPr="00B8019E">
        <w:rPr>
          <w:rFonts w:cs="Arial"/>
          <w:i/>
          <w:iCs/>
          <w:szCs w:val="24"/>
        </w:rPr>
        <w:t>Waring &amp; Gillow Ltd. v Sherborne</w:t>
      </w:r>
      <w:r w:rsidR="00BE1DAF" w:rsidRPr="00BE1DAF">
        <w:rPr>
          <w:rStyle w:val="FootnoteReference"/>
          <w:rFonts w:cs="Arial"/>
          <w:szCs w:val="24"/>
        </w:rPr>
        <w:footnoteReference w:id="439"/>
      </w:r>
      <w:r w:rsidR="00BE1DAF" w:rsidRPr="00BE1DAF">
        <w:rPr>
          <w:rFonts w:cs="Arial"/>
          <w:szCs w:val="24"/>
        </w:rPr>
        <w:t xml:space="preserve"> and</w:t>
      </w:r>
      <w:r w:rsidR="00BE1DAF">
        <w:rPr>
          <w:rFonts w:cs="Arial"/>
          <w:i/>
          <w:iCs/>
          <w:szCs w:val="24"/>
        </w:rPr>
        <w:t xml:space="preserve"> </w:t>
      </w:r>
      <w:r w:rsidR="00BE1DAF">
        <w:rPr>
          <w:i/>
          <w:iCs/>
        </w:rPr>
        <w:t>Mulder v South British Insurance Co</w:t>
      </w:r>
      <w:r w:rsidR="00C753E7">
        <w:rPr>
          <w:i/>
          <w:iCs/>
        </w:rPr>
        <w:t>,</w:t>
      </w:r>
      <w:r w:rsidR="00BE1DAF">
        <w:rPr>
          <w:rStyle w:val="FootnoteReference"/>
          <w:i/>
          <w:iCs/>
        </w:rPr>
        <w:footnoteReference w:id="440"/>
      </w:r>
      <w:r w:rsidR="00BE1DAF">
        <w:rPr>
          <w:rFonts w:cs="Arial"/>
          <w:szCs w:val="24"/>
        </w:rPr>
        <w:t xml:space="preserve"> </w:t>
      </w:r>
      <w:r w:rsidR="00121559" w:rsidRPr="00121559">
        <w:t>b</w:t>
      </w:r>
      <w:r w:rsidRPr="00121559">
        <w:t xml:space="preserve">oth Ms Sherborne and Ms Mulder’s </w:t>
      </w:r>
      <w:r w:rsidR="00E979AA">
        <w:t>claims were turned down on this ground.</w:t>
      </w:r>
    </w:p>
    <w:p w14:paraId="466C3FBA" w14:textId="5548F6DF" w:rsidR="00464629" w:rsidRDefault="00905CAE" w:rsidP="009A222E">
      <w:pPr>
        <w:rPr>
          <w:rFonts w:cs="Arial"/>
          <w:szCs w:val="24"/>
        </w:rPr>
      </w:pPr>
      <w:r>
        <w:rPr>
          <w:rFonts w:cs="Arial"/>
          <w:szCs w:val="24"/>
        </w:rPr>
        <w:t>Ms Sherborne’s husband lost his life in the course and scope of his employment</w:t>
      </w:r>
      <w:r w:rsidR="00464629">
        <w:rPr>
          <w:rFonts w:cs="Arial"/>
          <w:szCs w:val="24"/>
        </w:rPr>
        <w:t xml:space="preserve">, and she was initially awarded damages </w:t>
      </w:r>
      <w:r>
        <w:rPr>
          <w:rFonts w:cs="Arial"/>
          <w:szCs w:val="24"/>
        </w:rPr>
        <w:t xml:space="preserve">resulting from the shock </w:t>
      </w:r>
      <w:r w:rsidR="00464629">
        <w:rPr>
          <w:rFonts w:cs="Arial"/>
          <w:szCs w:val="24"/>
        </w:rPr>
        <w:t xml:space="preserve">suffered after being informed of her </w:t>
      </w:r>
      <w:r>
        <w:rPr>
          <w:rFonts w:cs="Arial"/>
          <w:szCs w:val="24"/>
        </w:rPr>
        <w:t>husband’s death</w:t>
      </w:r>
      <w:r w:rsidR="00464629">
        <w:rPr>
          <w:rFonts w:cs="Arial"/>
          <w:szCs w:val="24"/>
        </w:rPr>
        <w:t>. On appeal, such award was set aside for being too remote on the basis that Ms Sherborne had merely learned of the death</w:t>
      </w:r>
      <w:r w:rsidR="00B85F5D">
        <w:rPr>
          <w:rFonts w:cs="Arial"/>
          <w:szCs w:val="24"/>
        </w:rPr>
        <w:t xml:space="preserve"> from a newspaper</w:t>
      </w:r>
      <w:r w:rsidR="00B85F5D">
        <w:rPr>
          <w:rStyle w:val="FootnoteReference"/>
          <w:rFonts w:cs="Arial"/>
          <w:szCs w:val="24"/>
        </w:rPr>
        <w:footnoteReference w:id="441"/>
      </w:r>
      <w:r w:rsidR="00B85F5D">
        <w:rPr>
          <w:rFonts w:cs="Arial"/>
          <w:szCs w:val="24"/>
        </w:rPr>
        <w:t xml:space="preserve"> </w:t>
      </w:r>
      <w:r w:rsidR="00464629">
        <w:rPr>
          <w:rFonts w:cs="Arial"/>
          <w:szCs w:val="24"/>
        </w:rPr>
        <w:t xml:space="preserve">– she, herself, did not face imminent danger, nor did she </w:t>
      </w:r>
      <w:r w:rsidR="009A222E">
        <w:rPr>
          <w:rFonts w:cs="Arial"/>
          <w:szCs w:val="24"/>
        </w:rPr>
        <w:t xml:space="preserve">actually </w:t>
      </w:r>
      <w:r w:rsidR="00464629">
        <w:rPr>
          <w:rFonts w:cs="Arial"/>
          <w:szCs w:val="24"/>
        </w:rPr>
        <w:t>witness the accident.</w:t>
      </w:r>
      <w:r w:rsidR="00464629" w:rsidRPr="008E41DE">
        <w:rPr>
          <w:rStyle w:val="FootnoteReference"/>
          <w:rFonts w:cs="Arial"/>
          <w:szCs w:val="24"/>
        </w:rPr>
        <w:footnoteReference w:id="442"/>
      </w:r>
      <w:r w:rsidR="00464629">
        <w:rPr>
          <w:rFonts w:cs="Arial"/>
          <w:szCs w:val="24"/>
        </w:rPr>
        <w:t xml:space="preserve"> </w:t>
      </w:r>
    </w:p>
    <w:p w14:paraId="420E7581" w14:textId="567DEFB8" w:rsidR="009A222E" w:rsidRDefault="009A222E" w:rsidP="009A222E">
      <w:r>
        <w:t>When Ms Mulder, a widow, looked out the window of her residence, she witnessed her four-year old son being hit by a passenger bus – the back wheel of which bus crushed the young boy’s head</w:t>
      </w:r>
      <w:r w:rsidR="00C753E7">
        <w:t>,</w:t>
      </w:r>
      <w:r>
        <w:t xml:space="preserve"> thereby killing him.</w:t>
      </w:r>
      <w:r>
        <w:rPr>
          <w:rStyle w:val="FootnoteReference"/>
        </w:rPr>
        <w:footnoteReference w:id="443"/>
      </w:r>
      <w:r w:rsidRPr="009A222E">
        <w:t xml:space="preserve"> </w:t>
      </w:r>
      <w:r>
        <w:t>The Cou</w:t>
      </w:r>
      <w:r w:rsidR="002F4207">
        <w:t>r</w:t>
      </w:r>
      <w:r>
        <w:t>t found that Ms Mulder was not entitled to a claim for damages,</w:t>
      </w:r>
      <w:r>
        <w:rPr>
          <w:rStyle w:val="FootnoteReference"/>
        </w:rPr>
        <w:footnoteReference w:id="444"/>
      </w:r>
      <w:r>
        <w:t xml:space="preserve"> as there was no apprehension of danger on her part.</w:t>
      </w:r>
    </w:p>
    <w:p w14:paraId="70DE4A24" w14:textId="77777777" w:rsidR="004A2251" w:rsidRDefault="004A2251" w:rsidP="0061519C">
      <w:pPr>
        <w:rPr>
          <w:rFonts w:cs="Arial"/>
          <w:szCs w:val="24"/>
        </w:rPr>
      </w:pPr>
    </w:p>
    <w:p w14:paraId="03A51607" w14:textId="2A17B0EC" w:rsidR="00292C89" w:rsidRDefault="009A222E" w:rsidP="00477BFA">
      <w:pPr>
        <w:pStyle w:val="Heading2"/>
        <w:numPr>
          <w:ilvl w:val="2"/>
          <w:numId w:val="22"/>
        </w:numPr>
        <w:ind w:left="851" w:hanging="851"/>
      </w:pPr>
      <w:bookmarkStart w:id="56" w:name="_Toc191216302"/>
      <w:r>
        <w:t>Cases in which damages were awarded</w:t>
      </w:r>
      <w:bookmarkEnd w:id="56"/>
    </w:p>
    <w:p w14:paraId="787C1D95" w14:textId="668350BE" w:rsidR="00B20AED" w:rsidRDefault="009F7C1E" w:rsidP="00292C89">
      <w:r>
        <w:t xml:space="preserve">After overcoming the initial hesitance to award damages for </w:t>
      </w:r>
      <w:r w:rsidR="00292C89">
        <w:t>the negligent caus</w:t>
      </w:r>
      <w:r w:rsidR="00C753E7">
        <w:t>ation</w:t>
      </w:r>
      <w:r w:rsidR="00292C89">
        <w:t xml:space="preserve"> of “emotional shock”</w:t>
      </w:r>
      <w:r>
        <w:t xml:space="preserve"> associated with </w:t>
      </w:r>
      <w:r w:rsidR="00F91A79">
        <w:t>the negligent driving of a motor vehicle,</w:t>
      </w:r>
      <w:r>
        <w:t xml:space="preserve"> claims can now also be brought </w:t>
      </w:r>
      <w:r w:rsidR="001328E4">
        <w:t xml:space="preserve">under the </w:t>
      </w:r>
      <w:r w:rsidR="00B20AED">
        <w:rPr>
          <w:i/>
          <w:iCs/>
        </w:rPr>
        <w:t>actio de pauperie</w:t>
      </w:r>
      <w:r w:rsidR="001328E4">
        <w:t xml:space="preserve">, and </w:t>
      </w:r>
      <w:r w:rsidR="00690F3F">
        <w:t xml:space="preserve">in instances where </w:t>
      </w:r>
      <w:r w:rsidR="001328E4">
        <w:t>a particularly close personal relationship exist</w:t>
      </w:r>
      <w:r w:rsidR="00690F3F">
        <w:t>s</w:t>
      </w:r>
      <w:r w:rsidR="001328E4">
        <w:t xml:space="preserve"> between the claimant and the deceased</w:t>
      </w:r>
      <w:r w:rsidR="00B20AED">
        <w:t xml:space="preserve">. </w:t>
      </w:r>
      <w:r>
        <w:t xml:space="preserve">In addition to negligence, the element of fault was </w:t>
      </w:r>
      <w:r w:rsidR="003342E7">
        <w:t xml:space="preserve">also </w:t>
      </w:r>
      <w:r>
        <w:t>recognised as a valid ground to institute a claim for emotional shock.</w:t>
      </w:r>
    </w:p>
    <w:p w14:paraId="533C9ADD" w14:textId="73B6B14D" w:rsidR="004A2251" w:rsidRDefault="00F82895" w:rsidP="00C569F8">
      <w:pPr>
        <w:rPr>
          <w:rFonts w:cs="Arial"/>
          <w:szCs w:val="24"/>
        </w:rPr>
      </w:pPr>
      <w:bookmarkStart w:id="57" w:name="_Hlk183863053"/>
      <w:r w:rsidRPr="00F52CCA">
        <w:rPr>
          <w:rFonts w:cs="Arial"/>
          <w:szCs w:val="24"/>
        </w:rPr>
        <w:lastRenderedPageBreak/>
        <w:t xml:space="preserve">In </w:t>
      </w:r>
      <w:r w:rsidR="00F52CCA" w:rsidRPr="00F52CCA">
        <w:rPr>
          <w:rFonts w:cs="Arial"/>
          <w:szCs w:val="24"/>
        </w:rPr>
        <w:t>this case</w:t>
      </w:r>
      <w:r w:rsidR="00F52CCA">
        <w:rPr>
          <w:rFonts w:cs="Arial"/>
          <w:szCs w:val="24"/>
        </w:rPr>
        <w:t>,</w:t>
      </w:r>
      <w:r>
        <w:rPr>
          <w:rFonts w:cs="Arial"/>
          <w:szCs w:val="24"/>
        </w:rPr>
        <w:t xml:space="preserve"> </w:t>
      </w:r>
      <w:r w:rsidR="00673A75">
        <w:rPr>
          <w:rFonts w:cs="Arial"/>
          <w:szCs w:val="24"/>
        </w:rPr>
        <w:t>t</w:t>
      </w:r>
      <w:r w:rsidR="0056265E">
        <w:rPr>
          <w:rFonts w:cs="Arial"/>
          <w:szCs w:val="24"/>
        </w:rPr>
        <w:t xml:space="preserve">he </w:t>
      </w:r>
      <w:r w:rsidR="001E7B5C">
        <w:rPr>
          <w:rFonts w:cs="Arial"/>
          <w:szCs w:val="24"/>
        </w:rPr>
        <w:t>six year</w:t>
      </w:r>
      <w:r w:rsidR="005E6C4C">
        <w:rPr>
          <w:rFonts w:cs="Arial"/>
          <w:szCs w:val="24"/>
        </w:rPr>
        <w:t>-old W</w:t>
      </w:r>
      <w:r w:rsidR="0094604D">
        <w:rPr>
          <w:rFonts w:cs="Arial"/>
          <w:szCs w:val="24"/>
        </w:rPr>
        <w:t>erner</w:t>
      </w:r>
      <w:r w:rsidR="005E6C4C">
        <w:rPr>
          <w:rFonts w:cs="Arial"/>
          <w:szCs w:val="24"/>
        </w:rPr>
        <w:t xml:space="preserve"> was </w:t>
      </w:r>
      <w:r w:rsidR="0094604D">
        <w:rPr>
          <w:rFonts w:cs="Arial"/>
          <w:szCs w:val="24"/>
        </w:rPr>
        <w:t xml:space="preserve">running across Stella Road in Durban </w:t>
      </w:r>
      <w:r w:rsidR="005E6C4C">
        <w:rPr>
          <w:rFonts w:cs="Arial"/>
          <w:szCs w:val="24"/>
        </w:rPr>
        <w:t xml:space="preserve">about two steps behind his </w:t>
      </w:r>
      <w:r w:rsidR="001E7B5C">
        <w:rPr>
          <w:rFonts w:cs="Arial"/>
          <w:szCs w:val="24"/>
        </w:rPr>
        <w:t>eleven year</w:t>
      </w:r>
      <w:r w:rsidR="005E6C4C">
        <w:rPr>
          <w:rFonts w:cs="Arial"/>
          <w:szCs w:val="24"/>
        </w:rPr>
        <w:t>-old b</w:t>
      </w:r>
      <w:r w:rsidR="000A13C8">
        <w:rPr>
          <w:rFonts w:cs="Arial"/>
          <w:szCs w:val="24"/>
        </w:rPr>
        <w:t>r</w:t>
      </w:r>
      <w:r w:rsidR="005E6C4C">
        <w:rPr>
          <w:rFonts w:cs="Arial"/>
          <w:szCs w:val="24"/>
        </w:rPr>
        <w:t>other, D</w:t>
      </w:r>
      <w:r w:rsidR="000A13C8">
        <w:rPr>
          <w:rFonts w:cs="Arial"/>
          <w:szCs w:val="24"/>
        </w:rPr>
        <w:t>eon</w:t>
      </w:r>
      <w:r w:rsidR="005E6C4C">
        <w:rPr>
          <w:rFonts w:cs="Arial"/>
          <w:szCs w:val="24"/>
        </w:rPr>
        <w:t>, when he was struck by a motor vehicle. He succumbed from his injuries later the same day.</w:t>
      </w:r>
      <w:r w:rsidR="000A13C8">
        <w:rPr>
          <w:rFonts w:cs="Arial"/>
          <w:szCs w:val="24"/>
        </w:rPr>
        <w:t xml:space="preserve"> As a result of</w:t>
      </w:r>
      <w:r w:rsidR="0056265E">
        <w:rPr>
          <w:rFonts w:cs="Arial"/>
          <w:szCs w:val="24"/>
        </w:rPr>
        <w:t xml:space="preserve"> witnessing Werner’s death</w:t>
      </w:r>
      <w:r w:rsidR="000A13C8">
        <w:rPr>
          <w:rFonts w:cs="Arial"/>
          <w:szCs w:val="24"/>
        </w:rPr>
        <w:t xml:space="preserve">, Deon </w:t>
      </w:r>
      <w:r w:rsidR="0064284A">
        <w:rPr>
          <w:rFonts w:cs="Arial"/>
          <w:szCs w:val="24"/>
        </w:rPr>
        <w:t xml:space="preserve">suffered </w:t>
      </w:r>
      <w:r w:rsidR="002977D8" w:rsidRPr="00782FC6">
        <w:rPr>
          <w:rFonts w:cs="Arial"/>
          <w:szCs w:val="24"/>
        </w:rPr>
        <w:t>serious shock</w:t>
      </w:r>
      <w:r w:rsidR="0064284A">
        <w:rPr>
          <w:rFonts w:cs="Arial"/>
          <w:szCs w:val="24"/>
        </w:rPr>
        <w:t xml:space="preserve">, resulting in </w:t>
      </w:r>
      <w:r w:rsidR="002977D8" w:rsidRPr="00782FC6">
        <w:rPr>
          <w:rFonts w:cs="Arial"/>
          <w:szCs w:val="24"/>
        </w:rPr>
        <w:t xml:space="preserve">anxiety neurosis, </w:t>
      </w:r>
      <w:r w:rsidR="0064284A">
        <w:rPr>
          <w:rFonts w:cs="Arial"/>
          <w:szCs w:val="24"/>
        </w:rPr>
        <w:t xml:space="preserve">which required </w:t>
      </w:r>
      <w:r w:rsidR="002977D8" w:rsidRPr="00782FC6">
        <w:rPr>
          <w:rFonts w:cs="Arial"/>
          <w:szCs w:val="24"/>
        </w:rPr>
        <w:t>medical treatment.</w:t>
      </w:r>
      <w:r w:rsidR="002977D8" w:rsidRPr="00782FC6">
        <w:rPr>
          <w:rStyle w:val="FootnoteReference"/>
          <w:rFonts w:cs="Arial"/>
          <w:szCs w:val="24"/>
        </w:rPr>
        <w:footnoteReference w:id="445"/>
      </w:r>
      <w:r w:rsidR="00673A75">
        <w:rPr>
          <w:rFonts w:cs="Arial"/>
          <w:szCs w:val="24"/>
        </w:rPr>
        <w:t xml:space="preserve"> The </w:t>
      </w:r>
      <w:r w:rsidR="00521441">
        <w:t>Appeal Court</w:t>
      </w:r>
      <w:r w:rsidR="00673A75">
        <w:t xml:space="preserve"> </w:t>
      </w:r>
      <w:r w:rsidR="00C569F8">
        <w:t xml:space="preserve">ordered </w:t>
      </w:r>
      <w:r w:rsidR="00521441" w:rsidRPr="00C569F8">
        <w:t>that</w:t>
      </w:r>
      <w:r w:rsidR="00521441">
        <w:t xml:space="preserve"> damages be paid to Deon for the emotional shock suffered as a result of the driver’s negligence</w:t>
      </w:r>
      <w:r w:rsidR="004B5BA4">
        <w:rPr>
          <w:rStyle w:val="FootnoteReference"/>
        </w:rPr>
        <w:footnoteReference w:id="446"/>
      </w:r>
      <w:r w:rsidR="00673A75">
        <w:t xml:space="preserve"> after determining that the driver ought reasonably to have foreseen that Deon could suffer from emotional shock as a result of the accident</w:t>
      </w:r>
      <w:r w:rsidR="00521441">
        <w:rPr>
          <w:rFonts w:cs="Arial"/>
          <w:szCs w:val="24"/>
        </w:rPr>
        <w:t>.</w:t>
      </w:r>
      <w:r w:rsidR="004B5BA4">
        <w:rPr>
          <w:rStyle w:val="FootnoteReference"/>
        </w:rPr>
        <w:footnoteReference w:id="447"/>
      </w:r>
      <w:r w:rsidR="004B5BA4">
        <w:rPr>
          <w:rFonts w:cs="Arial"/>
          <w:szCs w:val="24"/>
        </w:rPr>
        <w:t xml:space="preserve"> </w:t>
      </w:r>
    </w:p>
    <w:bookmarkEnd w:id="57"/>
    <w:p w14:paraId="761FD121" w14:textId="2CF50DD5" w:rsidR="00133FDD" w:rsidRPr="003A192A" w:rsidRDefault="00673A75" w:rsidP="003A192A">
      <w:pPr>
        <w:rPr>
          <w:rFonts w:cs="Arial"/>
          <w:szCs w:val="24"/>
        </w:rPr>
      </w:pPr>
      <w:r>
        <w:rPr>
          <w:rFonts w:cs="Arial"/>
          <w:szCs w:val="24"/>
        </w:rPr>
        <w:t xml:space="preserve">In </w:t>
      </w:r>
      <w:r>
        <w:rPr>
          <w:rFonts w:cs="Arial"/>
          <w:i/>
          <w:iCs/>
          <w:szCs w:val="24"/>
        </w:rPr>
        <w:t>Masiba &amp; Another v Constantia Insurance Co Ltd &amp; Another</w:t>
      </w:r>
      <w:r>
        <w:rPr>
          <w:rFonts w:cs="Arial"/>
          <w:szCs w:val="24"/>
        </w:rPr>
        <w:t>,</w:t>
      </w:r>
      <w:r>
        <w:rPr>
          <w:rStyle w:val="FootnoteReference"/>
          <w:rFonts w:cs="Arial"/>
          <w:szCs w:val="24"/>
        </w:rPr>
        <w:footnoteReference w:id="448"/>
      </w:r>
      <w:r>
        <w:rPr>
          <w:rFonts w:cs="Arial"/>
          <w:szCs w:val="24"/>
        </w:rPr>
        <w:t xml:space="preserve"> </w:t>
      </w:r>
      <w:r w:rsidR="00985075">
        <w:rPr>
          <w:rFonts w:cs="Arial"/>
          <w:szCs w:val="24"/>
        </w:rPr>
        <w:t>a seri</w:t>
      </w:r>
      <w:r w:rsidR="00121559">
        <w:rPr>
          <w:rFonts w:cs="Arial"/>
          <w:szCs w:val="24"/>
        </w:rPr>
        <w:t>e</w:t>
      </w:r>
      <w:r w:rsidR="00985075">
        <w:rPr>
          <w:rFonts w:cs="Arial"/>
          <w:szCs w:val="24"/>
        </w:rPr>
        <w:t>s of unfortunate events caused Mr Masiba to suffer a stroke from which he passed away.</w:t>
      </w:r>
      <w:r w:rsidR="00985075">
        <w:rPr>
          <w:rStyle w:val="FootnoteReference"/>
          <w:rFonts w:cs="Arial"/>
          <w:szCs w:val="24"/>
        </w:rPr>
        <w:footnoteReference w:id="449"/>
      </w:r>
      <w:r w:rsidR="00985075">
        <w:rPr>
          <w:rFonts w:cs="Arial"/>
          <w:szCs w:val="24"/>
        </w:rPr>
        <w:t xml:space="preserve"> Although Mr Masiba suffered visible physical symptoms, the Court based its finding on the fact that the driver of the motor vehicle which collided with the rear of Mr Masiba’s vehicle ought reasonably to have foreseen that the owner of the vehicle could be in close proximity, and that the collision caused by his negligence could result in the victim suffering emotional shock</w:t>
      </w:r>
      <w:r w:rsidR="004327F7" w:rsidRPr="0050340E">
        <w:rPr>
          <w:rFonts w:cs="Arial"/>
          <w:szCs w:val="24"/>
        </w:rPr>
        <w:t>.</w:t>
      </w:r>
      <w:r w:rsidR="004327F7" w:rsidRPr="0050340E">
        <w:rPr>
          <w:rStyle w:val="FootnoteReference"/>
          <w:rFonts w:cs="Arial"/>
          <w:szCs w:val="24"/>
        </w:rPr>
        <w:footnoteReference w:id="450"/>
      </w:r>
      <w:r w:rsidR="004327F7">
        <w:rPr>
          <w:rFonts w:cs="Arial"/>
          <w:szCs w:val="24"/>
        </w:rPr>
        <w:t xml:space="preserve"> </w:t>
      </w:r>
    </w:p>
    <w:p w14:paraId="336944C4" w14:textId="485C7403" w:rsidR="00234BEA" w:rsidRDefault="00492A06" w:rsidP="006C3F04">
      <w:pPr>
        <w:rPr>
          <w:rFonts w:eastAsiaTheme="majorEastAsia" w:cstheme="majorBidi"/>
          <w:bCs/>
          <w:szCs w:val="26"/>
        </w:rPr>
      </w:pPr>
      <w:r>
        <w:rPr>
          <w:rFonts w:eastAsiaTheme="majorEastAsia" w:cstheme="majorBidi"/>
          <w:bCs/>
          <w:szCs w:val="26"/>
        </w:rPr>
        <w:t xml:space="preserve">In the case of </w:t>
      </w:r>
      <w:r>
        <w:rPr>
          <w:i/>
          <w:iCs/>
        </w:rPr>
        <w:t>Majiet v Santam Limited</w:t>
      </w:r>
      <w:r>
        <w:t>,</w:t>
      </w:r>
      <w:r>
        <w:rPr>
          <w:rStyle w:val="FootnoteReference"/>
        </w:rPr>
        <w:footnoteReference w:id="451"/>
      </w:r>
      <w:r>
        <w:t xml:space="preserve"> t</w:t>
      </w:r>
      <w:r w:rsidR="008C44BD">
        <w:rPr>
          <w:rFonts w:eastAsiaTheme="majorEastAsia" w:cstheme="majorBidi"/>
          <w:bCs/>
          <w:szCs w:val="26"/>
        </w:rPr>
        <w:t>he nine</w:t>
      </w:r>
      <w:r w:rsidR="006514ED">
        <w:rPr>
          <w:rFonts w:eastAsiaTheme="majorEastAsia" w:cstheme="majorBidi"/>
          <w:bCs/>
          <w:szCs w:val="26"/>
        </w:rPr>
        <w:t xml:space="preserve"> </w:t>
      </w:r>
      <w:r w:rsidR="008C44BD">
        <w:rPr>
          <w:rFonts w:eastAsiaTheme="majorEastAsia" w:cstheme="majorBidi"/>
          <w:bCs/>
          <w:szCs w:val="26"/>
        </w:rPr>
        <w:t>year-old Imran was walking in the roadway when he was struck and killed by a passing motor vehicle, where Ms Majiet found his lifeless body.</w:t>
      </w:r>
      <w:r w:rsidR="006C3F04">
        <w:rPr>
          <w:rStyle w:val="FootnoteReference"/>
          <w:rFonts w:eastAsiaTheme="majorEastAsia" w:cstheme="majorBidi"/>
          <w:bCs/>
          <w:szCs w:val="26"/>
        </w:rPr>
        <w:footnoteReference w:id="452"/>
      </w:r>
      <w:r w:rsidR="00234BEA">
        <w:rPr>
          <w:rFonts w:eastAsiaTheme="majorEastAsia" w:cstheme="majorBidi"/>
          <w:bCs/>
          <w:szCs w:val="26"/>
        </w:rPr>
        <w:t xml:space="preserve"> </w:t>
      </w:r>
      <w:r>
        <w:rPr>
          <w:rFonts w:eastAsiaTheme="majorEastAsia" w:cstheme="majorBidi"/>
          <w:bCs/>
          <w:szCs w:val="26"/>
        </w:rPr>
        <w:t>Despite being diagnosed with various mental illnesses, the Court adjudicated the matter on the basis that the bus driver should reasonably have foreseen the possibility that the parent of the child killed as a result of his negligence, would suffer emotional shock.</w:t>
      </w:r>
      <w:r w:rsidR="00234BEA">
        <w:rPr>
          <w:rStyle w:val="FootnoteReference"/>
          <w:rFonts w:eastAsiaTheme="majorEastAsia" w:cstheme="majorBidi"/>
          <w:bCs/>
          <w:szCs w:val="26"/>
        </w:rPr>
        <w:footnoteReference w:id="453"/>
      </w:r>
      <w:r w:rsidR="002E1F44">
        <w:rPr>
          <w:rFonts w:eastAsiaTheme="majorEastAsia" w:cstheme="majorBidi"/>
          <w:bCs/>
          <w:szCs w:val="26"/>
        </w:rPr>
        <w:t xml:space="preserve"> </w:t>
      </w:r>
    </w:p>
    <w:p w14:paraId="281A51A7" w14:textId="0A7D3F4D" w:rsidR="00D5583B" w:rsidRDefault="008F5202" w:rsidP="006C3F04">
      <w:pPr>
        <w:rPr>
          <w:rFonts w:cs="Arial"/>
          <w:szCs w:val="24"/>
        </w:rPr>
      </w:pPr>
      <w:r>
        <w:rPr>
          <w:rFonts w:cs="Arial"/>
          <w:szCs w:val="24"/>
        </w:rPr>
        <w:t xml:space="preserve">In </w:t>
      </w:r>
      <w:r w:rsidR="004139E4" w:rsidRPr="007A31D6">
        <w:rPr>
          <w:rFonts w:cs="Arial"/>
          <w:i/>
          <w:iCs/>
          <w:szCs w:val="24"/>
        </w:rPr>
        <w:t>Barnard v Santam Bpk</w:t>
      </w:r>
      <w:r w:rsidR="004139E4">
        <w:rPr>
          <w:rFonts w:cs="Arial"/>
          <w:szCs w:val="24"/>
        </w:rPr>
        <w:t>,</w:t>
      </w:r>
      <w:r w:rsidR="00AD3E83">
        <w:rPr>
          <w:rStyle w:val="FootnoteReference"/>
          <w:rFonts w:cs="Arial"/>
          <w:szCs w:val="24"/>
        </w:rPr>
        <w:footnoteReference w:id="454"/>
      </w:r>
      <w:r w:rsidR="004139E4">
        <w:rPr>
          <w:rFonts w:cs="Arial"/>
          <w:szCs w:val="24"/>
        </w:rPr>
        <w:t xml:space="preserve"> </w:t>
      </w:r>
      <w:r w:rsidR="00D4337F" w:rsidRPr="003A192A">
        <w:rPr>
          <w:rFonts w:cs="Arial"/>
          <w:szCs w:val="24"/>
        </w:rPr>
        <w:t>Ms</w:t>
      </w:r>
      <w:r w:rsidR="00D4337F">
        <w:rPr>
          <w:rFonts w:cs="Arial"/>
          <w:szCs w:val="24"/>
        </w:rPr>
        <w:t xml:space="preserve"> Barnard </w:t>
      </w:r>
      <w:r>
        <w:rPr>
          <w:rFonts w:cs="Arial"/>
          <w:szCs w:val="24"/>
        </w:rPr>
        <w:t>suffered</w:t>
      </w:r>
      <w:r w:rsidR="00A41EFE">
        <w:rPr>
          <w:rFonts w:cs="Arial"/>
          <w:szCs w:val="24"/>
        </w:rPr>
        <w:t xml:space="preserve"> </w:t>
      </w:r>
      <w:r w:rsidRPr="001F3EAC">
        <w:rPr>
          <w:rFonts w:cs="Arial"/>
          <w:szCs w:val="24"/>
        </w:rPr>
        <w:t>“</w:t>
      </w:r>
      <w:r w:rsidRPr="001F3EAC">
        <w:rPr>
          <w:rFonts w:cs="Arial"/>
          <w:i/>
          <w:iCs/>
          <w:szCs w:val="24"/>
        </w:rPr>
        <w:t>erge senuskok</w:t>
      </w:r>
      <w:r>
        <w:rPr>
          <w:rFonts w:cs="Arial"/>
          <w:szCs w:val="24"/>
        </w:rPr>
        <w:t>”</w:t>
      </w:r>
      <w:r w:rsidRPr="001F3EAC">
        <w:rPr>
          <w:rFonts w:cs="Arial"/>
          <w:i/>
          <w:iCs/>
          <w:szCs w:val="24"/>
        </w:rPr>
        <w:t xml:space="preserve"> </w:t>
      </w:r>
      <w:r w:rsidRPr="001F3EAC">
        <w:rPr>
          <w:rFonts w:cs="Arial"/>
          <w:szCs w:val="24"/>
        </w:rPr>
        <w:t>[severe emotional shock]</w:t>
      </w:r>
      <w:r>
        <w:rPr>
          <w:rFonts w:cs="Arial"/>
          <w:szCs w:val="24"/>
        </w:rPr>
        <w:t xml:space="preserve"> when s</w:t>
      </w:r>
      <w:r w:rsidR="00D5583B">
        <w:rPr>
          <w:rFonts w:cs="Arial"/>
          <w:szCs w:val="24"/>
        </w:rPr>
        <w:t>h</w:t>
      </w:r>
      <w:r>
        <w:rPr>
          <w:rFonts w:cs="Arial"/>
          <w:szCs w:val="24"/>
        </w:rPr>
        <w:t xml:space="preserve">e </w:t>
      </w:r>
      <w:r w:rsidR="00D4337F">
        <w:rPr>
          <w:rFonts w:cs="Arial"/>
          <w:szCs w:val="24"/>
        </w:rPr>
        <w:t xml:space="preserve">was telephonically informed </w:t>
      </w:r>
      <w:r w:rsidR="005E5524">
        <w:rPr>
          <w:rFonts w:cs="Arial"/>
          <w:szCs w:val="24"/>
        </w:rPr>
        <w:t xml:space="preserve">that her </w:t>
      </w:r>
      <w:r w:rsidR="006A28D3">
        <w:rPr>
          <w:rFonts w:cs="Arial"/>
          <w:szCs w:val="24"/>
        </w:rPr>
        <w:t>thirteen</w:t>
      </w:r>
      <w:r w:rsidR="006514ED">
        <w:rPr>
          <w:rFonts w:cs="Arial"/>
          <w:szCs w:val="24"/>
        </w:rPr>
        <w:t xml:space="preserve"> </w:t>
      </w:r>
      <w:r w:rsidR="006A28D3">
        <w:rPr>
          <w:rFonts w:cs="Arial"/>
          <w:szCs w:val="24"/>
        </w:rPr>
        <w:t>year-old</w:t>
      </w:r>
      <w:r w:rsidR="005E5524">
        <w:rPr>
          <w:rFonts w:cs="Arial"/>
          <w:szCs w:val="24"/>
        </w:rPr>
        <w:t xml:space="preserve"> son was killed when the bus he was travelling in collided with another vehicle</w:t>
      </w:r>
      <w:r>
        <w:rPr>
          <w:rFonts w:cs="Arial"/>
          <w:szCs w:val="24"/>
        </w:rPr>
        <w:t>.</w:t>
      </w:r>
      <w:r w:rsidR="005E5524">
        <w:rPr>
          <w:rStyle w:val="FootnoteReference"/>
          <w:rFonts w:cs="Arial"/>
          <w:szCs w:val="24"/>
        </w:rPr>
        <w:footnoteReference w:id="455"/>
      </w:r>
      <w:r w:rsidR="001F2D4C">
        <w:rPr>
          <w:rFonts w:cs="Arial"/>
          <w:szCs w:val="24"/>
        </w:rPr>
        <w:t xml:space="preserve"> </w:t>
      </w:r>
      <w:r w:rsidR="00AB225A">
        <w:rPr>
          <w:rFonts w:cs="Arial"/>
          <w:szCs w:val="24"/>
        </w:rPr>
        <w:t>Based on the</w:t>
      </w:r>
      <w:r w:rsidR="001F2D4C">
        <w:rPr>
          <w:rFonts w:cs="Arial"/>
          <w:szCs w:val="24"/>
        </w:rPr>
        <w:t xml:space="preserve"> </w:t>
      </w:r>
      <w:r w:rsidR="00D5583B">
        <w:rPr>
          <w:rFonts w:cs="Arial"/>
          <w:szCs w:val="24"/>
        </w:rPr>
        <w:t>bus driver</w:t>
      </w:r>
      <w:r w:rsidR="001F2D4C">
        <w:rPr>
          <w:rFonts w:cs="Arial"/>
          <w:szCs w:val="24"/>
        </w:rPr>
        <w:t>’s negligent caus</w:t>
      </w:r>
      <w:r w:rsidR="00AB225A">
        <w:rPr>
          <w:rFonts w:cs="Arial"/>
          <w:szCs w:val="24"/>
        </w:rPr>
        <w:t xml:space="preserve">ing of </w:t>
      </w:r>
      <w:r w:rsidR="001F2D4C">
        <w:rPr>
          <w:rFonts w:cs="Arial"/>
          <w:szCs w:val="24"/>
        </w:rPr>
        <w:t>the collision</w:t>
      </w:r>
      <w:r w:rsidR="00D5583B">
        <w:rPr>
          <w:rFonts w:cs="Arial"/>
          <w:szCs w:val="24"/>
        </w:rPr>
        <w:t>,</w:t>
      </w:r>
      <w:r w:rsidR="001F2D4C">
        <w:rPr>
          <w:rStyle w:val="FootnoteReference"/>
          <w:rFonts w:cs="Arial"/>
          <w:szCs w:val="24"/>
        </w:rPr>
        <w:footnoteReference w:id="456"/>
      </w:r>
      <w:r w:rsidR="00D5583B">
        <w:rPr>
          <w:rFonts w:cs="Arial"/>
          <w:szCs w:val="24"/>
        </w:rPr>
        <w:t xml:space="preserve"> </w:t>
      </w:r>
      <w:r w:rsidR="00AB225A">
        <w:rPr>
          <w:rFonts w:cs="Arial"/>
          <w:szCs w:val="24"/>
        </w:rPr>
        <w:t xml:space="preserve">and the fact that the Ms Barnard’s emotional shock was, by virtue </w:t>
      </w:r>
      <w:r w:rsidR="00AB225A">
        <w:rPr>
          <w:rFonts w:cs="Arial"/>
          <w:szCs w:val="24"/>
        </w:rPr>
        <w:lastRenderedPageBreak/>
        <w:t>of the very close relationship between a mother and her minor child, foreseeable</w:t>
      </w:r>
      <w:r w:rsidR="00A41EFE">
        <w:rPr>
          <w:rFonts w:cs="Arial"/>
          <w:szCs w:val="24"/>
        </w:rPr>
        <w:t>,</w:t>
      </w:r>
      <w:r w:rsidR="00AB225A">
        <w:rPr>
          <w:rStyle w:val="FootnoteReference"/>
          <w:rFonts w:cs="Arial"/>
          <w:szCs w:val="24"/>
        </w:rPr>
        <w:footnoteReference w:id="457"/>
      </w:r>
      <w:r w:rsidR="00AB225A">
        <w:rPr>
          <w:rFonts w:cs="Arial"/>
          <w:szCs w:val="24"/>
        </w:rPr>
        <w:t xml:space="preserve"> the Court proceeded to award </w:t>
      </w:r>
      <w:r w:rsidR="00D5583B">
        <w:rPr>
          <w:rFonts w:cs="Arial"/>
          <w:szCs w:val="24"/>
        </w:rPr>
        <w:t xml:space="preserve">Ms Barnard damages for the </w:t>
      </w:r>
      <w:r w:rsidR="00B7120E" w:rsidRPr="00645192">
        <w:rPr>
          <w:rFonts w:cs="Arial"/>
          <w:szCs w:val="24"/>
        </w:rPr>
        <w:t xml:space="preserve">detectable </w:t>
      </w:r>
      <w:r w:rsidR="00F82895">
        <w:rPr>
          <w:rFonts w:cs="Arial"/>
          <w:szCs w:val="24"/>
        </w:rPr>
        <w:t xml:space="preserve">psychiatric </w:t>
      </w:r>
      <w:r w:rsidR="00B7120E" w:rsidRPr="00645192">
        <w:rPr>
          <w:rFonts w:cs="Arial"/>
          <w:szCs w:val="24"/>
        </w:rPr>
        <w:t>injury</w:t>
      </w:r>
      <w:r w:rsidR="00D5583B">
        <w:rPr>
          <w:rFonts w:cs="Arial"/>
          <w:szCs w:val="24"/>
        </w:rPr>
        <w:t xml:space="preserve"> suffered</w:t>
      </w:r>
      <w:r w:rsidR="00B7120E" w:rsidRPr="00645192">
        <w:rPr>
          <w:rFonts w:cs="Arial"/>
          <w:szCs w:val="24"/>
        </w:rPr>
        <w:t>.</w:t>
      </w:r>
      <w:r w:rsidR="00B7120E" w:rsidRPr="00645192">
        <w:rPr>
          <w:rStyle w:val="FootnoteReference"/>
          <w:rFonts w:cs="Arial"/>
          <w:szCs w:val="24"/>
        </w:rPr>
        <w:footnoteReference w:id="458"/>
      </w:r>
      <w:r w:rsidR="00B7120E" w:rsidRPr="00645192">
        <w:rPr>
          <w:rFonts w:cs="Arial"/>
          <w:szCs w:val="24"/>
        </w:rPr>
        <w:t xml:space="preserve"> </w:t>
      </w:r>
    </w:p>
    <w:p w14:paraId="2DFA99CA" w14:textId="77CEFCFC" w:rsidR="00E74E85" w:rsidRDefault="002977D8" w:rsidP="00C5627E">
      <w:pPr>
        <w:rPr>
          <w:rFonts w:cs="Arial"/>
          <w:szCs w:val="24"/>
        </w:rPr>
      </w:pPr>
      <w:r w:rsidRPr="00645192">
        <w:rPr>
          <w:rFonts w:cs="Arial"/>
          <w:szCs w:val="24"/>
        </w:rPr>
        <w:t xml:space="preserve">In </w:t>
      </w:r>
      <w:r w:rsidR="00292C89" w:rsidRPr="00645192">
        <w:rPr>
          <w:rFonts w:cs="Arial"/>
          <w:i/>
          <w:iCs/>
          <w:szCs w:val="24"/>
        </w:rPr>
        <w:t>Road Accident Fund v Sauls</w:t>
      </w:r>
      <w:r w:rsidRPr="00645192">
        <w:rPr>
          <w:rFonts w:cs="Arial"/>
          <w:szCs w:val="24"/>
        </w:rPr>
        <w:t>,</w:t>
      </w:r>
      <w:r w:rsidR="00C678B4">
        <w:rPr>
          <w:rStyle w:val="FootnoteReference"/>
          <w:rFonts w:cs="Arial"/>
          <w:szCs w:val="24"/>
        </w:rPr>
        <w:footnoteReference w:id="459"/>
      </w:r>
      <w:r w:rsidRPr="00645192">
        <w:rPr>
          <w:rFonts w:cs="Arial"/>
          <w:szCs w:val="24"/>
        </w:rPr>
        <w:t xml:space="preserve"> </w:t>
      </w:r>
      <w:r w:rsidR="00AD3E83">
        <w:rPr>
          <w:rFonts w:cs="Arial"/>
          <w:szCs w:val="24"/>
        </w:rPr>
        <w:t>Mrs Sauls</w:t>
      </w:r>
      <w:r w:rsidR="00C339F2">
        <w:rPr>
          <w:rFonts w:cs="Arial"/>
          <w:szCs w:val="24"/>
        </w:rPr>
        <w:t xml:space="preserve"> </w:t>
      </w:r>
      <w:r w:rsidR="009F61D8">
        <w:rPr>
          <w:rFonts w:cs="Arial"/>
          <w:szCs w:val="24"/>
        </w:rPr>
        <w:t xml:space="preserve">was diagnosed with </w:t>
      </w:r>
      <w:r w:rsidR="00A862D2">
        <w:rPr>
          <w:rFonts w:cs="Arial"/>
          <w:szCs w:val="24"/>
        </w:rPr>
        <w:t xml:space="preserve">chronic </w:t>
      </w:r>
      <w:r w:rsidR="00C339F2">
        <w:rPr>
          <w:rFonts w:cs="Arial"/>
          <w:szCs w:val="24"/>
        </w:rPr>
        <w:t>post-traumatic stress</w:t>
      </w:r>
      <w:r w:rsidR="00C339F2">
        <w:rPr>
          <w:rStyle w:val="FootnoteReference"/>
          <w:rFonts w:cs="Arial"/>
          <w:szCs w:val="24"/>
        </w:rPr>
        <w:footnoteReference w:id="460"/>
      </w:r>
      <w:r w:rsidR="00C339F2">
        <w:rPr>
          <w:rFonts w:cs="Arial"/>
          <w:szCs w:val="24"/>
        </w:rPr>
        <w:t xml:space="preserve"> after </w:t>
      </w:r>
      <w:r w:rsidR="00AD3E83">
        <w:rPr>
          <w:rFonts w:cs="Arial"/>
          <w:szCs w:val="24"/>
        </w:rPr>
        <w:t>witness</w:t>
      </w:r>
      <w:r w:rsidR="00E20991">
        <w:rPr>
          <w:rFonts w:cs="Arial"/>
          <w:szCs w:val="24"/>
        </w:rPr>
        <w:t>ing how a negligent truck driver hit her fiancé</w:t>
      </w:r>
      <w:r w:rsidR="00F82895">
        <w:rPr>
          <w:rFonts w:cs="Arial"/>
          <w:szCs w:val="24"/>
        </w:rPr>
        <w:t xml:space="preserve"> in Adderley Street, Cape Town</w:t>
      </w:r>
      <w:r w:rsidR="00E20991">
        <w:rPr>
          <w:rFonts w:cs="Arial"/>
          <w:szCs w:val="24"/>
          <w:lang w:val="en-GB"/>
        </w:rPr>
        <w:t>,</w:t>
      </w:r>
      <w:r w:rsidR="00F82895">
        <w:rPr>
          <w:rStyle w:val="FootnoteReference"/>
          <w:rFonts w:cs="Arial"/>
          <w:szCs w:val="24"/>
          <w:lang w:val="en-GB"/>
        </w:rPr>
        <w:footnoteReference w:id="461"/>
      </w:r>
      <w:r w:rsidR="00E20991">
        <w:rPr>
          <w:rFonts w:cs="Arial"/>
          <w:szCs w:val="24"/>
          <w:lang w:val="en-GB"/>
        </w:rPr>
        <w:t xml:space="preserve"> thereby knocking him off his feet, flinging him </w:t>
      </w:r>
      <w:r w:rsidR="00F82895">
        <w:rPr>
          <w:rFonts w:cs="Arial"/>
          <w:szCs w:val="24"/>
          <w:lang w:val="en-GB"/>
        </w:rPr>
        <w:t xml:space="preserve">into and spinning him around in the </w:t>
      </w:r>
      <w:r w:rsidR="00E20991">
        <w:rPr>
          <w:rFonts w:cs="Arial"/>
          <w:szCs w:val="24"/>
          <w:lang w:val="en-GB"/>
        </w:rPr>
        <w:t>air</w:t>
      </w:r>
      <w:r w:rsidR="00F82895">
        <w:rPr>
          <w:rFonts w:cs="Arial"/>
          <w:szCs w:val="24"/>
          <w:lang w:val="en-GB"/>
        </w:rPr>
        <w:t>, and throwing him some distance away.</w:t>
      </w:r>
      <w:r w:rsidR="00841A5F">
        <w:rPr>
          <w:rStyle w:val="FootnoteReference"/>
          <w:rFonts w:cs="Arial"/>
          <w:szCs w:val="24"/>
        </w:rPr>
        <w:footnoteReference w:id="462"/>
      </w:r>
      <w:r w:rsidR="00841A5F">
        <w:rPr>
          <w:rFonts w:cs="Arial"/>
          <w:szCs w:val="24"/>
        </w:rPr>
        <w:t xml:space="preserve"> </w:t>
      </w:r>
      <w:r w:rsidR="00E74E85">
        <w:rPr>
          <w:rFonts w:cs="Arial"/>
          <w:szCs w:val="24"/>
        </w:rPr>
        <w:t xml:space="preserve">The Court awarded damages to Mrs Sauls for the </w:t>
      </w:r>
      <w:r w:rsidR="00E74E85" w:rsidRPr="00E74E85">
        <w:rPr>
          <w:rFonts w:cs="Arial"/>
          <w:i/>
          <w:iCs/>
          <w:szCs w:val="24"/>
        </w:rPr>
        <w:t>reasonably</w:t>
      </w:r>
      <w:r w:rsidR="00E74E85">
        <w:rPr>
          <w:rFonts w:cs="Arial"/>
          <w:szCs w:val="24"/>
        </w:rPr>
        <w:t xml:space="preserve"> foreseeable</w:t>
      </w:r>
      <w:r w:rsidR="00A4749F">
        <w:rPr>
          <w:rStyle w:val="FootnoteReference"/>
          <w:rFonts w:cs="Arial"/>
          <w:szCs w:val="24"/>
        </w:rPr>
        <w:footnoteReference w:id="463"/>
      </w:r>
      <w:r w:rsidR="00E74E85">
        <w:rPr>
          <w:rFonts w:cs="Arial"/>
          <w:szCs w:val="24"/>
        </w:rPr>
        <w:t xml:space="preserve"> harm </w:t>
      </w:r>
      <w:r w:rsidR="004A211C">
        <w:rPr>
          <w:rFonts w:cs="Arial"/>
          <w:szCs w:val="24"/>
        </w:rPr>
        <w:t xml:space="preserve">she </w:t>
      </w:r>
      <w:r w:rsidR="00A4749F">
        <w:rPr>
          <w:rFonts w:cs="Arial"/>
          <w:szCs w:val="24"/>
        </w:rPr>
        <w:t xml:space="preserve">suffered </w:t>
      </w:r>
      <w:r w:rsidR="00E74E85">
        <w:rPr>
          <w:rFonts w:cs="Arial"/>
          <w:szCs w:val="24"/>
        </w:rPr>
        <w:t xml:space="preserve">as a result of what </w:t>
      </w:r>
      <w:r w:rsidR="00E74E85" w:rsidRPr="00645192">
        <w:rPr>
          <w:rFonts w:cs="Arial"/>
          <w:szCs w:val="24"/>
        </w:rPr>
        <w:t>“must have been a traumatic experience to any observer, much more so to one in a close relationship with the victim”</w:t>
      </w:r>
      <w:r w:rsidR="00A4749F">
        <w:rPr>
          <w:rFonts w:cs="Arial"/>
          <w:szCs w:val="24"/>
        </w:rPr>
        <w:t>.</w:t>
      </w:r>
      <w:r w:rsidR="00E74E85" w:rsidRPr="00645192">
        <w:rPr>
          <w:rStyle w:val="FootnoteReference"/>
          <w:rFonts w:cs="Arial"/>
          <w:szCs w:val="24"/>
        </w:rPr>
        <w:footnoteReference w:id="464"/>
      </w:r>
      <w:r w:rsidR="00B861BB">
        <w:rPr>
          <w:rFonts w:cs="Arial"/>
          <w:szCs w:val="24"/>
        </w:rPr>
        <w:t xml:space="preserve"> The Court proceeded to note that </w:t>
      </w:r>
      <w:r w:rsidR="008A119E">
        <w:rPr>
          <w:rFonts w:cs="Arial"/>
          <w:szCs w:val="24"/>
        </w:rPr>
        <w:t>the title of the relationship with Mr Sauls is of little importance,</w:t>
      </w:r>
      <w:r w:rsidR="008A119E">
        <w:rPr>
          <w:rStyle w:val="FootnoteReference"/>
          <w:rFonts w:cs="Arial"/>
          <w:szCs w:val="24"/>
        </w:rPr>
        <w:footnoteReference w:id="465"/>
      </w:r>
      <w:r w:rsidR="008A119E">
        <w:rPr>
          <w:rFonts w:cs="Arial"/>
          <w:szCs w:val="24"/>
        </w:rPr>
        <w:t xml:space="preserve"> not the collision </w:t>
      </w:r>
      <w:r w:rsidR="00B861BB">
        <w:rPr>
          <w:rFonts w:cs="Arial"/>
          <w:szCs w:val="24"/>
        </w:rPr>
        <w:t>her claim was derived from her own perceptions of the incident, rather than the seriousness (or not) of Mr Saul’s injuries.</w:t>
      </w:r>
      <w:r w:rsidR="00B861BB">
        <w:rPr>
          <w:rStyle w:val="FootnoteReference"/>
          <w:rFonts w:cs="Arial"/>
          <w:szCs w:val="24"/>
        </w:rPr>
        <w:footnoteReference w:id="466"/>
      </w:r>
    </w:p>
    <w:p w14:paraId="61F3F086" w14:textId="3B5F1DE7" w:rsidR="00C81DE3" w:rsidRPr="00C81DE3" w:rsidRDefault="003C209A" w:rsidP="00F91A79">
      <w:pPr>
        <w:rPr>
          <w:rFonts w:cs="Arial"/>
          <w:szCs w:val="24"/>
        </w:rPr>
      </w:pPr>
      <w:r>
        <w:rPr>
          <w:rFonts w:cs="Arial"/>
          <w:szCs w:val="24"/>
        </w:rPr>
        <w:t xml:space="preserve">In </w:t>
      </w:r>
      <w:r w:rsidR="00C81DE3">
        <w:rPr>
          <w:rFonts w:cs="Arial"/>
          <w:i/>
          <w:iCs/>
          <w:szCs w:val="24"/>
        </w:rPr>
        <w:t>Clinton-Parker v Administrator, Transvaal; Dawkins v Administrator, Transvaal</w:t>
      </w:r>
      <w:r w:rsidR="00C81DE3" w:rsidRPr="00C81DE3">
        <w:rPr>
          <w:rStyle w:val="FootnoteReference"/>
          <w:rFonts w:cs="Arial"/>
          <w:szCs w:val="24"/>
        </w:rPr>
        <w:footnoteReference w:id="467"/>
      </w:r>
      <w:r>
        <w:rPr>
          <w:rFonts w:cs="Arial"/>
          <w:i/>
          <w:iCs/>
          <w:szCs w:val="24"/>
        </w:rPr>
        <w:t xml:space="preserve"> </w:t>
      </w:r>
      <w:r w:rsidR="00C81DE3">
        <w:rPr>
          <w:rFonts w:cs="Arial"/>
          <w:szCs w:val="24"/>
        </w:rPr>
        <w:t>the nursing staff of the Nigel Hospital negligently caused two newborn babies to be swopped</w:t>
      </w:r>
      <w:r w:rsidR="009D5CFA">
        <w:rPr>
          <w:rFonts w:cs="Arial"/>
          <w:szCs w:val="24"/>
        </w:rPr>
        <w:t xml:space="preserve"> after bi</w:t>
      </w:r>
      <w:r w:rsidR="00985F5B">
        <w:rPr>
          <w:rFonts w:cs="Arial"/>
          <w:szCs w:val="24"/>
        </w:rPr>
        <w:t>r</w:t>
      </w:r>
      <w:r w:rsidR="009D5CFA">
        <w:rPr>
          <w:rFonts w:cs="Arial"/>
          <w:szCs w:val="24"/>
        </w:rPr>
        <w:t>th</w:t>
      </w:r>
      <w:r w:rsidR="00C81DE3">
        <w:rPr>
          <w:rFonts w:cs="Arial"/>
          <w:szCs w:val="24"/>
        </w:rPr>
        <w:t xml:space="preserve">, which swop was discovered some eighteen months after </w:t>
      </w:r>
      <w:r w:rsidR="00985F5B">
        <w:rPr>
          <w:rFonts w:cs="Arial"/>
          <w:szCs w:val="24"/>
        </w:rPr>
        <w:t>the babies were born</w:t>
      </w:r>
      <w:r w:rsidR="00C81DE3">
        <w:rPr>
          <w:rFonts w:cs="Arial"/>
          <w:szCs w:val="24"/>
        </w:rPr>
        <w:t>.</w:t>
      </w:r>
      <w:r w:rsidR="00C81DE3">
        <w:rPr>
          <w:rStyle w:val="FootnoteReference"/>
          <w:rFonts w:cs="Arial"/>
          <w:szCs w:val="24"/>
        </w:rPr>
        <w:footnoteReference w:id="468"/>
      </w:r>
      <w:r w:rsidR="009D5CFA">
        <w:rPr>
          <w:rFonts w:cs="Arial"/>
          <w:szCs w:val="24"/>
        </w:rPr>
        <w:t xml:space="preserve"> Both mothers showed signs of “post-traumatic stress disorder”</w:t>
      </w:r>
      <w:r w:rsidR="00985F5B">
        <w:rPr>
          <w:rFonts w:cs="Arial"/>
          <w:szCs w:val="24"/>
        </w:rPr>
        <w:t>, which illness occurred “where there was a stressor operating … most commonly where once’s life was in danger or, for example, where mothers have been told that their children were kidnapped.”</w:t>
      </w:r>
      <w:r w:rsidR="00985F5B">
        <w:rPr>
          <w:rStyle w:val="FootnoteReference"/>
          <w:rFonts w:cs="Arial"/>
          <w:szCs w:val="24"/>
        </w:rPr>
        <w:footnoteReference w:id="469"/>
      </w:r>
      <w:r w:rsidR="00985F5B">
        <w:rPr>
          <w:rFonts w:cs="Arial"/>
          <w:szCs w:val="24"/>
        </w:rPr>
        <w:t xml:space="preserve"> The Court </w:t>
      </w:r>
      <w:r w:rsidR="0006592B">
        <w:rPr>
          <w:rFonts w:cs="Arial"/>
          <w:szCs w:val="24"/>
        </w:rPr>
        <w:t>considered that the link between the negligent conduct and the harm that the respective mothers “sufficiently close”,</w:t>
      </w:r>
      <w:r w:rsidR="0006592B">
        <w:rPr>
          <w:rStyle w:val="FootnoteReference"/>
          <w:rFonts w:cs="Arial"/>
          <w:szCs w:val="24"/>
        </w:rPr>
        <w:footnoteReference w:id="470"/>
      </w:r>
      <w:r w:rsidR="0006592B">
        <w:rPr>
          <w:rFonts w:cs="Arial"/>
          <w:szCs w:val="24"/>
        </w:rPr>
        <w:t xml:space="preserve"> and proceeded to award </w:t>
      </w:r>
      <w:r w:rsidR="00985F5B">
        <w:rPr>
          <w:rFonts w:cs="Arial"/>
          <w:szCs w:val="24"/>
        </w:rPr>
        <w:t>damages for the emotional shock suffered by each mother</w:t>
      </w:r>
      <w:r w:rsidR="0006592B">
        <w:rPr>
          <w:rFonts w:cs="Arial"/>
          <w:szCs w:val="24"/>
        </w:rPr>
        <w:t>.</w:t>
      </w:r>
      <w:r w:rsidR="0006592B">
        <w:rPr>
          <w:rStyle w:val="FootnoteReference"/>
          <w:rFonts w:cs="Arial"/>
          <w:szCs w:val="24"/>
        </w:rPr>
        <w:footnoteReference w:id="471"/>
      </w:r>
    </w:p>
    <w:p w14:paraId="50EB94FE" w14:textId="76545DA1" w:rsidR="002959F8" w:rsidRDefault="00F91A79" w:rsidP="00F91A79">
      <w:pPr>
        <w:rPr>
          <w:rFonts w:cs="Arial"/>
          <w:szCs w:val="24"/>
        </w:rPr>
      </w:pPr>
      <w:r w:rsidRPr="00645192">
        <w:rPr>
          <w:rFonts w:cs="Arial"/>
          <w:szCs w:val="24"/>
        </w:rPr>
        <w:lastRenderedPageBreak/>
        <w:t xml:space="preserve">In </w:t>
      </w:r>
      <w:r w:rsidR="000670AF" w:rsidRPr="00B97525">
        <w:rPr>
          <w:rFonts w:cs="Arial"/>
          <w:i/>
          <w:iCs/>
        </w:rPr>
        <w:t>Fourie v Naranjo and Another</w:t>
      </w:r>
      <w:r w:rsidRPr="00180047">
        <w:rPr>
          <w:rStyle w:val="FootnoteReference"/>
          <w:rFonts w:cs="Arial"/>
          <w:i/>
          <w:iCs/>
          <w:szCs w:val="24"/>
        </w:rPr>
        <w:footnoteReference w:id="472"/>
      </w:r>
      <w:r w:rsidRPr="00645192">
        <w:rPr>
          <w:rFonts w:cs="Arial"/>
          <w:i/>
          <w:iCs/>
          <w:szCs w:val="24"/>
        </w:rPr>
        <w:t xml:space="preserve"> </w:t>
      </w:r>
      <w:r w:rsidR="003C209A">
        <w:rPr>
          <w:rFonts w:cs="Arial"/>
          <w:szCs w:val="24"/>
        </w:rPr>
        <w:t xml:space="preserve">Mrs Naranjo </w:t>
      </w:r>
      <w:r w:rsidR="002959F8">
        <w:rPr>
          <w:rFonts w:cs="Arial"/>
          <w:szCs w:val="24"/>
        </w:rPr>
        <w:t>was necessitated to seek medical advice</w:t>
      </w:r>
      <w:r w:rsidR="002959F8">
        <w:rPr>
          <w:rStyle w:val="FootnoteReference"/>
          <w:rFonts w:cs="Arial"/>
          <w:szCs w:val="24"/>
        </w:rPr>
        <w:footnoteReference w:id="473"/>
      </w:r>
      <w:r w:rsidR="002959F8">
        <w:rPr>
          <w:rFonts w:cs="Arial"/>
          <w:szCs w:val="24"/>
        </w:rPr>
        <w:t xml:space="preserve"> after </w:t>
      </w:r>
      <w:r w:rsidR="00C0665B">
        <w:rPr>
          <w:rFonts w:cs="Arial"/>
          <w:szCs w:val="24"/>
        </w:rPr>
        <w:t>witness</w:t>
      </w:r>
      <w:r w:rsidR="002959F8">
        <w:rPr>
          <w:rFonts w:cs="Arial"/>
          <w:szCs w:val="24"/>
        </w:rPr>
        <w:t>ing</w:t>
      </w:r>
      <w:r w:rsidR="00C0665B">
        <w:rPr>
          <w:rFonts w:cs="Arial"/>
          <w:szCs w:val="24"/>
        </w:rPr>
        <w:t xml:space="preserve"> the savage attack of </w:t>
      </w:r>
      <w:r w:rsidR="003C209A">
        <w:rPr>
          <w:rFonts w:cs="Arial"/>
          <w:szCs w:val="24"/>
        </w:rPr>
        <w:t xml:space="preserve">her husband by two </w:t>
      </w:r>
      <w:r w:rsidR="000670AF">
        <w:rPr>
          <w:rFonts w:cs="Arial"/>
          <w:szCs w:val="24"/>
        </w:rPr>
        <w:t>r</w:t>
      </w:r>
      <w:r w:rsidR="003C209A">
        <w:rPr>
          <w:rFonts w:cs="Arial"/>
          <w:szCs w:val="24"/>
        </w:rPr>
        <w:t>ottweiler dogs</w:t>
      </w:r>
      <w:r w:rsidR="000670AF">
        <w:rPr>
          <w:rFonts w:cs="Arial"/>
          <w:szCs w:val="24"/>
        </w:rPr>
        <w:t>, one of which she had regarded as “dangerous”.</w:t>
      </w:r>
      <w:r w:rsidR="000670AF">
        <w:rPr>
          <w:rStyle w:val="FootnoteReference"/>
          <w:rFonts w:cs="Arial"/>
          <w:szCs w:val="24"/>
        </w:rPr>
        <w:footnoteReference w:id="474"/>
      </w:r>
      <w:r w:rsidR="000670AF">
        <w:rPr>
          <w:rFonts w:cs="Arial"/>
          <w:szCs w:val="24"/>
        </w:rPr>
        <w:t xml:space="preserve"> </w:t>
      </w:r>
      <w:r w:rsidR="002959F8">
        <w:rPr>
          <w:rFonts w:cs="Arial"/>
          <w:szCs w:val="24"/>
        </w:rPr>
        <w:t>The Court upheld the damages awarded for the “subsequent physical disorder caused by nervous shock” resulting from the dog attack.</w:t>
      </w:r>
      <w:r w:rsidR="002959F8">
        <w:rPr>
          <w:rStyle w:val="FootnoteReference"/>
          <w:rFonts w:cs="Arial"/>
          <w:szCs w:val="24"/>
        </w:rPr>
        <w:footnoteReference w:id="475"/>
      </w:r>
    </w:p>
    <w:p w14:paraId="221D1971" w14:textId="54B63D39" w:rsidR="00292C89" w:rsidRDefault="00F91A79" w:rsidP="00292C89">
      <w:pPr>
        <w:rPr>
          <w:rFonts w:cs="Arial"/>
          <w:szCs w:val="24"/>
        </w:rPr>
      </w:pPr>
      <w:r>
        <w:rPr>
          <w:rFonts w:cs="Arial"/>
          <w:szCs w:val="24"/>
        </w:rPr>
        <w:t xml:space="preserve">It should be noted that awards </w:t>
      </w:r>
      <w:r w:rsidR="009B24C7">
        <w:rPr>
          <w:rFonts w:cs="Arial"/>
          <w:szCs w:val="24"/>
        </w:rPr>
        <w:t xml:space="preserve">for emotional shock </w:t>
      </w:r>
      <w:r>
        <w:rPr>
          <w:rFonts w:cs="Arial"/>
          <w:szCs w:val="24"/>
        </w:rPr>
        <w:t>are not lim</w:t>
      </w:r>
      <w:r w:rsidR="00DC22AB">
        <w:rPr>
          <w:rFonts w:cs="Arial"/>
          <w:szCs w:val="24"/>
        </w:rPr>
        <w:t>i</w:t>
      </w:r>
      <w:r>
        <w:rPr>
          <w:rFonts w:cs="Arial"/>
          <w:szCs w:val="24"/>
        </w:rPr>
        <w:t>ted to the negligent caus</w:t>
      </w:r>
      <w:r w:rsidR="00180047">
        <w:rPr>
          <w:rFonts w:cs="Arial"/>
          <w:szCs w:val="24"/>
        </w:rPr>
        <w:t>ation</w:t>
      </w:r>
      <w:r>
        <w:rPr>
          <w:rFonts w:cs="Arial"/>
          <w:szCs w:val="24"/>
        </w:rPr>
        <w:t xml:space="preserve"> of </w:t>
      </w:r>
      <w:r w:rsidR="009B24C7">
        <w:rPr>
          <w:rFonts w:cs="Arial"/>
          <w:szCs w:val="24"/>
        </w:rPr>
        <w:t>thereof</w:t>
      </w:r>
      <w:r>
        <w:rPr>
          <w:rFonts w:cs="Arial"/>
          <w:szCs w:val="24"/>
        </w:rPr>
        <w:t>, as damages for the intentional caus</w:t>
      </w:r>
      <w:r w:rsidR="00180047">
        <w:rPr>
          <w:rFonts w:cs="Arial"/>
          <w:szCs w:val="24"/>
        </w:rPr>
        <w:t>ation</w:t>
      </w:r>
      <w:r>
        <w:rPr>
          <w:rFonts w:cs="Arial"/>
          <w:szCs w:val="24"/>
        </w:rPr>
        <w:t xml:space="preserve"> of emotional shock was awarded as far back as 1978. </w:t>
      </w:r>
      <w:r w:rsidR="00292C89">
        <w:rPr>
          <w:rFonts w:cs="Arial"/>
          <w:szCs w:val="24"/>
        </w:rPr>
        <w:t xml:space="preserve">In the case of </w:t>
      </w:r>
      <w:r w:rsidR="00292C89">
        <w:rPr>
          <w:rFonts w:cs="Arial"/>
          <w:i/>
          <w:iCs/>
          <w:szCs w:val="24"/>
        </w:rPr>
        <w:t>Boswell v Minister of Police &amp; Another</w:t>
      </w:r>
      <w:r w:rsidR="00292C89">
        <w:rPr>
          <w:rFonts w:cs="Arial"/>
          <w:szCs w:val="24"/>
        </w:rPr>
        <w:t>,</w:t>
      </w:r>
      <w:r w:rsidR="00292C89">
        <w:rPr>
          <w:rStyle w:val="FootnoteReference"/>
          <w:rFonts w:cs="Arial"/>
          <w:szCs w:val="24"/>
        </w:rPr>
        <w:footnoteReference w:id="476"/>
      </w:r>
      <w:r w:rsidR="00292C89">
        <w:rPr>
          <w:rFonts w:cs="Arial"/>
          <w:szCs w:val="24"/>
        </w:rPr>
        <w:t xml:space="preserve"> a sixty</w:t>
      </w:r>
      <w:r w:rsidR="006514ED">
        <w:rPr>
          <w:rFonts w:cs="Arial"/>
          <w:szCs w:val="24"/>
        </w:rPr>
        <w:t xml:space="preserve"> </w:t>
      </w:r>
      <w:r w:rsidR="00292C89">
        <w:rPr>
          <w:rFonts w:cs="Arial"/>
          <w:szCs w:val="24"/>
        </w:rPr>
        <w:t>year-old widow became weak and collapsed after a police constable wrongfully, unlawfully and falsely informed her of the death of her nephew.</w:t>
      </w:r>
      <w:r w:rsidR="00292C89">
        <w:rPr>
          <w:rStyle w:val="FootnoteReference"/>
          <w:rFonts w:cs="Arial"/>
          <w:szCs w:val="24"/>
        </w:rPr>
        <w:footnoteReference w:id="477"/>
      </w:r>
      <w:r w:rsidR="00292C89">
        <w:rPr>
          <w:rFonts w:cs="Arial"/>
          <w:szCs w:val="24"/>
        </w:rPr>
        <w:t xml:space="preserve"> The constable’s intentional conduct caused Ms Boswell to suffer from high blood pressure, which condition was allegedly either triggered or worsened by the shock.</w:t>
      </w:r>
      <w:r w:rsidR="00292C89">
        <w:rPr>
          <w:rStyle w:val="FootnoteReference"/>
          <w:rFonts w:cs="Arial"/>
          <w:szCs w:val="24"/>
        </w:rPr>
        <w:footnoteReference w:id="478"/>
      </w:r>
      <w:r w:rsidR="00292C89">
        <w:rPr>
          <w:rFonts w:cs="Arial"/>
          <w:szCs w:val="24"/>
        </w:rPr>
        <w:t xml:space="preserve"> Although Ms Boswell did display physical symptoms, the Court based its finding on the fact that </w:t>
      </w:r>
      <w:r w:rsidR="00180047">
        <w:rPr>
          <w:rFonts w:cs="Arial"/>
          <w:szCs w:val="24"/>
        </w:rPr>
        <w:t>t</w:t>
      </w:r>
      <w:r w:rsidR="00292C89">
        <w:rPr>
          <w:rFonts w:cs="Arial"/>
          <w:szCs w:val="24"/>
        </w:rPr>
        <w:t>he official should reasonably have foreseen that his deliberately false and unjustifiable statements would shock and frighten the victim.</w:t>
      </w:r>
      <w:r w:rsidR="00292C89">
        <w:rPr>
          <w:rStyle w:val="FootnoteReference"/>
          <w:rFonts w:cs="Arial"/>
          <w:szCs w:val="24"/>
        </w:rPr>
        <w:footnoteReference w:id="479"/>
      </w:r>
    </w:p>
    <w:p w14:paraId="7EDA9550" w14:textId="371FEF5F" w:rsidR="00420641" w:rsidRDefault="002977D8" w:rsidP="00C5627E">
      <w:pPr>
        <w:rPr>
          <w:rFonts w:cs="Arial"/>
          <w:szCs w:val="24"/>
        </w:rPr>
      </w:pPr>
      <w:r w:rsidRPr="001D3D16">
        <w:rPr>
          <w:rFonts w:cs="Arial"/>
          <w:szCs w:val="24"/>
        </w:rPr>
        <w:t xml:space="preserve">In the case of </w:t>
      </w:r>
      <w:r w:rsidR="001478D7" w:rsidRPr="00B97525">
        <w:rPr>
          <w:rFonts w:cs="Arial"/>
          <w:i/>
          <w:iCs/>
          <w:szCs w:val="24"/>
        </w:rPr>
        <w:t>Potgieter v Rangasamy &amp; Another</w:t>
      </w:r>
      <w:r w:rsidR="001478D7" w:rsidRPr="006514ED">
        <w:rPr>
          <w:rFonts w:cs="Arial"/>
          <w:szCs w:val="24"/>
        </w:rPr>
        <w:t>,</w:t>
      </w:r>
      <w:r w:rsidR="001478D7" w:rsidRPr="006514ED">
        <w:rPr>
          <w:rStyle w:val="FootnoteReference"/>
          <w:rFonts w:cs="Arial"/>
          <w:szCs w:val="24"/>
        </w:rPr>
        <w:footnoteReference w:id="480"/>
      </w:r>
      <w:r w:rsidRPr="006514ED">
        <w:rPr>
          <w:rFonts w:cs="Arial"/>
          <w:i/>
          <w:iCs/>
          <w:szCs w:val="24"/>
        </w:rPr>
        <w:t xml:space="preserve"> </w:t>
      </w:r>
      <w:r w:rsidR="001478D7">
        <w:rPr>
          <w:rFonts w:cs="Arial"/>
          <w:szCs w:val="24"/>
        </w:rPr>
        <w:t xml:space="preserve">Ms Potgieter was accompanying 30 netball players to a tournament in Potchefstroom, when the driver of the bus they were travelling in fell asleep, causing an accident that killed three of the </w:t>
      </w:r>
      <w:r w:rsidR="00420641">
        <w:rPr>
          <w:rFonts w:cs="Arial"/>
          <w:szCs w:val="24"/>
        </w:rPr>
        <w:t xml:space="preserve">children </w:t>
      </w:r>
      <w:r w:rsidR="001478D7">
        <w:rPr>
          <w:rFonts w:cs="Arial"/>
          <w:szCs w:val="24"/>
        </w:rPr>
        <w:t>on the bus.</w:t>
      </w:r>
      <w:r w:rsidR="00D50BF2">
        <w:rPr>
          <w:rStyle w:val="FootnoteReference"/>
          <w:rFonts w:cs="Arial"/>
          <w:szCs w:val="24"/>
        </w:rPr>
        <w:footnoteReference w:id="481"/>
      </w:r>
      <w:r w:rsidRPr="001D3D16">
        <w:rPr>
          <w:rFonts w:cs="Arial"/>
          <w:szCs w:val="24"/>
        </w:rPr>
        <w:t xml:space="preserve"> </w:t>
      </w:r>
      <w:r w:rsidR="00420641">
        <w:rPr>
          <w:rFonts w:cs="Arial"/>
          <w:szCs w:val="24"/>
        </w:rPr>
        <w:t xml:space="preserve">The Court awarded damages resulting from the emotional shock </w:t>
      </w:r>
      <w:r w:rsidR="0082552A">
        <w:rPr>
          <w:rFonts w:cs="Arial"/>
          <w:szCs w:val="24"/>
        </w:rPr>
        <w:t xml:space="preserve">as </w:t>
      </w:r>
      <w:r w:rsidR="00420641">
        <w:rPr>
          <w:rFonts w:cs="Arial"/>
          <w:szCs w:val="24"/>
        </w:rPr>
        <w:t xml:space="preserve">Ms Potgieter </w:t>
      </w:r>
      <w:r w:rsidR="0082552A">
        <w:rPr>
          <w:rFonts w:cs="Arial"/>
          <w:szCs w:val="24"/>
        </w:rPr>
        <w:t>experienced it</w:t>
      </w:r>
      <w:r w:rsidR="00420641">
        <w:rPr>
          <w:rFonts w:cs="Arial"/>
          <w:szCs w:val="24"/>
        </w:rPr>
        <w:t>.</w:t>
      </w:r>
      <w:r w:rsidR="00420641">
        <w:rPr>
          <w:rStyle w:val="FootnoteReference"/>
          <w:rFonts w:cs="Arial"/>
          <w:szCs w:val="24"/>
        </w:rPr>
        <w:footnoteReference w:id="482"/>
      </w:r>
    </w:p>
    <w:p w14:paraId="129ACE29" w14:textId="36C599CA" w:rsidR="004F41F5" w:rsidRPr="00BE1DAF" w:rsidRDefault="004F41F5" w:rsidP="004F41F5">
      <w:pPr>
        <w:rPr>
          <w:rFonts w:cs="Arial"/>
          <w:szCs w:val="24"/>
        </w:rPr>
      </w:pPr>
      <w:r w:rsidRPr="00BE1DAF">
        <w:rPr>
          <w:rFonts w:cs="Arial"/>
          <w:szCs w:val="24"/>
        </w:rPr>
        <w:t xml:space="preserve">The foregoing cases serve to reiterate the only established limitation of these damages claims, </w:t>
      </w:r>
      <w:r w:rsidR="00180047">
        <w:rPr>
          <w:rFonts w:cs="Arial"/>
          <w:szCs w:val="24"/>
        </w:rPr>
        <w:t>a</w:t>
      </w:r>
      <w:r w:rsidRPr="00BE1DAF">
        <w:rPr>
          <w:rFonts w:cs="Arial"/>
          <w:szCs w:val="24"/>
        </w:rPr>
        <w:t>s the onus of proof, and in particular the requirements for delictual liability.</w:t>
      </w:r>
      <w:r w:rsidRPr="00131264">
        <w:rPr>
          <w:rStyle w:val="FootnoteReference"/>
          <w:rFonts w:cs="Arial"/>
          <w:szCs w:val="24"/>
        </w:rPr>
        <w:footnoteReference w:id="483"/>
      </w:r>
    </w:p>
    <w:p w14:paraId="50569CA4" w14:textId="77777777" w:rsidR="00617087" w:rsidRDefault="00617087" w:rsidP="00C5627E">
      <w:pPr>
        <w:rPr>
          <w:rFonts w:cs="Arial"/>
          <w:szCs w:val="24"/>
        </w:rPr>
      </w:pPr>
    </w:p>
    <w:p w14:paraId="7F8A3789" w14:textId="0853B8CC" w:rsidR="002977D8" w:rsidRPr="00977269" w:rsidRDefault="004F41F5" w:rsidP="00C5627E">
      <w:pPr>
        <w:pStyle w:val="Heading2"/>
        <w:numPr>
          <w:ilvl w:val="1"/>
          <w:numId w:val="22"/>
        </w:numPr>
        <w:ind w:left="567" w:hanging="567"/>
        <w:rPr>
          <w:b w:val="0"/>
          <w:bCs/>
        </w:rPr>
      </w:pPr>
      <w:bookmarkStart w:id="59" w:name="_Toc191216303"/>
      <w:r>
        <w:rPr>
          <w:bCs/>
        </w:rPr>
        <w:t xml:space="preserve">The potential effect of </w:t>
      </w:r>
      <w:r>
        <w:rPr>
          <w:bCs/>
          <w:i/>
          <w:iCs/>
        </w:rPr>
        <w:t>de bloedige hand</w:t>
      </w:r>
      <w:r>
        <w:rPr>
          <w:bCs/>
        </w:rPr>
        <w:t xml:space="preserve"> in the law of delict</w:t>
      </w:r>
      <w:bookmarkEnd w:id="59"/>
    </w:p>
    <w:p w14:paraId="340B17D3" w14:textId="63A570FC" w:rsidR="00F65908" w:rsidRPr="00F65908" w:rsidRDefault="00F65908" w:rsidP="00F65908">
      <w:pPr>
        <w:rPr>
          <w:rFonts w:cs="Arial"/>
          <w:szCs w:val="24"/>
        </w:rPr>
      </w:pPr>
      <w:r w:rsidRPr="00F65908">
        <w:rPr>
          <w:rFonts w:cs="Arial"/>
          <w:szCs w:val="24"/>
        </w:rPr>
        <w:t xml:space="preserve">Since the decision of </w:t>
      </w:r>
      <w:r w:rsidRPr="00F65908">
        <w:rPr>
          <w:rFonts w:cs="Arial"/>
          <w:i/>
          <w:iCs/>
          <w:szCs w:val="24"/>
        </w:rPr>
        <w:t>Bester</w:t>
      </w:r>
      <w:r w:rsidRPr="00F65908">
        <w:rPr>
          <w:rFonts w:cs="Arial"/>
          <w:szCs w:val="24"/>
        </w:rPr>
        <w:t xml:space="preserve">, reasonableness </w:t>
      </w:r>
      <w:r>
        <w:rPr>
          <w:rFonts w:cs="Arial"/>
          <w:szCs w:val="24"/>
        </w:rPr>
        <w:t xml:space="preserve">is </w:t>
      </w:r>
      <w:r w:rsidRPr="00F65908">
        <w:rPr>
          <w:rFonts w:cs="Arial"/>
          <w:szCs w:val="24"/>
        </w:rPr>
        <w:t xml:space="preserve">the yardstick </w:t>
      </w:r>
      <w:r>
        <w:rPr>
          <w:rFonts w:cs="Arial"/>
          <w:szCs w:val="24"/>
        </w:rPr>
        <w:t xml:space="preserve">for determining </w:t>
      </w:r>
      <w:r w:rsidRPr="00F65908">
        <w:rPr>
          <w:rFonts w:cs="Arial"/>
          <w:szCs w:val="24"/>
        </w:rPr>
        <w:t>whether an award for damages resulting from emotional shock should be awarded.</w:t>
      </w:r>
      <w:r>
        <w:rPr>
          <w:rStyle w:val="FootnoteReference"/>
          <w:rFonts w:cs="Arial"/>
          <w:szCs w:val="24"/>
        </w:rPr>
        <w:footnoteReference w:id="484"/>
      </w:r>
      <w:r w:rsidRPr="00F65908">
        <w:rPr>
          <w:rFonts w:cs="Arial"/>
          <w:szCs w:val="24"/>
        </w:rPr>
        <w:t xml:space="preserve"> This </w:t>
      </w:r>
      <w:r>
        <w:rPr>
          <w:rFonts w:cs="Arial"/>
          <w:szCs w:val="24"/>
        </w:rPr>
        <w:t xml:space="preserve">same </w:t>
      </w:r>
      <w:r>
        <w:rPr>
          <w:rFonts w:cs="Arial"/>
          <w:szCs w:val="24"/>
        </w:rPr>
        <w:lastRenderedPageBreak/>
        <w:t>yardstick is used to determine whether a person’s conduct warrants labelling him as unworthy to inherit from a deceased</w:t>
      </w:r>
      <w:r w:rsidRPr="00F65908">
        <w:rPr>
          <w:rFonts w:cs="Arial"/>
          <w:szCs w:val="24"/>
        </w:rPr>
        <w:t>. A second similarity between the concepts</w:t>
      </w:r>
      <w:r>
        <w:rPr>
          <w:rFonts w:cs="Arial"/>
          <w:szCs w:val="24"/>
        </w:rPr>
        <w:t xml:space="preserve"> of unworthiness and an award for damages resulting from emotional shock</w:t>
      </w:r>
      <w:r w:rsidRPr="00F65908">
        <w:rPr>
          <w:rFonts w:cs="Arial"/>
          <w:szCs w:val="24"/>
        </w:rPr>
        <w:t>, is that both were extended over time to find application in novel situations.</w:t>
      </w:r>
      <w:r w:rsidRPr="00F65908">
        <w:rPr>
          <w:rStyle w:val="FootnoteReference"/>
          <w:rFonts w:cs="Arial"/>
          <w:szCs w:val="24"/>
        </w:rPr>
        <w:footnoteReference w:id="485"/>
      </w:r>
    </w:p>
    <w:p w14:paraId="1CEFE20B" w14:textId="097E14D8" w:rsidR="00AB6701" w:rsidRDefault="00AB6701" w:rsidP="00AB6701">
      <w:pPr>
        <w:rPr>
          <w:rFonts w:cs="Arial"/>
          <w:szCs w:val="24"/>
        </w:rPr>
      </w:pPr>
      <w:r>
        <w:rPr>
          <w:rFonts w:cs="Arial"/>
          <w:szCs w:val="24"/>
        </w:rPr>
        <w:t xml:space="preserve">But why dedicate an entire chapter </w:t>
      </w:r>
      <w:r w:rsidRPr="00F65908">
        <w:rPr>
          <w:rFonts w:cs="Arial"/>
          <w:szCs w:val="24"/>
        </w:rPr>
        <w:t xml:space="preserve">to a subdivision of the </w:t>
      </w:r>
      <w:r>
        <w:rPr>
          <w:rFonts w:cs="Arial"/>
          <w:szCs w:val="24"/>
        </w:rPr>
        <w:t xml:space="preserve">law of delict, addressing a principle initially limited to </w:t>
      </w:r>
      <w:r w:rsidRPr="00F65908">
        <w:rPr>
          <w:rFonts w:cs="Arial"/>
          <w:szCs w:val="24"/>
        </w:rPr>
        <w:t xml:space="preserve">motor vehicle </w:t>
      </w:r>
      <w:r>
        <w:rPr>
          <w:rFonts w:cs="Arial"/>
          <w:szCs w:val="24"/>
        </w:rPr>
        <w:t>collisions</w:t>
      </w:r>
      <w:r w:rsidRPr="00F65908">
        <w:rPr>
          <w:rFonts w:cs="Arial"/>
          <w:szCs w:val="24"/>
        </w:rPr>
        <w:t xml:space="preserve">? </w:t>
      </w:r>
      <w:r>
        <w:rPr>
          <w:rFonts w:cs="Arial"/>
          <w:szCs w:val="24"/>
        </w:rPr>
        <w:t xml:space="preserve">Because if read with </w:t>
      </w:r>
      <w:r w:rsidRPr="00F65908">
        <w:rPr>
          <w:rFonts w:cs="Arial"/>
          <w:szCs w:val="24"/>
        </w:rPr>
        <w:t>Chapters II</w:t>
      </w:r>
      <w:r>
        <w:rPr>
          <w:rFonts w:cs="Arial"/>
          <w:szCs w:val="24"/>
        </w:rPr>
        <w:t xml:space="preserve"> and </w:t>
      </w:r>
      <w:r w:rsidRPr="00F65908">
        <w:rPr>
          <w:rFonts w:cs="Arial"/>
          <w:szCs w:val="24"/>
        </w:rPr>
        <w:t xml:space="preserve">III, </w:t>
      </w:r>
      <w:r>
        <w:rPr>
          <w:rFonts w:cs="Arial"/>
          <w:szCs w:val="24"/>
        </w:rPr>
        <w:t>the following becomes clear:</w:t>
      </w:r>
    </w:p>
    <w:p w14:paraId="1FC3D77E" w14:textId="7A3EA279" w:rsidR="00AB6701" w:rsidRDefault="00AB6701" w:rsidP="00FA21F7">
      <w:pPr>
        <w:pStyle w:val="ListParagraph"/>
        <w:numPr>
          <w:ilvl w:val="0"/>
          <w:numId w:val="47"/>
        </w:numPr>
        <w:ind w:left="567" w:hanging="567"/>
        <w:rPr>
          <w:rFonts w:cs="Arial"/>
          <w:szCs w:val="24"/>
        </w:rPr>
      </w:pPr>
      <w:r>
        <w:rPr>
          <w:rFonts w:cs="Arial"/>
          <w:szCs w:val="24"/>
        </w:rPr>
        <w:t>E</w:t>
      </w:r>
      <w:r w:rsidRPr="00F65908">
        <w:rPr>
          <w:rFonts w:cs="Arial"/>
          <w:szCs w:val="24"/>
        </w:rPr>
        <w:t>very murder victim is survived by at least one family member, whether it be a parent, spouse, child, or sibling</w:t>
      </w:r>
      <w:r>
        <w:rPr>
          <w:rFonts w:cs="Arial"/>
          <w:szCs w:val="24"/>
        </w:rPr>
        <w:t>, which survivors suffer as a result of the murderer’s conduct.</w:t>
      </w:r>
    </w:p>
    <w:p w14:paraId="6980BF93" w14:textId="71D2F23E" w:rsidR="00F65908" w:rsidRDefault="00955869" w:rsidP="00FA21F7">
      <w:pPr>
        <w:pStyle w:val="ListParagraph"/>
        <w:numPr>
          <w:ilvl w:val="0"/>
          <w:numId w:val="47"/>
        </w:numPr>
        <w:ind w:left="567" w:hanging="567"/>
        <w:rPr>
          <w:rFonts w:cs="Arial"/>
          <w:szCs w:val="24"/>
        </w:rPr>
      </w:pPr>
      <w:r>
        <w:rPr>
          <w:rFonts w:cs="Arial"/>
          <w:szCs w:val="24"/>
        </w:rPr>
        <w:t>If</w:t>
      </w:r>
      <w:r w:rsidR="00F65908" w:rsidRPr="00955869">
        <w:rPr>
          <w:rFonts w:cs="Arial"/>
          <w:szCs w:val="24"/>
        </w:rPr>
        <w:t xml:space="preserve"> someone murders their spouse, parent of child, </w:t>
      </w:r>
      <w:r w:rsidR="00AB6701">
        <w:rPr>
          <w:rFonts w:cs="Arial"/>
          <w:szCs w:val="24"/>
        </w:rPr>
        <w:t xml:space="preserve">a competent </w:t>
      </w:r>
      <w:r w:rsidR="00AF6A78">
        <w:rPr>
          <w:rFonts w:cs="Arial"/>
          <w:szCs w:val="24"/>
        </w:rPr>
        <w:t>c</w:t>
      </w:r>
      <w:r w:rsidR="00AB6701">
        <w:rPr>
          <w:rFonts w:cs="Arial"/>
          <w:szCs w:val="24"/>
        </w:rPr>
        <w:t xml:space="preserve">ourt may declare such person </w:t>
      </w:r>
      <w:r w:rsidRPr="00955869">
        <w:rPr>
          <w:rFonts w:cs="Arial"/>
          <w:szCs w:val="24"/>
        </w:rPr>
        <w:t>unworthy to inherit from their victim.</w:t>
      </w:r>
    </w:p>
    <w:p w14:paraId="08D79A45" w14:textId="3AC56C9B" w:rsidR="00955869" w:rsidRDefault="00AB6701" w:rsidP="00FA21F7">
      <w:pPr>
        <w:pStyle w:val="ListParagraph"/>
        <w:numPr>
          <w:ilvl w:val="0"/>
          <w:numId w:val="47"/>
        </w:numPr>
        <w:ind w:left="567" w:hanging="567"/>
        <w:rPr>
          <w:rFonts w:cs="Arial"/>
          <w:szCs w:val="24"/>
        </w:rPr>
      </w:pPr>
      <w:r>
        <w:rPr>
          <w:rFonts w:cs="Arial"/>
          <w:szCs w:val="24"/>
        </w:rPr>
        <w:t xml:space="preserve">An unworthy heir is not only disqualified from taking benefits accruing by virtue of the </w:t>
      </w:r>
      <w:r w:rsidR="00955869">
        <w:rPr>
          <w:rFonts w:cs="Arial"/>
          <w:szCs w:val="24"/>
        </w:rPr>
        <w:t>law of succession; unworthy heirs are also prohibited from claiming under certain headings of civil law, family law, insurance law and statute.</w:t>
      </w:r>
    </w:p>
    <w:p w14:paraId="448B88E3" w14:textId="35E7225A" w:rsidR="00955869" w:rsidRDefault="00955869" w:rsidP="00FA21F7">
      <w:pPr>
        <w:pStyle w:val="ListParagraph"/>
        <w:numPr>
          <w:ilvl w:val="0"/>
          <w:numId w:val="47"/>
        </w:numPr>
        <w:ind w:left="567" w:hanging="567"/>
        <w:rPr>
          <w:rFonts w:cs="Arial"/>
          <w:szCs w:val="24"/>
        </w:rPr>
      </w:pPr>
      <w:r>
        <w:rPr>
          <w:rFonts w:cs="Arial"/>
          <w:szCs w:val="24"/>
        </w:rPr>
        <w:t xml:space="preserve">The law of delict avails compensation </w:t>
      </w:r>
      <w:r w:rsidR="00AB6701">
        <w:rPr>
          <w:rFonts w:cs="Arial"/>
          <w:szCs w:val="24"/>
        </w:rPr>
        <w:t xml:space="preserve">in the form of damages </w:t>
      </w:r>
      <w:r>
        <w:rPr>
          <w:rFonts w:cs="Arial"/>
          <w:szCs w:val="24"/>
        </w:rPr>
        <w:t>to individuals who suffered emotional shock at the hand of another’s wrongful conduct.</w:t>
      </w:r>
    </w:p>
    <w:p w14:paraId="755E4ED6" w14:textId="0D4E31EF" w:rsidR="00FA21F7" w:rsidRDefault="00AB6701" w:rsidP="00FA21F7">
      <w:pPr>
        <w:pStyle w:val="ListParagraph"/>
        <w:numPr>
          <w:ilvl w:val="0"/>
          <w:numId w:val="47"/>
        </w:numPr>
        <w:ind w:left="567" w:hanging="567"/>
        <w:rPr>
          <w:rFonts w:cs="Arial"/>
          <w:szCs w:val="24"/>
        </w:rPr>
      </w:pPr>
      <w:r>
        <w:rPr>
          <w:rFonts w:cs="Arial"/>
          <w:szCs w:val="24"/>
        </w:rPr>
        <w:t xml:space="preserve">In principle, </w:t>
      </w:r>
      <w:r w:rsidR="00FA21F7">
        <w:rPr>
          <w:rFonts w:cs="Arial"/>
          <w:szCs w:val="24"/>
        </w:rPr>
        <w:t xml:space="preserve">there is no prohibition on extending either </w:t>
      </w:r>
      <w:r w:rsidR="00FA21F7">
        <w:rPr>
          <w:rFonts w:cs="Arial"/>
          <w:i/>
          <w:iCs/>
          <w:szCs w:val="24"/>
        </w:rPr>
        <w:t>de bloedige hand</w:t>
      </w:r>
      <w:r w:rsidR="00FA21F7">
        <w:rPr>
          <w:rFonts w:cs="Arial"/>
          <w:szCs w:val="24"/>
        </w:rPr>
        <w:t xml:space="preserve"> or emotional damages beyond the areas in which they currently find application, subject to </w:t>
      </w:r>
      <w:r w:rsidR="008B4C8B">
        <w:rPr>
          <w:rFonts w:cs="Arial"/>
          <w:szCs w:val="24"/>
        </w:rPr>
        <w:t xml:space="preserve">meeting </w:t>
      </w:r>
      <w:r w:rsidR="00FA21F7">
        <w:rPr>
          <w:rFonts w:cs="Arial"/>
          <w:szCs w:val="24"/>
        </w:rPr>
        <w:t>the inherent requirements of each.</w:t>
      </w:r>
    </w:p>
    <w:p w14:paraId="7529C92C" w14:textId="155696A1" w:rsidR="00FA21F7" w:rsidRDefault="00FA21F7" w:rsidP="00C5627E">
      <w:pPr>
        <w:rPr>
          <w:rFonts w:cs="Arial"/>
          <w:szCs w:val="24"/>
        </w:rPr>
      </w:pPr>
      <w:r>
        <w:rPr>
          <w:rFonts w:cs="Arial"/>
          <w:szCs w:val="24"/>
        </w:rPr>
        <w:t>In principle,</w:t>
      </w:r>
      <w:r w:rsidR="008B4C8B">
        <w:rPr>
          <w:rFonts w:cs="Arial"/>
          <w:szCs w:val="24"/>
        </w:rPr>
        <w:t xml:space="preserve"> thus,</w:t>
      </w:r>
      <w:r>
        <w:rPr>
          <w:rFonts w:cs="Arial"/>
          <w:szCs w:val="24"/>
        </w:rPr>
        <w:t xml:space="preserve"> the family members of a murder victim </w:t>
      </w:r>
      <w:r w:rsidR="008B4C8B">
        <w:rPr>
          <w:rFonts w:cs="Arial"/>
          <w:szCs w:val="24"/>
        </w:rPr>
        <w:t xml:space="preserve">could insert </w:t>
      </w:r>
      <w:r>
        <w:rPr>
          <w:rFonts w:cs="Arial"/>
          <w:szCs w:val="24"/>
        </w:rPr>
        <w:t xml:space="preserve">an additional prayer when requesting a </w:t>
      </w:r>
      <w:r w:rsidR="00B15802">
        <w:rPr>
          <w:rFonts w:cs="Arial"/>
          <w:szCs w:val="24"/>
        </w:rPr>
        <w:t>c</w:t>
      </w:r>
      <w:r>
        <w:rPr>
          <w:rFonts w:cs="Arial"/>
          <w:szCs w:val="24"/>
        </w:rPr>
        <w:t xml:space="preserve">ourt to declare a murderer unworthy of taking any benefit from the deceased: that such murderer be ordered to compensate </w:t>
      </w:r>
      <w:r w:rsidR="008B4C8B">
        <w:rPr>
          <w:rFonts w:cs="Arial"/>
          <w:szCs w:val="24"/>
        </w:rPr>
        <w:t xml:space="preserve">suitably affected </w:t>
      </w:r>
      <w:r>
        <w:rPr>
          <w:rFonts w:cs="Arial"/>
          <w:szCs w:val="24"/>
        </w:rPr>
        <w:t xml:space="preserve">family members </w:t>
      </w:r>
      <w:r w:rsidR="008B4C8B">
        <w:rPr>
          <w:rFonts w:cs="Arial"/>
          <w:szCs w:val="24"/>
        </w:rPr>
        <w:t xml:space="preserve">for </w:t>
      </w:r>
      <w:r>
        <w:rPr>
          <w:rFonts w:cs="Arial"/>
          <w:szCs w:val="24"/>
        </w:rPr>
        <w:t xml:space="preserve">the trauma </w:t>
      </w:r>
      <w:r w:rsidR="008B4C8B">
        <w:rPr>
          <w:rFonts w:cs="Arial"/>
          <w:szCs w:val="24"/>
        </w:rPr>
        <w:t xml:space="preserve">they suffered </w:t>
      </w:r>
      <w:r>
        <w:rPr>
          <w:rFonts w:cs="Arial"/>
          <w:szCs w:val="24"/>
        </w:rPr>
        <w:t>by virtue of their deplorable, reproachable and vile conduct.</w:t>
      </w:r>
      <w:r w:rsidR="00BE1DAF">
        <w:rPr>
          <w:rStyle w:val="FootnoteReference"/>
          <w:rFonts w:cs="Arial"/>
          <w:szCs w:val="24"/>
        </w:rPr>
        <w:footnoteReference w:id="486"/>
      </w:r>
    </w:p>
    <w:p w14:paraId="099B136A" w14:textId="2F06F79F" w:rsidR="004F41F5" w:rsidRDefault="008B4C8B" w:rsidP="008B4C8B">
      <w:pPr>
        <w:rPr>
          <w:rFonts w:cs="Arial"/>
          <w:szCs w:val="24"/>
        </w:rPr>
      </w:pPr>
      <w:r>
        <w:rPr>
          <w:rFonts w:cs="Arial"/>
          <w:szCs w:val="24"/>
        </w:rPr>
        <w:t>As stated, the only requirements are that the relevant family member must have suffered detectable emotional injury, which injury must be the reasonably foreseeable result of the murderer</w:t>
      </w:r>
      <w:r w:rsidR="00F94E5D">
        <w:rPr>
          <w:rFonts w:cs="Arial"/>
          <w:szCs w:val="24"/>
        </w:rPr>
        <w:t>’</w:t>
      </w:r>
      <w:r>
        <w:rPr>
          <w:rFonts w:cs="Arial"/>
          <w:szCs w:val="24"/>
        </w:rPr>
        <w:t>s unacceptable, unjust and unlawful conduct.</w:t>
      </w:r>
    </w:p>
    <w:p w14:paraId="6733C473" w14:textId="77777777" w:rsidR="004F41F5" w:rsidRDefault="004F41F5" w:rsidP="008B4C8B">
      <w:pPr>
        <w:rPr>
          <w:rFonts w:cs="Arial"/>
          <w:szCs w:val="24"/>
        </w:rPr>
      </w:pPr>
    </w:p>
    <w:p w14:paraId="41D4FD6B" w14:textId="4A2D04AF" w:rsidR="004F41F5" w:rsidRDefault="004F41F5" w:rsidP="003D084F">
      <w:pPr>
        <w:pStyle w:val="Heading2"/>
        <w:numPr>
          <w:ilvl w:val="1"/>
          <w:numId w:val="22"/>
        </w:numPr>
        <w:ind w:left="567" w:hanging="567"/>
      </w:pPr>
      <w:bookmarkStart w:id="60" w:name="_Toc191216304"/>
      <w:r>
        <w:lastRenderedPageBreak/>
        <w:t>Conclusion</w:t>
      </w:r>
      <w:bookmarkEnd w:id="60"/>
    </w:p>
    <w:p w14:paraId="26920094" w14:textId="640B3438" w:rsidR="004F41F5" w:rsidRPr="003D084F" w:rsidRDefault="004F41F5" w:rsidP="004F41F5">
      <w:r>
        <w:t xml:space="preserve">From the contents of this chapter, it is no longer possible to </w:t>
      </w:r>
      <w:r w:rsidR="003D084F">
        <w:t xml:space="preserve">either deny or disregard the possibility of extending the principles of </w:t>
      </w:r>
      <w:r w:rsidR="003D084F">
        <w:rPr>
          <w:i/>
          <w:iCs/>
        </w:rPr>
        <w:t>de bloedige hand</w:t>
      </w:r>
      <w:r w:rsidR="003D084F">
        <w:t xml:space="preserve"> beyond the current fields of application and into the law of delict, as such extension is justified not only by virtue of the emotional reaction evoked, but also by virtue of the similarities between the two concepts.</w:t>
      </w:r>
    </w:p>
    <w:p w14:paraId="373DA87D" w14:textId="2624AB43" w:rsidR="00EE11FD" w:rsidRPr="004F41F5" w:rsidRDefault="00EE11FD" w:rsidP="004F41F5">
      <w:pPr>
        <w:rPr>
          <w:rFonts w:cs="Arial"/>
          <w:szCs w:val="24"/>
        </w:rPr>
      </w:pPr>
      <w:r w:rsidRPr="004F41F5">
        <w:rPr>
          <w:rFonts w:cs="Arial"/>
          <w:szCs w:val="24"/>
        </w:rPr>
        <w:br w:type="page"/>
      </w:r>
    </w:p>
    <w:p w14:paraId="7D471688" w14:textId="7C16FAA4" w:rsidR="004353C1" w:rsidRPr="004353C1" w:rsidRDefault="00DE14D0" w:rsidP="00C5627E">
      <w:pPr>
        <w:pStyle w:val="Heading1"/>
      </w:pPr>
      <w:bookmarkStart w:id="61" w:name="_Toc191216305"/>
      <w:r>
        <w:lastRenderedPageBreak/>
        <w:t xml:space="preserve">CHAPTER </w:t>
      </w:r>
      <w:r w:rsidR="00313350">
        <w:t>V</w:t>
      </w:r>
      <w:r>
        <w:t xml:space="preserve"> :</w:t>
      </w:r>
      <w:r w:rsidR="00313350">
        <w:t xml:space="preserve"> CONCLUSION AND RECOMMENDATIONS</w:t>
      </w:r>
      <w:bookmarkEnd w:id="61"/>
      <w:r w:rsidR="004353C1">
        <w:t xml:space="preserve"> </w:t>
      </w:r>
    </w:p>
    <w:p w14:paraId="39BA6F4A" w14:textId="3F500BB0" w:rsidR="00CA7ED4" w:rsidRDefault="00D7525E" w:rsidP="00CA7ED4">
      <w:pPr>
        <w:rPr>
          <w:rFonts w:eastAsiaTheme="majorEastAsia" w:cs="Arial"/>
          <w:bCs/>
          <w:szCs w:val="24"/>
        </w:rPr>
      </w:pPr>
      <w:r w:rsidRPr="00D7525E">
        <w:rPr>
          <w:rFonts w:cs="Arial"/>
          <w:szCs w:val="24"/>
        </w:rPr>
        <w:t>“The love of money is the root of all evil”</w:t>
      </w:r>
      <w:r w:rsidRPr="00D7525E">
        <w:rPr>
          <w:rStyle w:val="FootnoteReference"/>
          <w:rFonts w:cs="Arial"/>
          <w:szCs w:val="24"/>
        </w:rPr>
        <w:footnoteReference w:id="487"/>
      </w:r>
      <w:r w:rsidRPr="00D7525E">
        <w:rPr>
          <w:rFonts w:cs="Arial"/>
          <w:szCs w:val="24"/>
        </w:rPr>
        <w:t xml:space="preserve"> </w:t>
      </w:r>
      <w:r w:rsidR="00B2305D">
        <w:rPr>
          <w:rFonts w:cs="Arial"/>
          <w:szCs w:val="24"/>
        </w:rPr>
        <w:t xml:space="preserve">and </w:t>
      </w:r>
      <w:r w:rsidR="003E3162">
        <w:rPr>
          <w:rFonts w:cs="Arial"/>
          <w:szCs w:val="24"/>
        </w:rPr>
        <w:t xml:space="preserve">greed </w:t>
      </w:r>
      <w:r w:rsidR="00B2305D">
        <w:rPr>
          <w:rFonts w:cs="Arial"/>
          <w:szCs w:val="24"/>
        </w:rPr>
        <w:t xml:space="preserve">appears to be fuelling the fire of the rampant murder rate. These murders are, unfortunately, not limited to strangers entering </w:t>
      </w:r>
      <w:r w:rsidR="005A6D2A">
        <w:rPr>
          <w:rFonts w:cs="Arial"/>
          <w:szCs w:val="24"/>
        </w:rPr>
        <w:t xml:space="preserve"> one’s</w:t>
      </w:r>
      <w:r w:rsidR="00B2305D">
        <w:rPr>
          <w:rFonts w:cs="Arial"/>
          <w:szCs w:val="24"/>
        </w:rPr>
        <w:t xml:space="preserve"> personal space – many of the murders that reach headlines are of family members that killed (usually) the breadwinner for financial gain, </w:t>
      </w:r>
      <w:r w:rsidR="00F2625B">
        <w:rPr>
          <w:rFonts w:cs="Arial"/>
          <w:szCs w:val="24"/>
        </w:rPr>
        <w:t xml:space="preserve">which gain is expected in the form of either </w:t>
      </w:r>
      <w:r w:rsidR="00B2305D">
        <w:rPr>
          <w:rFonts w:cs="Arial"/>
          <w:szCs w:val="24"/>
        </w:rPr>
        <w:t>inheritance or policies.</w:t>
      </w:r>
      <w:r w:rsidR="00972599">
        <w:rPr>
          <w:rFonts w:cs="Arial"/>
          <w:szCs w:val="24"/>
        </w:rPr>
        <w:t xml:space="preserve"> </w:t>
      </w:r>
      <w:r w:rsidR="00CA7ED4" w:rsidRPr="00162144">
        <w:rPr>
          <w:rFonts w:cs="Arial"/>
          <w:szCs w:val="24"/>
        </w:rPr>
        <w:t xml:space="preserve">It </w:t>
      </w:r>
      <w:r w:rsidR="00CA7ED4">
        <w:rPr>
          <w:rFonts w:cs="Arial"/>
          <w:szCs w:val="24"/>
        </w:rPr>
        <w:t>is worth noting, though</w:t>
      </w:r>
      <w:r w:rsidR="00BE219E">
        <w:rPr>
          <w:rFonts w:cs="Arial"/>
          <w:szCs w:val="24"/>
        </w:rPr>
        <w:t>,</w:t>
      </w:r>
      <w:r w:rsidR="00CA7ED4">
        <w:rPr>
          <w:rFonts w:cs="Arial"/>
          <w:szCs w:val="24"/>
        </w:rPr>
        <w:t xml:space="preserve"> that these murders for financial gain rarely meet the</w:t>
      </w:r>
      <w:r w:rsidR="00CA7ED4" w:rsidRPr="00162144">
        <w:rPr>
          <w:rFonts w:eastAsiaTheme="majorEastAsia" w:cs="Arial"/>
          <w:bCs/>
          <w:szCs w:val="24"/>
        </w:rPr>
        <w:t xml:space="preserve"> murderer</w:t>
      </w:r>
      <w:r w:rsidR="00CA7ED4">
        <w:rPr>
          <w:rFonts w:eastAsiaTheme="majorEastAsia" w:cs="Arial"/>
          <w:bCs/>
          <w:szCs w:val="24"/>
        </w:rPr>
        <w:t>’s</w:t>
      </w:r>
      <w:r w:rsidR="00CA7ED4" w:rsidRPr="00162144">
        <w:rPr>
          <w:rFonts w:eastAsiaTheme="majorEastAsia" w:cs="Arial"/>
          <w:bCs/>
          <w:szCs w:val="24"/>
        </w:rPr>
        <w:t xml:space="preserve"> expect</w:t>
      </w:r>
      <w:r w:rsidR="00CA7ED4">
        <w:rPr>
          <w:rFonts w:eastAsiaTheme="majorEastAsia" w:cs="Arial"/>
          <w:bCs/>
          <w:szCs w:val="24"/>
        </w:rPr>
        <w:t>ation</w:t>
      </w:r>
      <w:r w:rsidR="00CA7ED4" w:rsidRPr="00162144">
        <w:rPr>
          <w:rFonts w:eastAsiaTheme="majorEastAsia" w:cs="Arial"/>
          <w:bCs/>
          <w:szCs w:val="24"/>
        </w:rPr>
        <w:t>.</w:t>
      </w:r>
      <w:r w:rsidR="00CA7ED4">
        <w:rPr>
          <w:rStyle w:val="FootnoteReference"/>
          <w:rFonts w:eastAsiaTheme="majorEastAsia" w:cs="Arial"/>
          <w:bCs/>
          <w:szCs w:val="24"/>
        </w:rPr>
        <w:footnoteReference w:id="488"/>
      </w:r>
    </w:p>
    <w:p w14:paraId="6FE24E96" w14:textId="5E6BCAEA" w:rsidR="00405878" w:rsidRPr="00405878" w:rsidRDefault="00561F04" w:rsidP="00405878">
      <w:pPr>
        <w:rPr>
          <w:rFonts w:cs="Arial"/>
          <w:szCs w:val="24"/>
        </w:rPr>
      </w:pPr>
      <w:r w:rsidRPr="00405878">
        <w:rPr>
          <w:rFonts w:eastAsiaTheme="majorEastAsia" w:cs="Arial"/>
          <w:bCs/>
          <w:szCs w:val="24"/>
        </w:rPr>
        <w:t xml:space="preserve">It can be generally accepted that each murder victim is survived by at least one family member, which family member undoubtedly suffers emotional trauma resulting from the loss brought about by the unlawful killing. </w:t>
      </w:r>
      <w:r w:rsidR="00405878" w:rsidRPr="00405878">
        <w:rPr>
          <w:rFonts w:cs="Arial"/>
          <w:szCs w:val="24"/>
        </w:rPr>
        <w:t xml:space="preserve">It is an undeniable fact that the death of a loved one is a traumatic experience for any given individual. This trauma is undoubtably exacerbated when the killer is a close relative, and even more so if </w:t>
      </w:r>
      <w:r w:rsidR="005A6D2A">
        <w:rPr>
          <w:rFonts w:cs="Arial"/>
          <w:szCs w:val="24"/>
        </w:rPr>
        <w:t xml:space="preserve">the individual </w:t>
      </w:r>
      <w:r w:rsidR="00D93C30">
        <w:rPr>
          <w:rFonts w:cs="Arial"/>
          <w:szCs w:val="24"/>
        </w:rPr>
        <w:t>was</w:t>
      </w:r>
      <w:r w:rsidR="00405878" w:rsidRPr="00405878">
        <w:rPr>
          <w:rFonts w:cs="Arial"/>
          <w:szCs w:val="24"/>
        </w:rPr>
        <w:t xml:space="preserve"> also a victim, or </w:t>
      </w:r>
      <w:r w:rsidR="00E0278E">
        <w:rPr>
          <w:rFonts w:cs="Arial"/>
          <w:szCs w:val="24"/>
        </w:rPr>
        <w:t xml:space="preserve">an innocent </w:t>
      </w:r>
      <w:r w:rsidR="00405878" w:rsidRPr="00405878">
        <w:rPr>
          <w:rFonts w:cs="Arial"/>
          <w:szCs w:val="24"/>
        </w:rPr>
        <w:t>witness to the conduct of such murderer.</w:t>
      </w:r>
      <w:r w:rsidR="00405878" w:rsidRPr="00405878">
        <w:rPr>
          <w:rFonts w:eastAsiaTheme="majorEastAsia" w:cs="Arial"/>
          <w:bCs/>
          <w:szCs w:val="24"/>
        </w:rPr>
        <w:t xml:space="preserve"> In severe cases, the trauma could be result in these members suffering emotional shock.</w:t>
      </w:r>
    </w:p>
    <w:p w14:paraId="565C3102" w14:textId="4A8A34D5" w:rsidR="00AF617A" w:rsidRDefault="00BE219E" w:rsidP="00C5627E">
      <w:pPr>
        <w:rPr>
          <w:rFonts w:cs="Arial"/>
          <w:szCs w:val="24"/>
        </w:rPr>
      </w:pPr>
      <w:r>
        <w:rPr>
          <w:rFonts w:cs="Arial"/>
          <w:szCs w:val="24"/>
        </w:rPr>
        <w:t>As society at large not only welcomes, but also expects,</w:t>
      </w:r>
      <w:r w:rsidR="00972599">
        <w:rPr>
          <w:rFonts w:cs="Arial"/>
          <w:szCs w:val="24"/>
        </w:rPr>
        <w:t xml:space="preserve"> that these </w:t>
      </w:r>
      <w:r>
        <w:rPr>
          <w:rFonts w:cs="Arial"/>
          <w:szCs w:val="24"/>
        </w:rPr>
        <w:t xml:space="preserve">murderers receive the punishment they deserve, it is common cause that </w:t>
      </w:r>
      <w:r w:rsidR="00972599">
        <w:rPr>
          <w:rFonts w:cs="Arial"/>
          <w:szCs w:val="24"/>
        </w:rPr>
        <w:t xml:space="preserve">unlawfully causing the death of another has </w:t>
      </w:r>
      <w:r w:rsidR="00972599" w:rsidRPr="00972599">
        <w:rPr>
          <w:rFonts w:cs="Arial"/>
          <w:szCs w:val="24"/>
        </w:rPr>
        <w:t xml:space="preserve">consequences in terms of criminal </w:t>
      </w:r>
      <w:r w:rsidR="00972599">
        <w:rPr>
          <w:rFonts w:cs="Arial"/>
          <w:szCs w:val="24"/>
        </w:rPr>
        <w:t>law.</w:t>
      </w:r>
      <w:r w:rsidR="00972599" w:rsidRPr="00972599">
        <w:rPr>
          <w:rStyle w:val="FootnoteReference"/>
          <w:rFonts w:cs="Arial"/>
          <w:szCs w:val="24"/>
        </w:rPr>
        <w:footnoteReference w:id="489"/>
      </w:r>
      <w:r w:rsidR="00972599">
        <w:rPr>
          <w:rFonts w:cs="Arial"/>
          <w:szCs w:val="24"/>
        </w:rPr>
        <w:t xml:space="preserve"> </w:t>
      </w:r>
      <w:r>
        <w:rPr>
          <w:rFonts w:cs="Arial"/>
          <w:szCs w:val="24"/>
        </w:rPr>
        <w:t>The reality is, however, that d</w:t>
      </w:r>
      <w:r w:rsidR="009A3D2C">
        <w:rPr>
          <w:rFonts w:cs="Arial"/>
          <w:szCs w:val="24"/>
        </w:rPr>
        <w:t>espite society’s condemnation of</w:t>
      </w:r>
      <w:r w:rsidR="003E135E">
        <w:rPr>
          <w:rFonts w:cs="Arial"/>
          <w:szCs w:val="24"/>
        </w:rPr>
        <w:t xml:space="preserve"> murder</w:t>
      </w:r>
      <w:r w:rsidR="009A3D2C">
        <w:rPr>
          <w:rFonts w:cs="Arial"/>
          <w:szCs w:val="24"/>
        </w:rPr>
        <w:t xml:space="preserve">, and </w:t>
      </w:r>
      <w:r>
        <w:rPr>
          <w:rFonts w:cs="Arial"/>
          <w:szCs w:val="24"/>
        </w:rPr>
        <w:t xml:space="preserve">the </w:t>
      </w:r>
      <w:r w:rsidR="009A3D2C">
        <w:rPr>
          <w:rFonts w:cs="Arial"/>
          <w:szCs w:val="24"/>
        </w:rPr>
        <w:t>“vigorous”</w:t>
      </w:r>
      <w:r w:rsidR="009A3D2C">
        <w:rPr>
          <w:rStyle w:val="FootnoteReference"/>
          <w:rFonts w:cs="Arial"/>
          <w:szCs w:val="24"/>
        </w:rPr>
        <w:footnoteReference w:id="490"/>
      </w:r>
      <w:r w:rsidR="009A3D2C">
        <w:rPr>
          <w:rFonts w:cs="Arial"/>
          <w:szCs w:val="24"/>
        </w:rPr>
        <w:t xml:space="preserve"> pursuit of these murderers, criminal convictions are not always guaranteed.</w:t>
      </w:r>
      <w:r w:rsidR="009A3D2C">
        <w:rPr>
          <w:rStyle w:val="FootnoteReference"/>
          <w:rFonts w:cs="Arial"/>
          <w:szCs w:val="24"/>
        </w:rPr>
        <w:footnoteReference w:id="491"/>
      </w:r>
      <w:r>
        <w:rPr>
          <w:rFonts w:cs="Arial"/>
          <w:szCs w:val="24"/>
        </w:rPr>
        <w:t xml:space="preserve"> </w:t>
      </w:r>
    </w:p>
    <w:p w14:paraId="72467558" w14:textId="55C5EBBC" w:rsidR="00BE219E" w:rsidRDefault="00BE219E" w:rsidP="00BE219E">
      <w:pPr>
        <w:rPr>
          <w:rFonts w:cs="Arial"/>
          <w:szCs w:val="24"/>
        </w:rPr>
      </w:pPr>
      <w:r>
        <w:rPr>
          <w:rFonts w:cs="Arial"/>
          <w:szCs w:val="24"/>
        </w:rPr>
        <w:t>In addition to criminal consequences, the unlawful causing of another’s death also result</w:t>
      </w:r>
      <w:r w:rsidR="00ED5B67">
        <w:rPr>
          <w:rFonts w:cs="Arial"/>
          <w:szCs w:val="24"/>
        </w:rPr>
        <w:t>s</w:t>
      </w:r>
      <w:r>
        <w:rPr>
          <w:rFonts w:cs="Arial"/>
          <w:szCs w:val="24"/>
        </w:rPr>
        <w:t xml:space="preserve"> in civil law consequences,</w:t>
      </w:r>
      <w:r>
        <w:rPr>
          <w:rStyle w:val="FootnoteReference"/>
          <w:rFonts w:cs="Arial"/>
          <w:szCs w:val="24"/>
        </w:rPr>
        <w:footnoteReference w:id="492"/>
      </w:r>
      <w:r>
        <w:rPr>
          <w:rFonts w:cs="Arial"/>
          <w:szCs w:val="24"/>
        </w:rPr>
        <w:t xml:space="preserve"> which consequences are, despite popular belief, no longer dependent on a criminal conviction.</w:t>
      </w:r>
      <w:r>
        <w:rPr>
          <w:rStyle w:val="FootnoteReference"/>
          <w:rFonts w:cs="Arial"/>
          <w:szCs w:val="24"/>
        </w:rPr>
        <w:footnoteReference w:id="493"/>
      </w:r>
    </w:p>
    <w:p w14:paraId="6D7E5677" w14:textId="6BB95B91" w:rsidR="005E763E" w:rsidRDefault="00D16D74" w:rsidP="005E763E">
      <w:pPr>
        <w:rPr>
          <w:rFonts w:cs="Arial"/>
          <w:szCs w:val="24"/>
        </w:rPr>
      </w:pPr>
      <w:r>
        <w:rPr>
          <w:rFonts w:cs="Arial"/>
          <w:szCs w:val="24"/>
        </w:rPr>
        <w:t>The most profound consequence in civil law is a murderer’s unworthiness to take any benefit which accrued as result of his own wrongful conduct.</w:t>
      </w:r>
      <w:r>
        <w:rPr>
          <w:rStyle w:val="FootnoteReference"/>
          <w:rFonts w:cs="Arial"/>
          <w:szCs w:val="24"/>
        </w:rPr>
        <w:footnoteReference w:id="494"/>
      </w:r>
      <w:r>
        <w:rPr>
          <w:rFonts w:cs="Arial"/>
          <w:szCs w:val="24"/>
        </w:rPr>
        <w:t xml:space="preserve"> Of particular importance, is the principle of </w:t>
      </w:r>
      <w:r w:rsidRPr="000212AC">
        <w:rPr>
          <w:rFonts w:cs="Arial"/>
          <w:i/>
          <w:iCs/>
          <w:szCs w:val="24"/>
        </w:rPr>
        <w:t>de bloedige hand neemt geen erffenis</w:t>
      </w:r>
      <w:r w:rsidRPr="000212AC">
        <w:rPr>
          <w:rFonts w:cs="Arial"/>
          <w:szCs w:val="24"/>
        </w:rPr>
        <w:t xml:space="preserve">  </w:t>
      </w:r>
      <w:r>
        <w:rPr>
          <w:rFonts w:cs="Arial"/>
          <w:szCs w:val="24"/>
        </w:rPr>
        <w:t>which absolutely forbids</w:t>
      </w:r>
      <w:r w:rsidRPr="000212AC">
        <w:rPr>
          <w:rFonts w:cs="Arial"/>
          <w:szCs w:val="24"/>
        </w:rPr>
        <w:t xml:space="preserve"> a murderer from inheriting </w:t>
      </w:r>
      <w:r>
        <w:rPr>
          <w:rFonts w:cs="Arial"/>
          <w:szCs w:val="24"/>
        </w:rPr>
        <w:t xml:space="preserve">from all the persons </w:t>
      </w:r>
      <w:r w:rsidRPr="000212AC">
        <w:rPr>
          <w:rFonts w:cs="Arial"/>
          <w:szCs w:val="24"/>
        </w:rPr>
        <w:t xml:space="preserve">inter-connected </w:t>
      </w:r>
      <w:r>
        <w:rPr>
          <w:rFonts w:cs="Arial"/>
          <w:szCs w:val="24"/>
        </w:rPr>
        <w:t>with the person they had unlawfully killed.</w:t>
      </w:r>
      <w:r w:rsidRPr="00E40443">
        <w:rPr>
          <w:rStyle w:val="FootnoteReference"/>
          <w:rFonts w:cs="Arial"/>
          <w:szCs w:val="24"/>
        </w:rPr>
        <w:footnoteReference w:id="495"/>
      </w:r>
      <w:r w:rsidR="005E763E">
        <w:rPr>
          <w:rFonts w:cs="Arial"/>
          <w:szCs w:val="24"/>
        </w:rPr>
        <w:t xml:space="preserve"> </w:t>
      </w:r>
      <w:r w:rsidR="005E763E">
        <w:rPr>
          <w:rFonts w:cs="Arial"/>
          <w:szCs w:val="24"/>
        </w:rPr>
        <w:lastRenderedPageBreak/>
        <w:t>This deprivation is subject to a</w:t>
      </w:r>
      <w:r w:rsidR="003F3B7B">
        <w:rPr>
          <w:rFonts w:cs="Arial"/>
          <w:szCs w:val="24"/>
        </w:rPr>
        <w:t xml:space="preserve">n order from a competent </w:t>
      </w:r>
      <w:r w:rsidR="00342435">
        <w:rPr>
          <w:rFonts w:cs="Arial"/>
          <w:szCs w:val="24"/>
        </w:rPr>
        <w:t>c</w:t>
      </w:r>
      <w:r w:rsidR="003F3B7B">
        <w:rPr>
          <w:rFonts w:cs="Arial"/>
          <w:szCs w:val="24"/>
        </w:rPr>
        <w:t>ourt, a</w:t>
      </w:r>
      <w:r w:rsidR="005E763E">
        <w:rPr>
          <w:rFonts w:cs="Arial"/>
          <w:szCs w:val="24"/>
        </w:rPr>
        <w:t>s the Master does not have authority to declare an individual disqualified from inheriting</w:t>
      </w:r>
      <w:r w:rsidR="003F3B7B">
        <w:rPr>
          <w:rFonts w:cs="Arial"/>
          <w:szCs w:val="24"/>
        </w:rPr>
        <w:t>.</w:t>
      </w:r>
      <w:r w:rsidR="005E763E">
        <w:rPr>
          <w:rStyle w:val="FootnoteReference"/>
          <w:rFonts w:cs="Arial"/>
          <w:szCs w:val="24"/>
        </w:rPr>
        <w:footnoteReference w:id="496"/>
      </w:r>
      <w:r w:rsidR="005E763E">
        <w:rPr>
          <w:rFonts w:cs="Arial"/>
          <w:szCs w:val="24"/>
        </w:rPr>
        <w:t xml:space="preserve"> According to Williams, such an application may be brought by the executor of the deceased estate.</w:t>
      </w:r>
      <w:r w:rsidR="005E763E">
        <w:rPr>
          <w:rStyle w:val="FootnoteReference"/>
          <w:rFonts w:cs="Arial"/>
          <w:szCs w:val="24"/>
        </w:rPr>
        <w:footnoteReference w:id="497"/>
      </w:r>
      <w:r w:rsidR="005E763E">
        <w:rPr>
          <w:rFonts w:cs="Arial"/>
          <w:szCs w:val="24"/>
        </w:rPr>
        <w:t xml:space="preserve"> </w:t>
      </w:r>
    </w:p>
    <w:p w14:paraId="1542AB78" w14:textId="5916BE4D" w:rsidR="00B523E1" w:rsidRDefault="00B523E1" w:rsidP="00C5627E">
      <w:pPr>
        <w:rPr>
          <w:rFonts w:cs="Arial"/>
          <w:szCs w:val="24"/>
        </w:rPr>
      </w:pPr>
      <w:r>
        <w:rPr>
          <w:rFonts w:cs="Arial"/>
          <w:szCs w:val="24"/>
        </w:rPr>
        <w:t>Notwithstanding a suggestion that all cases should be determined under the overarching principle of generalised unworthiness,</w:t>
      </w:r>
      <w:r>
        <w:rPr>
          <w:rStyle w:val="FootnoteReference"/>
          <w:rFonts w:cs="Arial"/>
          <w:szCs w:val="24"/>
        </w:rPr>
        <w:footnoteReference w:id="498"/>
      </w:r>
      <w:r>
        <w:rPr>
          <w:rFonts w:cs="Arial"/>
          <w:szCs w:val="24"/>
        </w:rPr>
        <w:t xml:space="preserve"> the fundamental principle appears to be the reproachable nature of the conduct</w:t>
      </w:r>
      <w:r>
        <w:rPr>
          <w:rStyle w:val="FootnoteReference"/>
          <w:rFonts w:cs="Arial"/>
          <w:szCs w:val="24"/>
        </w:rPr>
        <w:footnoteReference w:id="499"/>
      </w:r>
      <w:r>
        <w:rPr>
          <w:rFonts w:cs="Arial"/>
          <w:szCs w:val="24"/>
        </w:rPr>
        <w:t xml:space="preserve"> as measured against public policy.</w:t>
      </w:r>
      <w:r>
        <w:rPr>
          <w:rStyle w:val="FootnoteReference"/>
          <w:rFonts w:cs="Arial"/>
          <w:szCs w:val="24"/>
        </w:rPr>
        <w:footnoteReference w:id="500"/>
      </w:r>
      <w:r>
        <w:rPr>
          <w:rFonts w:cs="Arial"/>
          <w:szCs w:val="24"/>
        </w:rPr>
        <w:t xml:space="preserve"> In addition to the indefinite number of established causes rendering an heir unworthy to succeed,</w:t>
      </w:r>
      <w:r>
        <w:rPr>
          <w:rStyle w:val="FootnoteReference"/>
          <w:rFonts w:cs="Arial"/>
          <w:szCs w:val="24"/>
        </w:rPr>
        <w:footnoteReference w:id="501"/>
      </w:r>
      <w:r>
        <w:rPr>
          <w:rFonts w:cs="Arial"/>
          <w:szCs w:val="24"/>
        </w:rPr>
        <w:t xml:space="preserve"> it appears as if unworthiness is founded on what society considers to be </w:t>
      </w:r>
      <w:r w:rsidR="00A7586C">
        <w:rPr>
          <w:rFonts w:cs="Arial"/>
          <w:szCs w:val="24"/>
        </w:rPr>
        <w:t>unethical, immoral, asocial, and incorrect conduct</w:t>
      </w:r>
      <w:r w:rsidR="00E0278E">
        <w:rPr>
          <w:rFonts w:cs="Arial"/>
          <w:szCs w:val="24"/>
        </w:rPr>
        <w:t>,</w:t>
      </w:r>
      <w:r w:rsidR="00A7586C">
        <w:rPr>
          <w:rStyle w:val="FootnoteReference"/>
          <w:rFonts w:cs="Arial"/>
          <w:szCs w:val="24"/>
        </w:rPr>
        <w:footnoteReference w:id="502"/>
      </w:r>
      <w:r>
        <w:rPr>
          <w:rFonts w:cs="Arial"/>
          <w:szCs w:val="24"/>
        </w:rPr>
        <w:t xml:space="preserve"> </w:t>
      </w:r>
      <w:r w:rsidR="00734ABD">
        <w:rPr>
          <w:rFonts w:cs="Arial"/>
          <w:szCs w:val="24"/>
        </w:rPr>
        <w:t>which conduct is directed either at the deceased himself, or at someone to whom he is intimately related.</w:t>
      </w:r>
      <w:r w:rsidR="00734ABD">
        <w:rPr>
          <w:rStyle w:val="FootnoteReference"/>
        </w:rPr>
        <w:footnoteReference w:id="503"/>
      </w:r>
    </w:p>
    <w:p w14:paraId="04FA0274" w14:textId="2926E152" w:rsidR="005E763E" w:rsidRPr="0002724F" w:rsidRDefault="005E763E" w:rsidP="005E763E">
      <w:pPr>
        <w:rPr>
          <w:rFonts w:cs="Arial"/>
          <w:szCs w:val="24"/>
        </w:rPr>
      </w:pPr>
      <w:r>
        <w:t xml:space="preserve">The gist of </w:t>
      </w:r>
      <w:r>
        <w:rPr>
          <w:i/>
          <w:iCs/>
        </w:rPr>
        <w:t>de bloedige hand</w:t>
      </w:r>
      <w:r>
        <w:t xml:space="preserve"> thus comprises thereof that no person is, by virtue of their contemptable conduct towards the testator, entitled to take any benefit resulting from such death, whether such benefit accrues from the testator himself, or from their </w:t>
      </w:r>
      <w:r>
        <w:rPr>
          <w:rFonts w:cs="Arial"/>
          <w:i/>
          <w:iCs/>
          <w:szCs w:val="24"/>
        </w:rPr>
        <w:t>conjunctissim</w:t>
      </w:r>
      <w:r w:rsidR="007A176F">
        <w:rPr>
          <w:rFonts w:cs="Arial"/>
          <w:i/>
          <w:iCs/>
          <w:szCs w:val="24"/>
        </w:rPr>
        <w:t>i</w:t>
      </w:r>
      <w:r>
        <w:rPr>
          <w:rFonts w:cs="Arial"/>
          <w:szCs w:val="24"/>
        </w:rPr>
        <w:t>.</w:t>
      </w:r>
      <w:r>
        <w:rPr>
          <w:rStyle w:val="FootnoteReference"/>
          <w:rFonts w:cs="Arial"/>
          <w:szCs w:val="24"/>
        </w:rPr>
        <w:footnoteReference w:id="504"/>
      </w:r>
      <w:r>
        <w:rPr>
          <w:rFonts w:cs="Arial"/>
          <w:szCs w:val="24"/>
        </w:rPr>
        <w:t xml:space="preserve"> </w:t>
      </w:r>
    </w:p>
    <w:p w14:paraId="7725B136" w14:textId="78E104FA" w:rsidR="00A7586C" w:rsidRPr="00B523E1" w:rsidRDefault="00B523E1" w:rsidP="00C5627E">
      <w:r>
        <w:rPr>
          <w:rFonts w:cs="Arial"/>
          <w:szCs w:val="24"/>
        </w:rPr>
        <w:t>Th</w:t>
      </w:r>
      <w:r w:rsidR="005E763E">
        <w:rPr>
          <w:rFonts w:cs="Arial"/>
          <w:szCs w:val="24"/>
        </w:rPr>
        <w:t>e</w:t>
      </w:r>
      <w:r>
        <w:rPr>
          <w:rFonts w:cs="Arial"/>
          <w:szCs w:val="24"/>
        </w:rPr>
        <w:t xml:space="preserve"> flexible </w:t>
      </w:r>
      <w:r w:rsidR="005E763E">
        <w:rPr>
          <w:rFonts w:cs="Arial"/>
          <w:szCs w:val="24"/>
        </w:rPr>
        <w:t>approach to determining unworthiness</w:t>
      </w:r>
      <w:r>
        <w:rPr>
          <w:rFonts w:cs="Arial"/>
          <w:szCs w:val="24"/>
        </w:rPr>
        <w:t xml:space="preserve"> not only paved the proverbial way for founding </w:t>
      </w:r>
      <w:r w:rsidR="005E763E">
        <w:rPr>
          <w:rFonts w:cs="Arial"/>
          <w:szCs w:val="24"/>
        </w:rPr>
        <w:t>same</w:t>
      </w:r>
      <w:r>
        <w:rPr>
          <w:rFonts w:cs="Arial"/>
          <w:szCs w:val="24"/>
        </w:rPr>
        <w:t xml:space="preserve"> on grounds other than murder,</w:t>
      </w:r>
      <w:r>
        <w:rPr>
          <w:rStyle w:val="FootnoteReference"/>
          <w:rFonts w:cs="Arial"/>
          <w:szCs w:val="24"/>
        </w:rPr>
        <w:footnoteReference w:id="505"/>
      </w:r>
      <w:r>
        <w:rPr>
          <w:rFonts w:cs="Arial"/>
          <w:szCs w:val="24"/>
        </w:rPr>
        <w:t xml:space="preserve"> </w:t>
      </w:r>
      <w:r w:rsidRPr="00EC2C61">
        <w:rPr>
          <w:rFonts w:cs="Arial"/>
          <w:szCs w:val="24"/>
        </w:rPr>
        <w:t>negligent killing,</w:t>
      </w:r>
      <w:r w:rsidRPr="00EC2C61">
        <w:rPr>
          <w:rStyle w:val="FootnoteReference"/>
          <w:rFonts w:cs="Arial"/>
          <w:szCs w:val="24"/>
        </w:rPr>
        <w:footnoteReference w:id="506"/>
      </w:r>
      <w:r w:rsidRPr="00EC2C61">
        <w:rPr>
          <w:rFonts w:cs="Arial"/>
          <w:szCs w:val="24"/>
        </w:rPr>
        <w:t xml:space="preserve"> and assault</w:t>
      </w:r>
      <w:r>
        <w:rPr>
          <w:rFonts w:cs="Arial"/>
          <w:szCs w:val="24"/>
        </w:rPr>
        <w:t>,</w:t>
      </w:r>
      <w:r>
        <w:rPr>
          <w:rStyle w:val="FootnoteReference"/>
          <w:rFonts w:cs="Arial"/>
          <w:szCs w:val="24"/>
        </w:rPr>
        <w:footnoteReference w:id="507"/>
      </w:r>
      <w:r>
        <w:rPr>
          <w:rFonts w:cs="Arial"/>
          <w:szCs w:val="24"/>
        </w:rPr>
        <w:t xml:space="preserve"> but it also extended the application of </w:t>
      </w:r>
      <w:r>
        <w:rPr>
          <w:rFonts w:cs="Arial"/>
          <w:i/>
          <w:iCs/>
          <w:szCs w:val="24"/>
        </w:rPr>
        <w:t>de bloedige hand</w:t>
      </w:r>
      <w:r>
        <w:t xml:space="preserve"> beyond the law of succession, thereby depriving a murderer of </w:t>
      </w:r>
      <w:r w:rsidR="00FA4EC2">
        <w:t>a far greater scope of benefits accruing by virtue of the testator’s passing.</w:t>
      </w:r>
      <w:r w:rsidR="00FA4EC2">
        <w:rPr>
          <w:rStyle w:val="FootnoteReference"/>
        </w:rPr>
        <w:footnoteReference w:id="508"/>
      </w:r>
    </w:p>
    <w:p w14:paraId="14A509EC" w14:textId="35C85EB6" w:rsidR="006F2C6D" w:rsidRDefault="006F2C6D" w:rsidP="00C5627E">
      <w:pPr>
        <w:rPr>
          <w:rFonts w:cs="Arial"/>
          <w:szCs w:val="24"/>
        </w:rPr>
      </w:pPr>
      <w:r>
        <w:rPr>
          <w:rFonts w:cs="Arial"/>
          <w:szCs w:val="24"/>
        </w:rPr>
        <w:t xml:space="preserve">The </w:t>
      </w:r>
      <w:r w:rsidRPr="006F2C6D">
        <w:rPr>
          <w:rFonts w:cs="Arial"/>
          <w:i/>
          <w:iCs/>
          <w:szCs w:val="24"/>
        </w:rPr>
        <w:t>boni mores</w:t>
      </w:r>
      <w:r>
        <w:rPr>
          <w:rFonts w:cs="Arial"/>
          <w:szCs w:val="24"/>
        </w:rPr>
        <w:t xml:space="preserve"> can be view</w:t>
      </w:r>
      <w:r w:rsidR="005E763E">
        <w:rPr>
          <w:rFonts w:cs="Arial"/>
          <w:szCs w:val="24"/>
        </w:rPr>
        <w:t>ed</w:t>
      </w:r>
      <w:r>
        <w:rPr>
          <w:rFonts w:cs="Arial"/>
          <w:szCs w:val="24"/>
        </w:rPr>
        <w:t xml:space="preserve"> as the embodiment of reasonableness, as these convictions amount to nothing less than society’s </w:t>
      </w:r>
      <w:r w:rsidR="00E43B67">
        <w:rPr>
          <w:rFonts w:cs="Arial"/>
          <w:szCs w:val="24"/>
        </w:rPr>
        <w:t>cumulative</w:t>
      </w:r>
      <w:r>
        <w:rPr>
          <w:rFonts w:cs="Arial"/>
          <w:szCs w:val="24"/>
        </w:rPr>
        <w:t xml:space="preserve"> view of how a reasonable person should act. </w:t>
      </w:r>
      <w:r w:rsidR="00F2625B">
        <w:rPr>
          <w:rFonts w:cs="Arial"/>
          <w:szCs w:val="24"/>
        </w:rPr>
        <w:t xml:space="preserve">It appears as if ignorance is the main perpetrator when failing to institute unworthiness </w:t>
      </w:r>
      <w:r w:rsidR="00F2625B">
        <w:rPr>
          <w:rFonts w:cs="Arial"/>
          <w:szCs w:val="24"/>
        </w:rPr>
        <w:lastRenderedPageBreak/>
        <w:t>proceedings,</w:t>
      </w:r>
      <w:r w:rsidR="00F2625B" w:rsidRPr="00D61DCF">
        <w:rPr>
          <w:rStyle w:val="FootnoteReference"/>
          <w:rFonts w:cs="Arial"/>
          <w:szCs w:val="24"/>
        </w:rPr>
        <w:footnoteReference w:id="509"/>
      </w:r>
      <w:r w:rsidR="00F2625B">
        <w:rPr>
          <w:rFonts w:cs="Arial"/>
          <w:szCs w:val="24"/>
        </w:rPr>
        <w:t xml:space="preserve"> which failure results in numerous unworthy persons receiving benefits they are not entitled to.</w:t>
      </w:r>
      <w:r w:rsidR="005E763E">
        <w:rPr>
          <w:rFonts w:cs="Arial"/>
          <w:szCs w:val="24"/>
        </w:rPr>
        <w:t xml:space="preserve"> </w:t>
      </w:r>
    </w:p>
    <w:p w14:paraId="4ED36D82" w14:textId="7BCB59B6" w:rsidR="00DB0291" w:rsidRDefault="00BC1054" w:rsidP="00C5627E">
      <w:pPr>
        <w:rPr>
          <w:rFonts w:cs="Arial"/>
          <w:szCs w:val="24"/>
        </w:rPr>
      </w:pPr>
      <w:r>
        <w:rPr>
          <w:rFonts w:eastAsiaTheme="majorEastAsia" w:cs="Arial"/>
          <w:bCs/>
          <w:szCs w:val="24"/>
        </w:rPr>
        <w:t xml:space="preserve">Despite an initial reluctance to declare a wrongdoer unworthy of inheriting, it appears that </w:t>
      </w:r>
      <w:r w:rsidR="000876BE">
        <w:rPr>
          <w:rFonts w:eastAsiaTheme="majorEastAsia" w:cs="Arial"/>
          <w:bCs/>
          <w:szCs w:val="24"/>
        </w:rPr>
        <w:t>c</w:t>
      </w:r>
      <w:r>
        <w:rPr>
          <w:rFonts w:eastAsiaTheme="majorEastAsia" w:cs="Arial"/>
          <w:bCs/>
          <w:szCs w:val="24"/>
        </w:rPr>
        <w:t xml:space="preserve">ourts are willing to accept that a murderer is unworthy to benefit from increasingly more benefits, subject to a sufficient discharge of the onus on the applicant with specific reference to </w:t>
      </w:r>
      <w:r w:rsidR="003F3B7B">
        <w:rPr>
          <w:rFonts w:eastAsiaTheme="majorEastAsia" w:cs="Arial"/>
          <w:bCs/>
          <w:szCs w:val="24"/>
        </w:rPr>
        <w:t>fault</w:t>
      </w:r>
      <w:r w:rsidR="004C6EF3">
        <w:rPr>
          <w:rStyle w:val="FootnoteReference"/>
          <w:rFonts w:eastAsiaTheme="majorEastAsia" w:cs="Arial"/>
          <w:bCs/>
          <w:szCs w:val="24"/>
        </w:rPr>
        <w:footnoteReference w:id="510"/>
      </w:r>
      <w:r w:rsidR="00DB0291">
        <w:rPr>
          <w:rFonts w:eastAsiaTheme="majorEastAsia" w:cs="Arial"/>
          <w:bCs/>
          <w:szCs w:val="24"/>
        </w:rPr>
        <w:t xml:space="preserve"> </w:t>
      </w:r>
      <w:r w:rsidR="003F3B7B">
        <w:rPr>
          <w:rFonts w:cs="Arial"/>
          <w:szCs w:val="24"/>
        </w:rPr>
        <w:t>and causality.</w:t>
      </w:r>
      <w:r w:rsidR="00DB0291">
        <w:rPr>
          <w:rStyle w:val="FootnoteReference"/>
          <w:rFonts w:cs="Arial"/>
          <w:szCs w:val="24"/>
        </w:rPr>
        <w:footnoteReference w:id="511"/>
      </w:r>
      <w:r>
        <w:rPr>
          <w:rFonts w:cs="Arial"/>
          <w:szCs w:val="24"/>
        </w:rPr>
        <w:t xml:space="preserve"> It has been argued that the basis of these extensions is reasonableness, as provided for by public policy.</w:t>
      </w:r>
    </w:p>
    <w:p w14:paraId="2770E952" w14:textId="358B2D5F" w:rsidR="00BC1054" w:rsidRDefault="00561F04" w:rsidP="00C5627E">
      <w:pPr>
        <w:rPr>
          <w:rFonts w:cs="Arial"/>
          <w:szCs w:val="24"/>
        </w:rPr>
      </w:pPr>
      <w:r>
        <w:rPr>
          <w:rFonts w:cs="Arial"/>
          <w:szCs w:val="24"/>
        </w:rPr>
        <w:t xml:space="preserve">Reasonableness is also the foundation on which </w:t>
      </w:r>
      <w:r w:rsidR="00526368">
        <w:rPr>
          <w:rFonts w:cs="Arial"/>
          <w:szCs w:val="24"/>
        </w:rPr>
        <w:t>c</w:t>
      </w:r>
      <w:r>
        <w:rPr>
          <w:rFonts w:cs="Arial"/>
          <w:szCs w:val="24"/>
        </w:rPr>
        <w:t>ourts determine whether to award damages to a victim of emotional shock, as compensation for the trauma suffered as a result of the senseless death of someone with whom they had a close relationship.</w:t>
      </w:r>
    </w:p>
    <w:p w14:paraId="43C89CA3" w14:textId="59BD5F76" w:rsidR="00561F04" w:rsidRPr="00405878" w:rsidRDefault="00561F04" w:rsidP="00C5627E">
      <w:pPr>
        <w:rPr>
          <w:rFonts w:cs="Arial"/>
          <w:szCs w:val="24"/>
        </w:rPr>
      </w:pPr>
      <w:r>
        <w:rPr>
          <w:rFonts w:cs="Arial"/>
          <w:szCs w:val="24"/>
        </w:rPr>
        <w:t xml:space="preserve">As both unworthiness and damages are governed by civil law, albeit different fields thereof, it makes logical sense that common ground could be found between these remedies. One such remedy, could be an order that by virtue of the unlawful conduct that rendered </w:t>
      </w:r>
      <w:r w:rsidR="00F36448">
        <w:rPr>
          <w:rFonts w:cs="Arial"/>
          <w:szCs w:val="24"/>
        </w:rPr>
        <w:t xml:space="preserve"> the perpetrator </w:t>
      </w:r>
      <w:r>
        <w:rPr>
          <w:rFonts w:cs="Arial"/>
          <w:szCs w:val="24"/>
        </w:rPr>
        <w:t xml:space="preserve">unworthy to inherit, they inflicted psychological harm on the close relatives of the murder </w:t>
      </w:r>
      <w:r w:rsidRPr="00405878">
        <w:rPr>
          <w:rFonts w:cs="Arial"/>
          <w:szCs w:val="24"/>
        </w:rPr>
        <w:t>victim, which harm deserves to be compensated with an order for damages.</w:t>
      </w:r>
    </w:p>
    <w:p w14:paraId="6EF1BE83" w14:textId="5956CB8D" w:rsidR="00BC1054" w:rsidRDefault="00BC1054" w:rsidP="00F44AF9">
      <w:r w:rsidRPr="00405878">
        <w:rPr>
          <w:rFonts w:cs="Arial"/>
          <w:szCs w:val="24"/>
        </w:rPr>
        <w:t>It is a longstanding phenomenon that man is cautious to embrace and sceptical to accept change for fear of the unknown</w:t>
      </w:r>
      <w:r w:rsidR="00405878" w:rsidRPr="00405878">
        <w:rPr>
          <w:rFonts w:cs="Arial"/>
          <w:szCs w:val="24"/>
        </w:rPr>
        <w:t>, even if such change is for the betterment of society</w:t>
      </w:r>
      <w:r w:rsidRPr="00405878">
        <w:rPr>
          <w:rFonts w:cs="Arial"/>
          <w:szCs w:val="24"/>
        </w:rPr>
        <w:t xml:space="preserve">. </w:t>
      </w:r>
      <w:r w:rsidR="00405878" w:rsidRPr="00405878">
        <w:rPr>
          <w:rFonts w:cs="Arial"/>
          <w:szCs w:val="24"/>
        </w:rPr>
        <w:t>C</w:t>
      </w:r>
      <w:r w:rsidRPr="00405878">
        <w:rPr>
          <w:rFonts w:cs="Arial"/>
          <w:szCs w:val="24"/>
        </w:rPr>
        <w:t xml:space="preserve">hange </w:t>
      </w:r>
      <w:r w:rsidR="00405878">
        <w:rPr>
          <w:rFonts w:cs="Arial"/>
          <w:szCs w:val="24"/>
        </w:rPr>
        <w:t xml:space="preserve">is often severely opposed, as is evident from the comment </w:t>
      </w:r>
      <w:r w:rsidR="00DC2DF8">
        <w:rPr>
          <w:rFonts w:cs="Arial"/>
          <w:szCs w:val="24"/>
        </w:rPr>
        <w:t>by</w:t>
      </w:r>
      <w:r w:rsidR="00405878">
        <w:rPr>
          <w:rFonts w:cs="Arial"/>
          <w:szCs w:val="24"/>
        </w:rPr>
        <w:t xml:space="preserve"> </w:t>
      </w:r>
      <w:r w:rsidR="00405878" w:rsidRPr="00405878">
        <w:rPr>
          <w:rFonts w:cs="Arial"/>
          <w:szCs w:val="24"/>
        </w:rPr>
        <w:t>Barns &amp; Thompson</w:t>
      </w:r>
      <w:r w:rsidR="00DC2DF8" w:rsidRPr="00405878">
        <w:rPr>
          <w:rStyle w:val="FootnoteReference"/>
          <w:rFonts w:cs="Arial"/>
          <w:szCs w:val="24"/>
        </w:rPr>
        <w:footnoteReference w:id="512"/>
      </w:r>
      <w:r w:rsidR="00405878" w:rsidRPr="00405878">
        <w:rPr>
          <w:rFonts w:cs="Arial"/>
          <w:szCs w:val="24"/>
        </w:rPr>
        <w:t xml:space="preserve"> </w:t>
      </w:r>
      <w:r w:rsidR="00DC2DF8">
        <w:rPr>
          <w:rFonts w:cs="Arial"/>
          <w:szCs w:val="24"/>
        </w:rPr>
        <w:t xml:space="preserve">that allowing presiding officers </w:t>
      </w:r>
      <w:r w:rsidR="00754A7F">
        <w:rPr>
          <w:rFonts w:cs="Arial"/>
          <w:szCs w:val="24"/>
        </w:rPr>
        <w:t xml:space="preserve"> to</w:t>
      </w:r>
      <w:r w:rsidR="00DC2DF8">
        <w:rPr>
          <w:rFonts w:cs="Arial"/>
          <w:szCs w:val="24"/>
        </w:rPr>
        <w:t xml:space="preserve"> determine what is equitable and fair based on their </w:t>
      </w:r>
      <w:r w:rsidR="00DC2DF8" w:rsidRPr="00405878">
        <w:rPr>
          <w:rFonts w:cs="Arial"/>
          <w:szCs w:val="24"/>
        </w:rPr>
        <w:t xml:space="preserve">personal idiosyncrasies </w:t>
      </w:r>
      <w:r w:rsidR="00DC2DF8">
        <w:rPr>
          <w:rFonts w:cs="Arial"/>
          <w:szCs w:val="24"/>
        </w:rPr>
        <w:t>would amount to intolerable legal uncertainty. This</w:t>
      </w:r>
      <w:r w:rsidR="00F44AF9">
        <w:rPr>
          <w:rFonts w:cs="Arial"/>
          <w:szCs w:val="24"/>
        </w:rPr>
        <w:t xml:space="preserve"> criticism</w:t>
      </w:r>
      <w:r w:rsidR="00DC2DF8">
        <w:rPr>
          <w:rFonts w:cs="Arial"/>
          <w:szCs w:val="24"/>
        </w:rPr>
        <w:t xml:space="preserve"> is, with respect, based on ignorance </w:t>
      </w:r>
      <w:r w:rsidR="00F44AF9">
        <w:rPr>
          <w:rFonts w:cs="Arial"/>
          <w:szCs w:val="24"/>
        </w:rPr>
        <w:t xml:space="preserve">of the very foundation of reasonableness, which is nothing other than the </w:t>
      </w:r>
      <w:r w:rsidR="00405878">
        <w:t xml:space="preserve">opinion of the people, albeit titled </w:t>
      </w:r>
      <w:r w:rsidR="00405878">
        <w:rPr>
          <w:i/>
          <w:iCs/>
        </w:rPr>
        <w:t>boni mores</w:t>
      </w:r>
      <w:r w:rsidR="00405878">
        <w:t xml:space="preserve"> or public policy, and </w:t>
      </w:r>
      <w:r w:rsidR="0073774E">
        <w:t xml:space="preserve">presiding officers </w:t>
      </w:r>
      <w:r w:rsidR="00405878">
        <w:t xml:space="preserve">are merely tasked with </w:t>
      </w:r>
      <w:r w:rsidR="0073774E">
        <w:t xml:space="preserve">ensuring that </w:t>
      </w:r>
      <w:r w:rsidR="00510752">
        <w:t>c</w:t>
      </w:r>
      <w:r w:rsidR="0073774E">
        <w:t xml:space="preserve">ourts enforce this opinion, as being the proverbial backbone of society. As this opinion changes, it is up to the </w:t>
      </w:r>
      <w:r w:rsidR="004A5083">
        <w:t>c</w:t>
      </w:r>
      <w:r w:rsidR="0073774E">
        <w:t>ourts to determine the degree of such change and develop the common law accordingly.</w:t>
      </w:r>
    </w:p>
    <w:p w14:paraId="4FFD6A22" w14:textId="3B470C3E" w:rsidR="0073774E" w:rsidRPr="00C550C5" w:rsidRDefault="0073774E" w:rsidP="00C5627E">
      <w:r>
        <w:t xml:space="preserve">This study investigated the principles of unworthiness with specific reference to </w:t>
      </w:r>
      <w:r>
        <w:rPr>
          <w:i/>
          <w:iCs/>
        </w:rPr>
        <w:t>de bloedige hand</w:t>
      </w:r>
      <w:r>
        <w:t xml:space="preserve"> and an award for damages resulting from emotional shock</w:t>
      </w:r>
      <w:r w:rsidR="003A2840">
        <w:t>.  It</w:t>
      </w:r>
      <w:r>
        <w:t xml:space="preserve">  identified the possibility of extending the application of </w:t>
      </w:r>
      <w:r>
        <w:rPr>
          <w:i/>
          <w:iCs/>
        </w:rPr>
        <w:t xml:space="preserve">de bloedige </w:t>
      </w:r>
      <w:r w:rsidRPr="0073774E">
        <w:rPr>
          <w:i/>
          <w:iCs/>
        </w:rPr>
        <w:t>hand</w:t>
      </w:r>
      <w:r>
        <w:t xml:space="preserve"> to the law of delict in that there exists no </w:t>
      </w:r>
      <w:r>
        <w:lastRenderedPageBreak/>
        <w:t xml:space="preserve">prohibition to the victims of senseless family slaying claiming damages for the emotional </w:t>
      </w:r>
      <w:r w:rsidRPr="00C550C5">
        <w:t>trauma they suffered as a result of the murderer’s unlawful killing.</w:t>
      </w:r>
    </w:p>
    <w:p w14:paraId="40615ACD" w14:textId="7817C0E2" w:rsidR="00EE223C" w:rsidRPr="00C550C5" w:rsidRDefault="0073774E" w:rsidP="00EE223C">
      <w:pPr>
        <w:rPr>
          <w:rFonts w:cs="Arial"/>
          <w:szCs w:val="24"/>
        </w:rPr>
      </w:pPr>
      <w:r w:rsidRPr="00C550C5">
        <w:rPr>
          <w:rFonts w:cs="Arial"/>
          <w:szCs w:val="24"/>
        </w:rPr>
        <w:t>It is unfortunate to not</w:t>
      </w:r>
      <w:r w:rsidR="00EE223C" w:rsidRPr="00C550C5">
        <w:rPr>
          <w:rFonts w:cs="Arial"/>
          <w:szCs w:val="24"/>
        </w:rPr>
        <w:t>e</w:t>
      </w:r>
      <w:r w:rsidRPr="00C550C5">
        <w:rPr>
          <w:rFonts w:cs="Arial"/>
          <w:szCs w:val="24"/>
        </w:rPr>
        <w:t xml:space="preserve"> that neither punishment nor a declaration of unworthiness effectively discourage </w:t>
      </w:r>
      <w:r w:rsidR="00EE223C" w:rsidRPr="00C550C5">
        <w:rPr>
          <w:rFonts w:cs="Arial"/>
          <w:szCs w:val="24"/>
        </w:rPr>
        <w:t>the senseless acts of murder</w:t>
      </w:r>
      <w:r w:rsidR="00070687">
        <w:rPr>
          <w:rFonts w:cs="Arial"/>
          <w:szCs w:val="24"/>
        </w:rPr>
        <w:t>,</w:t>
      </w:r>
      <w:r w:rsidR="00EE223C" w:rsidRPr="00C550C5">
        <w:rPr>
          <w:rFonts w:cs="Arial"/>
          <w:szCs w:val="24"/>
        </w:rPr>
        <w:t xml:space="preserve">  in particularly family slaying,</w:t>
      </w:r>
      <w:r w:rsidRPr="00C550C5">
        <w:rPr>
          <w:rStyle w:val="FootnoteReference"/>
          <w:rFonts w:cs="Arial"/>
          <w:szCs w:val="24"/>
        </w:rPr>
        <w:footnoteReference w:id="513"/>
      </w:r>
      <w:r w:rsidRPr="00C550C5">
        <w:rPr>
          <w:rFonts w:cs="Arial"/>
          <w:szCs w:val="24"/>
        </w:rPr>
        <w:t xml:space="preserve"> </w:t>
      </w:r>
      <w:r w:rsidR="00EE223C" w:rsidRPr="00C550C5">
        <w:rPr>
          <w:rFonts w:cs="Arial"/>
          <w:szCs w:val="24"/>
        </w:rPr>
        <w:t>leaving ever more close relatives of brutally murdered victims in shatters. It could be worth investigating even further the scope of compensation available to survivors and/or family members of victims of family murder.</w:t>
      </w:r>
    </w:p>
    <w:p w14:paraId="3C60EF74" w14:textId="4C002BFB" w:rsidR="00FD7A23" w:rsidRPr="00C550C5" w:rsidRDefault="00FD7A23" w:rsidP="00EE223C">
      <w:pPr>
        <w:rPr>
          <w:rFonts w:cs="Arial"/>
          <w:szCs w:val="24"/>
        </w:rPr>
      </w:pPr>
      <w:r w:rsidRPr="00C550C5">
        <w:rPr>
          <w:rFonts w:cs="Arial"/>
          <w:szCs w:val="24"/>
        </w:rPr>
        <w:t xml:space="preserve">In principle, both </w:t>
      </w:r>
      <w:r w:rsidRPr="00C550C5">
        <w:rPr>
          <w:rFonts w:cs="Arial"/>
          <w:i/>
          <w:iCs/>
          <w:szCs w:val="24"/>
        </w:rPr>
        <w:t>de bloedige hand</w:t>
      </w:r>
      <w:r w:rsidRPr="00C550C5">
        <w:rPr>
          <w:rFonts w:cs="Arial"/>
          <w:szCs w:val="24"/>
        </w:rPr>
        <w:t xml:space="preserve"> and an order that damages be paid to victims of emotional shock are </w:t>
      </w:r>
      <w:r w:rsidR="00E7321B">
        <w:rPr>
          <w:rFonts w:cs="Arial"/>
          <w:szCs w:val="24"/>
        </w:rPr>
        <w:t>remedies founded and developed on reasonableness, and at least in theory</w:t>
      </w:r>
      <w:r w:rsidRPr="00C550C5">
        <w:rPr>
          <w:rFonts w:cs="Arial"/>
          <w:szCs w:val="24"/>
        </w:rPr>
        <w:t>, the suggestion that these principles diverge is sufficiently supported.</w:t>
      </w:r>
    </w:p>
    <w:p w14:paraId="64AABCA3" w14:textId="77777777" w:rsidR="004C79EB" w:rsidRDefault="00EE223C" w:rsidP="004C79EB">
      <w:r w:rsidRPr="00C550C5">
        <w:t xml:space="preserve">The sad reality, as pointed out by </w:t>
      </w:r>
      <w:r w:rsidR="005C2B29" w:rsidRPr="00C550C5">
        <w:t>Schoeman-Malan</w:t>
      </w:r>
      <w:r w:rsidRPr="00C550C5">
        <w:t>,</w:t>
      </w:r>
      <w:r w:rsidRPr="00C550C5">
        <w:rPr>
          <w:rStyle w:val="FootnoteReference"/>
        </w:rPr>
        <w:footnoteReference w:id="514"/>
      </w:r>
      <w:r w:rsidR="005C2B29" w:rsidRPr="00C550C5">
        <w:t xml:space="preserve"> </w:t>
      </w:r>
      <w:r w:rsidRPr="00C550C5">
        <w:t xml:space="preserve">is </w:t>
      </w:r>
      <w:r w:rsidR="00FD7A23" w:rsidRPr="00C550C5">
        <w:rPr>
          <w:rFonts w:cs="Arial"/>
          <w:szCs w:val="24"/>
        </w:rPr>
        <w:t xml:space="preserve">that the low number of reported civil cases is most probably linked to inconsistent </w:t>
      </w:r>
      <w:r w:rsidR="00FD7A23" w:rsidRPr="00E43B67">
        <w:rPr>
          <w:rFonts w:cs="Arial"/>
          <w:szCs w:val="24"/>
        </w:rPr>
        <w:t>and insufficient application of the principles governing unworthiness</w:t>
      </w:r>
      <w:r w:rsidR="00312471">
        <w:rPr>
          <w:rFonts w:cs="Arial"/>
          <w:szCs w:val="24"/>
        </w:rPr>
        <w:t xml:space="preserve"> originating from a place of ignorance.</w:t>
      </w:r>
    </w:p>
    <w:p w14:paraId="61636A4D" w14:textId="633F81BB" w:rsidR="004C79EB" w:rsidRDefault="004C79EB" w:rsidP="004C79EB">
      <w:pPr>
        <w:rPr>
          <w:rFonts w:cs="Arial"/>
          <w:szCs w:val="24"/>
        </w:rPr>
      </w:pPr>
      <w:r>
        <w:rPr>
          <w:rFonts w:cs="Arial"/>
          <w:szCs w:val="24"/>
        </w:rPr>
        <w:t>The executor, or their designated agent, is expected to be sufficiently knowledgeable about the administration processes, and he must further the interests of beneficiaries.</w:t>
      </w:r>
      <w:r>
        <w:rPr>
          <w:rStyle w:val="FootnoteReference"/>
          <w:rFonts w:cs="Arial"/>
          <w:szCs w:val="24"/>
        </w:rPr>
        <w:footnoteReference w:id="515"/>
      </w:r>
      <w:r>
        <w:rPr>
          <w:rFonts w:cs="Arial"/>
          <w:szCs w:val="24"/>
        </w:rPr>
        <w:t xml:space="preserve"> The executor is expected to exercise an exceptional degree of care and diligence before awarding benefits in instances where family members, i.e., beneficiaries to the estate, are alleged to </w:t>
      </w:r>
      <w:r w:rsidR="00CD48A9">
        <w:rPr>
          <w:rFonts w:cs="Arial"/>
          <w:szCs w:val="24"/>
        </w:rPr>
        <w:t xml:space="preserve">have </w:t>
      </w:r>
      <w:r>
        <w:rPr>
          <w:rFonts w:cs="Arial"/>
          <w:szCs w:val="24"/>
        </w:rPr>
        <w:t>contributed to the deceased’s death, and it is recommended that the compilation of the final liquidation and distribution account be stayed pending the outcome of a claim for unworthiness.</w:t>
      </w:r>
      <w:r>
        <w:rPr>
          <w:rStyle w:val="FootnoteReference"/>
          <w:rFonts w:cs="Arial"/>
          <w:szCs w:val="24"/>
        </w:rPr>
        <w:footnoteReference w:id="516"/>
      </w:r>
      <w:r>
        <w:rPr>
          <w:rFonts w:cs="Arial"/>
          <w:szCs w:val="24"/>
        </w:rPr>
        <w:t xml:space="preserve"> </w:t>
      </w:r>
    </w:p>
    <w:p w14:paraId="7217D138" w14:textId="452FEF5C" w:rsidR="004C79EB" w:rsidRDefault="004C79EB" w:rsidP="004C79EB">
      <w:pPr>
        <w:rPr>
          <w:rFonts w:cs="Arial"/>
          <w:szCs w:val="24"/>
        </w:rPr>
      </w:pPr>
      <w:r>
        <w:rPr>
          <w:rFonts w:cs="Arial"/>
          <w:szCs w:val="24"/>
        </w:rPr>
        <w:t>In practice, however, the executor is not as involved in the administration process as he should be, and the estate administrators seldomly possess the knowledge at the disposal of the executor. In the event that an administrator does flag</w:t>
      </w:r>
      <w:r w:rsidR="005358F7">
        <w:rPr>
          <w:rFonts w:cs="Arial"/>
          <w:szCs w:val="24"/>
        </w:rPr>
        <w:t xml:space="preserve"> an estate</w:t>
      </w:r>
      <w:r>
        <w:rPr>
          <w:rFonts w:cs="Arial"/>
          <w:szCs w:val="24"/>
        </w:rPr>
        <w:t>, executors tend to disregard such concerns on the basis that the administrators are not sufficiently knowledgeable. This clearly creates a snowball of ineffectiveness, resulting in improper winding up of deceased estates.</w:t>
      </w:r>
    </w:p>
    <w:p w14:paraId="21B9C6AF" w14:textId="458BE6B8" w:rsidR="00FD7A23" w:rsidRDefault="00FD7A23" w:rsidP="00FD7A23">
      <w:pPr>
        <w:rPr>
          <w:rFonts w:cs="Arial"/>
          <w:szCs w:val="24"/>
        </w:rPr>
      </w:pPr>
      <w:r>
        <w:rPr>
          <w:rFonts w:cs="Arial"/>
          <w:szCs w:val="24"/>
        </w:rPr>
        <w:t xml:space="preserve">It appears as if even the Master has fallen victim to the incorrect application of the principles of unworthiness by stating that “the surviving spouse is not automatically excluded from inheriting from the estate her half share in terms of a marriage in community of property </w:t>
      </w:r>
      <w:r>
        <w:rPr>
          <w:rFonts w:cs="Arial"/>
          <w:szCs w:val="24"/>
        </w:rPr>
        <w:lastRenderedPageBreak/>
        <w:t>unless there is a Declaratory Order to that effect”.</w:t>
      </w:r>
      <w:r>
        <w:rPr>
          <w:rStyle w:val="FootnoteReference"/>
          <w:rFonts w:cs="Arial"/>
          <w:szCs w:val="24"/>
        </w:rPr>
        <w:footnoteReference w:id="517"/>
      </w:r>
      <w:r>
        <w:rPr>
          <w:rFonts w:cs="Arial"/>
          <w:szCs w:val="24"/>
        </w:rPr>
        <w:t xml:space="preserve"> </w:t>
      </w:r>
      <w:r w:rsidR="005358F7">
        <w:rPr>
          <w:rFonts w:cs="Arial"/>
          <w:szCs w:val="24"/>
        </w:rPr>
        <w:t>I</w:t>
      </w:r>
      <w:r>
        <w:rPr>
          <w:rFonts w:cs="Arial"/>
          <w:szCs w:val="24"/>
        </w:rPr>
        <w:t xml:space="preserve">t appears as if the Master </w:t>
      </w:r>
      <w:r w:rsidR="005358F7">
        <w:rPr>
          <w:rFonts w:cs="Arial"/>
          <w:szCs w:val="24"/>
        </w:rPr>
        <w:t xml:space="preserve">confused </w:t>
      </w:r>
      <w:r>
        <w:rPr>
          <w:rFonts w:cs="Arial"/>
          <w:szCs w:val="24"/>
        </w:rPr>
        <w:t>the principles of succession with matrimonial property law, which is the legal field dealing with division of a joint estate upon death.</w:t>
      </w:r>
    </w:p>
    <w:p w14:paraId="02337695" w14:textId="6091C529" w:rsidR="004C79EB" w:rsidRDefault="004C79EB" w:rsidP="00FD7A23">
      <w:pPr>
        <w:rPr>
          <w:rFonts w:cs="Arial"/>
          <w:szCs w:val="24"/>
        </w:rPr>
      </w:pPr>
      <w:r>
        <w:rPr>
          <w:rFonts w:cs="Arial"/>
          <w:szCs w:val="24"/>
        </w:rPr>
        <w:t>Add to the above the fact that the majority of legal practitioners specialise in a certain field of law, e.g. succession or delict, and tend to not pay attention to developments in other field</w:t>
      </w:r>
      <w:r w:rsidR="005358F7">
        <w:rPr>
          <w:rFonts w:cs="Arial"/>
          <w:szCs w:val="24"/>
        </w:rPr>
        <w:t>s</w:t>
      </w:r>
      <w:r>
        <w:rPr>
          <w:rFonts w:cs="Arial"/>
          <w:szCs w:val="24"/>
        </w:rPr>
        <w:t xml:space="preserve"> of law</w:t>
      </w:r>
      <w:r w:rsidR="005C085A">
        <w:rPr>
          <w:rFonts w:cs="Arial"/>
          <w:szCs w:val="24"/>
        </w:rPr>
        <w:t xml:space="preserve">. </w:t>
      </w:r>
      <w:r>
        <w:rPr>
          <w:rFonts w:cs="Arial"/>
          <w:szCs w:val="24"/>
        </w:rPr>
        <w:t xml:space="preserve"> </w:t>
      </w:r>
      <w:r w:rsidR="005C085A">
        <w:rPr>
          <w:rFonts w:cs="Arial"/>
          <w:szCs w:val="24"/>
        </w:rPr>
        <w:t>T</w:t>
      </w:r>
      <w:r>
        <w:rPr>
          <w:rFonts w:cs="Arial"/>
          <w:szCs w:val="24"/>
        </w:rPr>
        <w:t>he suggested development could be nothing more than an academic exercise, which is the complete opposite of why this study was tackled.</w:t>
      </w:r>
    </w:p>
    <w:p w14:paraId="6F07E16B" w14:textId="5254FF4A" w:rsidR="00FD7A23" w:rsidRDefault="004C79EB" w:rsidP="00FD7A23">
      <w:pPr>
        <w:rPr>
          <w:rFonts w:cs="Arial"/>
          <w:szCs w:val="24"/>
        </w:rPr>
      </w:pPr>
      <w:r>
        <w:rPr>
          <w:rFonts w:cs="Arial"/>
          <w:szCs w:val="24"/>
        </w:rPr>
        <w:t xml:space="preserve">In light of the aforementioned, </w:t>
      </w:r>
      <w:r w:rsidR="005358F7">
        <w:rPr>
          <w:rFonts w:cs="Arial"/>
          <w:szCs w:val="24"/>
        </w:rPr>
        <w:t xml:space="preserve">it </w:t>
      </w:r>
      <w:r w:rsidR="00FD7A23">
        <w:rPr>
          <w:rFonts w:cs="Arial"/>
          <w:szCs w:val="24"/>
        </w:rPr>
        <w:t xml:space="preserve">is recommended that </w:t>
      </w:r>
      <w:r w:rsidR="00EF16B6">
        <w:rPr>
          <w:rFonts w:cs="Arial"/>
          <w:szCs w:val="24"/>
        </w:rPr>
        <w:t xml:space="preserve">this potential caveat in the law </w:t>
      </w:r>
      <w:r w:rsidR="00FD7A23">
        <w:rPr>
          <w:rFonts w:cs="Arial"/>
          <w:szCs w:val="24"/>
        </w:rPr>
        <w:t xml:space="preserve">be addressed by lodging a proposal with one of the “training bodies” like </w:t>
      </w:r>
      <w:r w:rsidR="00EF16B6">
        <w:rPr>
          <w:rFonts w:cs="Arial"/>
          <w:szCs w:val="24"/>
        </w:rPr>
        <w:t xml:space="preserve">the </w:t>
      </w:r>
      <w:r w:rsidR="00FD7A23">
        <w:rPr>
          <w:rFonts w:cs="Arial"/>
          <w:szCs w:val="24"/>
        </w:rPr>
        <w:t xml:space="preserve">LSSA to </w:t>
      </w:r>
      <w:r w:rsidR="00EF16B6">
        <w:rPr>
          <w:rFonts w:cs="Arial"/>
          <w:szCs w:val="24"/>
        </w:rPr>
        <w:t xml:space="preserve">for inclusion into their training </w:t>
      </w:r>
      <w:r w:rsidR="00FD7A23">
        <w:rPr>
          <w:rFonts w:cs="Arial"/>
          <w:szCs w:val="24"/>
        </w:rPr>
        <w:t xml:space="preserve">programs. It is common cause that these bodies present training sessions for legal professionals and support staff. </w:t>
      </w:r>
    </w:p>
    <w:p w14:paraId="677BB329" w14:textId="77777777" w:rsidR="00E43B67" w:rsidRDefault="00E43B67" w:rsidP="00E43B67">
      <w:pPr>
        <w:rPr>
          <w:rFonts w:cs="Arial"/>
          <w:szCs w:val="24"/>
        </w:rPr>
      </w:pPr>
    </w:p>
    <w:p w14:paraId="1D3BE5CF" w14:textId="5B599157" w:rsidR="00843426" w:rsidRDefault="00843426" w:rsidP="00C5627E">
      <w:pPr>
        <w:jc w:val="left"/>
        <w:rPr>
          <w:rFonts w:eastAsiaTheme="majorEastAsia" w:cs="Arial"/>
          <w:b/>
          <w:szCs w:val="24"/>
        </w:rPr>
      </w:pPr>
      <w:r>
        <w:rPr>
          <w:rFonts w:cs="Arial"/>
          <w:szCs w:val="24"/>
        </w:rPr>
        <w:br w:type="page"/>
      </w:r>
    </w:p>
    <w:p w14:paraId="3A0D90FD" w14:textId="35800E48" w:rsidR="00954738" w:rsidRPr="002977D8" w:rsidRDefault="004A2A01" w:rsidP="00C5627E">
      <w:pPr>
        <w:pStyle w:val="Heading1"/>
      </w:pPr>
      <w:bookmarkStart w:id="62" w:name="_Toc191216306"/>
      <w:r w:rsidRPr="006D7CAB">
        <w:lastRenderedPageBreak/>
        <w:t>BIBLIOGRAPHY</w:t>
      </w:r>
      <w:bookmarkEnd w:id="62"/>
    </w:p>
    <w:p w14:paraId="0B875F01" w14:textId="4BCD2B74" w:rsidR="004A2A01" w:rsidRPr="00C5627E" w:rsidRDefault="00092A3A" w:rsidP="003C3EBE">
      <w:pPr>
        <w:pStyle w:val="Heading2"/>
      </w:pPr>
      <w:bookmarkStart w:id="63" w:name="_Toc191216307"/>
      <w:r w:rsidRPr="00C5627E">
        <w:t>Books</w:t>
      </w:r>
      <w:bookmarkEnd w:id="63"/>
    </w:p>
    <w:p w14:paraId="59F7E79A" w14:textId="77777777" w:rsidR="00954738" w:rsidRDefault="00954738" w:rsidP="00C5627E">
      <w:pPr>
        <w:spacing w:after="0"/>
        <w:rPr>
          <w:rFonts w:cs="Arial"/>
          <w:szCs w:val="24"/>
        </w:rPr>
      </w:pPr>
      <w:r>
        <w:rPr>
          <w:rFonts w:cs="Arial"/>
          <w:szCs w:val="24"/>
        </w:rPr>
        <w:t>CORBETT MM, HOFMEYR G &amp; KAHN E</w:t>
      </w:r>
    </w:p>
    <w:p w14:paraId="167CF782" w14:textId="5F4D5D0C" w:rsidR="00954738" w:rsidRPr="005F1D11" w:rsidRDefault="00954738" w:rsidP="00C5627E">
      <w:pPr>
        <w:ind w:left="567" w:right="-1"/>
        <w:rPr>
          <w:rFonts w:cs="Arial"/>
          <w:szCs w:val="24"/>
        </w:rPr>
      </w:pPr>
      <w:r>
        <w:rPr>
          <w:rFonts w:cs="Arial"/>
          <w:szCs w:val="24"/>
        </w:rPr>
        <w:t xml:space="preserve">2020. </w:t>
      </w:r>
      <w:r>
        <w:rPr>
          <w:rFonts w:cs="Arial"/>
          <w:i/>
          <w:iCs/>
          <w:szCs w:val="24"/>
        </w:rPr>
        <w:t>Law of Succession in South Africa</w:t>
      </w:r>
      <w:r>
        <w:rPr>
          <w:rFonts w:cs="Arial"/>
          <w:szCs w:val="24"/>
        </w:rPr>
        <w:t>. 2</w:t>
      </w:r>
      <w:r w:rsidRPr="005F1D11">
        <w:rPr>
          <w:rFonts w:cs="Arial"/>
          <w:szCs w:val="24"/>
          <w:vertAlign w:val="superscript"/>
        </w:rPr>
        <w:t>nd</w:t>
      </w:r>
      <w:r>
        <w:rPr>
          <w:rFonts w:cs="Arial"/>
          <w:szCs w:val="24"/>
        </w:rPr>
        <w:t xml:space="preserve"> ed</w:t>
      </w:r>
      <w:r w:rsidR="003C3EBE">
        <w:rPr>
          <w:rFonts w:cs="Arial"/>
          <w:szCs w:val="24"/>
        </w:rPr>
        <w:t>ition</w:t>
      </w:r>
      <w:r>
        <w:rPr>
          <w:rFonts w:cs="Arial"/>
          <w:szCs w:val="24"/>
        </w:rPr>
        <w:t>. Claremont: Juta &amp; Company (Pty) Ltd.</w:t>
      </w:r>
    </w:p>
    <w:p w14:paraId="532FF3AB" w14:textId="77777777" w:rsidR="00954738" w:rsidRPr="002E3D04" w:rsidRDefault="00954738" w:rsidP="00C5627E">
      <w:pPr>
        <w:spacing w:after="0"/>
        <w:rPr>
          <w:rFonts w:cs="Arial"/>
          <w:szCs w:val="24"/>
        </w:rPr>
      </w:pPr>
      <w:r w:rsidRPr="002E3D04">
        <w:rPr>
          <w:rFonts w:cs="Arial"/>
          <w:szCs w:val="24"/>
        </w:rPr>
        <w:t>DE WAAL MJ &amp; ZIMMERMAN R</w:t>
      </w:r>
    </w:p>
    <w:p w14:paraId="71A3BEDC" w14:textId="6B043F47" w:rsidR="00954738" w:rsidRPr="002E3D04" w:rsidRDefault="00954738" w:rsidP="00C5627E">
      <w:pPr>
        <w:ind w:left="567"/>
        <w:rPr>
          <w:rFonts w:cs="Arial"/>
          <w:szCs w:val="24"/>
        </w:rPr>
      </w:pPr>
      <w:r w:rsidRPr="002E3D04">
        <w:rPr>
          <w:rFonts w:cs="Arial"/>
          <w:szCs w:val="24"/>
        </w:rPr>
        <w:t>2011. The meaning and application of the bloedige hand rule in the Roman-Dutch and modern South African law of succession</w:t>
      </w:r>
      <w:r w:rsidR="004834C2">
        <w:rPr>
          <w:rFonts w:cs="Arial"/>
          <w:szCs w:val="24"/>
        </w:rPr>
        <w:t xml:space="preserve"> in Mostert H &amp; De Waal MJ (eds.)</w:t>
      </w:r>
      <w:r w:rsidRPr="002E3D04">
        <w:rPr>
          <w:rFonts w:cs="Arial"/>
          <w:szCs w:val="24"/>
        </w:rPr>
        <w:t xml:space="preserve"> </w:t>
      </w:r>
      <w:r w:rsidRPr="002E3D04">
        <w:rPr>
          <w:rFonts w:cs="Arial"/>
          <w:i/>
          <w:iCs/>
          <w:szCs w:val="24"/>
        </w:rPr>
        <w:t>Essays in honour of CG van der Merwe</w:t>
      </w:r>
      <w:r w:rsidRPr="002E3D04">
        <w:rPr>
          <w:rFonts w:cs="Arial"/>
          <w:szCs w:val="24"/>
        </w:rPr>
        <w:t>. Durban: LexisNexis.</w:t>
      </w:r>
    </w:p>
    <w:p w14:paraId="40F6DBEE" w14:textId="636264E7" w:rsidR="00954738" w:rsidRPr="00DE14D0" w:rsidRDefault="00954738" w:rsidP="00C5627E">
      <w:pPr>
        <w:spacing w:after="0"/>
        <w:ind w:left="851" w:hanging="851"/>
        <w:rPr>
          <w:rFonts w:cs="Arial"/>
          <w:szCs w:val="24"/>
        </w:rPr>
      </w:pPr>
      <w:r w:rsidRPr="00DE14D0">
        <w:rPr>
          <w:rFonts w:cs="Arial"/>
          <w:szCs w:val="24"/>
        </w:rPr>
        <w:t xml:space="preserve">DE WAAL MJ </w:t>
      </w:r>
      <w:r>
        <w:rPr>
          <w:rFonts w:cs="Arial"/>
          <w:szCs w:val="24"/>
        </w:rPr>
        <w:t>&amp;</w:t>
      </w:r>
      <w:r w:rsidRPr="00DE14D0">
        <w:rPr>
          <w:rFonts w:cs="Arial"/>
          <w:szCs w:val="24"/>
        </w:rPr>
        <w:t xml:space="preserve"> SCHOEMAN-MALAN MC</w:t>
      </w:r>
    </w:p>
    <w:p w14:paraId="5960237C" w14:textId="739E61C0" w:rsidR="00954738" w:rsidRPr="00DE14D0" w:rsidRDefault="00954738" w:rsidP="00C5627E">
      <w:pPr>
        <w:ind w:left="851"/>
        <w:rPr>
          <w:rFonts w:cs="Arial"/>
          <w:szCs w:val="24"/>
        </w:rPr>
      </w:pPr>
      <w:r w:rsidRPr="00DE14D0">
        <w:rPr>
          <w:rFonts w:cs="Arial"/>
          <w:szCs w:val="24"/>
        </w:rPr>
        <w:t xml:space="preserve">2015. </w:t>
      </w:r>
      <w:r w:rsidRPr="00DE14D0">
        <w:rPr>
          <w:rFonts w:cs="Arial"/>
          <w:i/>
          <w:iCs/>
          <w:szCs w:val="24"/>
        </w:rPr>
        <w:t>Law of Succession</w:t>
      </w:r>
      <w:r w:rsidRPr="00DE14D0">
        <w:rPr>
          <w:rFonts w:cs="Arial"/>
          <w:szCs w:val="24"/>
        </w:rPr>
        <w:t xml:space="preserve">. </w:t>
      </w:r>
      <w:r w:rsidR="003C3EBE">
        <w:rPr>
          <w:rFonts w:cs="Arial"/>
          <w:szCs w:val="24"/>
        </w:rPr>
        <w:t>5</w:t>
      </w:r>
      <w:r w:rsidR="003C3EBE" w:rsidRPr="003C3EBE">
        <w:rPr>
          <w:rFonts w:cs="Arial"/>
          <w:szCs w:val="24"/>
          <w:vertAlign w:val="superscript"/>
        </w:rPr>
        <w:t>th</w:t>
      </w:r>
      <w:r w:rsidR="003C3EBE">
        <w:rPr>
          <w:rFonts w:cs="Arial"/>
          <w:szCs w:val="24"/>
        </w:rPr>
        <w:t xml:space="preserve"> edition. </w:t>
      </w:r>
      <w:r w:rsidRPr="00DE14D0">
        <w:rPr>
          <w:rFonts w:cs="Arial"/>
          <w:szCs w:val="24"/>
        </w:rPr>
        <w:t>Cape Town: Juta and Company (Pty) Ltd.</w:t>
      </w:r>
    </w:p>
    <w:p w14:paraId="31DDF2A9" w14:textId="77777777" w:rsidR="00954738" w:rsidRPr="002E3D04" w:rsidRDefault="00954738" w:rsidP="00C5627E">
      <w:pPr>
        <w:spacing w:after="0"/>
        <w:rPr>
          <w:rFonts w:cs="Arial"/>
          <w:szCs w:val="24"/>
        </w:rPr>
      </w:pPr>
      <w:r w:rsidRPr="002E3D04">
        <w:rPr>
          <w:rFonts w:cs="Arial"/>
          <w:szCs w:val="24"/>
        </w:rPr>
        <w:t>ERASMUS HJ &amp; DE WAAL MJ</w:t>
      </w:r>
    </w:p>
    <w:p w14:paraId="2AB3173C" w14:textId="77777777" w:rsidR="00954738" w:rsidRPr="002E3D04" w:rsidRDefault="00954738" w:rsidP="00C5627E">
      <w:pPr>
        <w:ind w:left="567"/>
        <w:rPr>
          <w:rFonts w:cs="Arial"/>
          <w:szCs w:val="24"/>
        </w:rPr>
      </w:pPr>
      <w:r w:rsidRPr="002E3D04">
        <w:rPr>
          <w:rFonts w:cs="Arial"/>
          <w:szCs w:val="24"/>
        </w:rPr>
        <w:t xml:space="preserve">1989. </w:t>
      </w:r>
      <w:r w:rsidRPr="002E3D04">
        <w:rPr>
          <w:rFonts w:cs="Arial"/>
          <w:i/>
          <w:iCs/>
          <w:szCs w:val="24"/>
        </w:rPr>
        <w:t>The South African Law of Succession</w:t>
      </w:r>
      <w:r w:rsidRPr="002E3D04">
        <w:rPr>
          <w:rFonts w:cs="Arial"/>
          <w:szCs w:val="24"/>
        </w:rPr>
        <w:t>. Durban: Butterworths.</w:t>
      </w:r>
    </w:p>
    <w:p w14:paraId="338F2A78" w14:textId="77777777" w:rsidR="00954738" w:rsidRPr="002E3D04" w:rsidRDefault="00954738" w:rsidP="00C5627E">
      <w:pPr>
        <w:spacing w:after="0"/>
        <w:rPr>
          <w:rFonts w:cs="Arial"/>
          <w:szCs w:val="24"/>
        </w:rPr>
      </w:pPr>
      <w:r w:rsidRPr="002E3D04">
        <w:rPr>
          <w:rFonts w:cs="Arial"/>
          <w:szCs w:val="24"/>
        </w:rPr>
        <w:t>FIELD CR</w:t>
      </w:r>
    </w:p>
    <w:p w14:paraId="165D16FC" w14:textId="77777777" w:rsidR="00954738" w:rsidRPr="002E3D04" w:rsidRDefault="00954738" w:rsidP="00C5627E">
      <w:pPr>
        <w:ind w:left="567"/>
        <w:rPr>
          <w:rFonts w:cs="Arial"/>
          <w:szCs w:val="24"/>
        </w:rPr>
      </w:pPr>
      <w:r w:rsidRPr="002E3D04">
        <w:rPr>
          <w:rFonts w:cs="Arial"/>
          <w:szCs w:val="24"/>
        </w:rPr>
        <w:t xml:space="preserve">2013. </w:t>
      </w:r>
      <w:r w:rsidRPr="002E3D04">
        <w:rPr>
          <w:rFonts w:cs="Arial"/>
          <w:i/>
          <w:iCs/>
          <w:szCs w:val="24"/>
        </w:rPr>
        <w:t>The Drafting of Wills</w:t>
      </w:r>
      <w:r w:rsidRPr="002E3D04">
        <w:rPr>
          <w:rFonts w:cs="Arial"/>
          <w:szCs w:val="24"/>
        </w:rPr>
        <w:t>. Cape Town: Siber Ink.</w:t>
      </w:r>
    </w:p>
    <w:p w14:paraId="39BE7989" w14:textId="77777777" w:rsidR="00954738" w:rsidRPr="0034259A" w:rsidRDefault="00954738" w:rsidP="00C5627E">
      <w:pPr>
        <w:spacing w:after="0"/>
      </w:pPr>
      <w:r w:rsidRPr="0034259A">
        <w:t>HOFMEYR G &amp; PALEKAR M</w:t>
      </w:r>
    </w:p>
    <w:p w14:paraId="376506B1" w14:textId="155E80F5" w:rsidR="00954738" w:rsidRDefault="00954738" w:rsidP="00C5627E">
      <w:pPr>
        <w:ind w:left="567"/>
      </w:pPr>
      <w:r w:rsidRPr="0034259A">
        <w:t xml:space="preserve">2023. </w:t>
      </w:r>
      <w:r w:rsidRPr="0034259A">
        <w:rPr>
          <w:i/>
          <w:iCs/>
        </w:rPr>
        <w:t>Law of Succession in South Africa</w:t>
      </w:r>
      <w:r w:rsidRPr="0034259A">
        <w:t>. 3</w:t>
      </w:r>
      <w:r w:rsidRPr="0034259A">
        <w:rPr>
          <w:vertAlign w:val="superscript"/>
        </w:rPr>
        <w:t>rd</w:t>
      </w:r>
      <w:r w:rsidRPr="0034259A">
        <w:t xml:space="preserve"> ed</w:t>
      </w:r>
      <w:r w:rsidR="003C3EBE">
        <w:t>ition</w:t>
      </w:r>
      <w:r w:rsidRPr="0034259A">
        <w:t>. Claremont: Juta and Company (Pty) Ltd.</w:t>
      </w:r>
    </w:p>
    <w:p w14:paraId="1223FFA1" w14:textId="10CD887E" w:rsidR="00954738" w:rsidRPr="0034259A" w:rsidRDefault="00954738" w:rsidP="00C5627E">
      <w:pPr>
        <w:spacing w:after="0"/>
      </w:pPr>
      <w:r w:rsidRPr="0034259A">
        <w:t>JAMNECK J &amp; RAUTENBACH C (</w:t>
      </w:r>
      <w:r w:rsidR="004655A7">
        <w:t>e</w:t>
      </w:r>
      <w:r w:rsidRPr="0034259A">
        <w:t>ds.)</w:t>
      </w:r>
    </w:p>
    <w:p w14:paraId="0A127FF6" w14:textId="0CE6B53F" w:rsidR="00954738" w:rsidRPr="0034259A" w:rsidRDefault="00954738" w:rsidP="00C5627E">
      <w:pPr>
        <w:ind w:left="567"/>
      </w:pPr>
      <w:r w:rsidRPr="0034259A">
        <w:t xml:space="preserve">2023. </w:t>
      </w:r>
      <w:r w:rsidRPr="0034259A">
        <w:rPr>
          <w:i/>
          <w:iCs/>
        </w:rPr>
        <w:t>The Law of Succession in South Africa</w:t>
      </w:r>
      <w:r w:rsidRPr="0034259A">
        <w:t>. 4</w:t>
      </w:r>
      <w:r w:rsidRPr="0034259A">
        <w:rPr>
          <w:vertAlign w:val="superscript"/>
        </w:rPr>
        <w:t>th</w:t>
      </w:r>
      <w:r w:rsidRPr="0034259A">
        <w:t xml:space="preserve"> ed</w:t>
      </w:r>
      <w:r w:rsidR="003C3EBE">
        <w:t>ition</w:t>
      </w:r>
      <w:r w:rsidRPr="0034259A">
        <w:t>. Cape Town: Oxford University Press.</w:t>
      </w:r>
    </w:p>
    <w:p w14:paraId="0E83E0B9" w14:textId="77777777" w:rsidR="004A2A01" w:rsidRPr="00DE14D0" w:rsidRDefault="004A2A01" w:rsidP="00C5627E">
      <w:pPr>
        <w:spacing w:after="0"/>
        <w:ind w:left="851" w:hanging="851"/>
        <w:rPr>
          <w:rFonts w:cs="Arial"/>
          <w:szCs w:val="24"/>
        </w:rPr>
      </w:pPr>
      <w:r w:rsidRPr="00DE14D0">
        <w:rPr>
          <w:rFonts w:cs="Arial"/>
          <w:szCs w:val="24"/>
        </w:rPr>
        <w:t>NEETHLING J AND POTGIETER JM</w:t>
      </w:r>
    </w:p>
    <w:p w14:paraId="7450D06D" w14:textId="58D73AF2" w:rsidR="004A2A01" w:rsidRPr="00DE14D0" w:rsidRDefault="004A2A01" w:rsidP="00C5627E">
      <w:pPr>
        <w:ind w:left="567"/>
        <w:rPr>
          <w:rFonts w:cs="Arial"/>
          <w:szCs w:val="24"/>
        </w:rPr>
      </w:pPr>
      <w:r w:rsidRPr="00DE14D0">
        <w:rPr>
          <w:rFonts w:cs="Arial"/>
          <w:szCs w:val="24"/>
        </w:rPr>
        <w:t xml:space="preserve">2015. </w:t>
      </w:r>
      <w:r w:rsidRPr="00DE14D0">
        <w:rPr>
          <w:rFonts w:cs="Arial"/>
          <w:i/>
          <w:iCs/>
          <w:szCs w:val="24"/>
        </w:rPr>
        <w:t>Neethling-Potgieter-Visser Law of Delict</w:t>
      </w:r>
      <w:r w:rsidRPr="00DE14D0">
        <w:rPr>
          <w:rFonts w:cs="Arial"/>
          <w:szCs w:val="24"/>
        </w:rPr>
        <w:t>. 7</w:t>
      </w:r>
      <w:r w:rsidRPr="00DE14D0">
        <w:rPr>
          <w:rFonts w:cs="Arial"/>
          <w:szCs w:val="24"/>
          <w:vertAlign w:val="superscript"/>
        </w:rPr>
        <w:t>th</w:t>
      </w:r>
      <w:r w:rsidRPr="00DE14D0">
        <w:rPr>
          <w:rFonts w:cs="Arial"/>
          <w:szCs w:val="24"/>
        </w:rPr>
        <w:t xml:space="preserve"> ed</w:t>
      </w:r>
      <w:r w:rsidR="003C3EBE">
        <w:rPr>
          <w:rFonts w:cs="Arial"/>
          <w:szCs w:val="24"/>
        </w:rPr>
        <w:t>ition</w:t>
      </w:r>
      <w:r w:rsidRPr="00DE14D0">
        <w:rPr>
          <w:rFonts w:cs="Arial"/>
          <w:szCs w:val="24"/>
        </w:rPr>
        <w:t>. Pietermaritzburg: Interpak Books.</w:t>
      </w:r>
    </w:p>
    <w:p w14:paraId="5B58E0C7" w14:textId="568CD91B" w:rsidR="004A2A01" w:rsidRPr="00DE14D0" w:rsidRDefault="004A2A01" w:rsidP="00C5627E">
      <w:pPr>
        <w:spacing w:after="0"/>
        <w:ind w:left="851" w:hanging="851"/>
        <w:rPr>
          <w:rFonts w:cs="Arial"/>
          <w:szCs w:val="24"/>
        </w:rPr>
      </w:pPr>
      <w:r w:rsidRPr="00DE14D0">
        <w:rPr>
          <w:rFonts w:cs="Arial"/>
          <w:szCs w:val="24"/>
        </w:rPr>
        <w:t xml:space="preserve">POTGIETER JM, STEYNBERG L </w:t>
      </w:r>
      <w:r w:rsidR="00F35F82" w:rsidRPr="00DE14D0">
        <w:rPr>
          <w:rFonts w:cs="Arial"/>
          <w:szCs w:val="24"/>
        </w:rPr>
        <w:t>&amp;</w:t>
      </w:r>
      <w:r w:rsidRPr="00DE14D0">
        <w:rPr>
          <w:rFonts w:cs="Arial"/>
          <w:szCs w:val="24"/>
        </w:rPr>
        <w:t xml:space="preserve"> FLOYD TB</w:t>
      </w:r>
    </w:p>
    <w:p w14:paraId="7BB423CE" w14:textId="06BA86F7" w:rsidR="004A2A01" w:rsidRDefault="004A2A01" w:rsidP="00C5627E">
      <w:pPr>
        <w:ind w:left="709"/>
        <w:rPr>
          <w:rFonts w:cs="Arial"/>
          <w:szCs w:val="24"/>
        </w:rPr>
      </w:pPr>
      <w:r w:rsidRPr="00DE14D0">
        <w:rPr>
          <w:rFonts w:cs="Arial"/>
          <w:szCs w:val="24"/>
        </w:rPr>
        <w:t xml:space="preserve">2017. </w:t>
      </w:r>
      <w:r w:rsidRPr="00DE14D0">
        <w:rPr>
          <w:rFonts w:cs="Arial"/>
          <w:i/>
          <w:iCs/>
          <w:szCs w:val="24"/>
        </w:rPr>
        <w:t>Visser &amp; Potgieter Law of Damages</w:t>
      </w:r>
      <w:r w:rsidRPr="00DE14D0">
        <w:rPr>
          <w:rFonts w:cs="Arial"/>
          <w:szCs w:val="24"/>
        </w:rPr>
        <w:t>. 3</w:t>
      </w:r>
      <w:r w:rsidRPr="00DE14D0">
        <w:rPr>
          <w:rFonts w:cs="Arial"/>
          <w:szCs w:val="24"/>
          <w:vertAlign w:val="superscript"/>
        </w:rPr>
        <w:t>rd</w:t>
      </w:r>
      <w:r w:rsidRPr="00DE14D0">
        <w:rPr>
          <w:rFonts w:cs="Arial"/>
          <w:szCs w:val="24"/>
        </w:rPr>
        <w:t xml:space="preserve"> ed</w:t>
      </w:r>
      <w:r w:rsidR="003C3EBE">
        <w:rPr>
          <w:rFonts w:cs="Arial"/>
          <w:szCs w:val="24"/>
        </w:rPr>
        <w:t>ition</w:t>
      </w:r>
      <w:r w:rsidRPr="00DE14D0">
        <w:rPr>
          <w:rFonts w:cs="Arial"/>
          <w:szCs w:val="24"/>
        </w:rPr>
        <w:t>. Claremont: Juta and Company (Pty) Ltd.</w:t>
      </w:r>
    </w:p>
    <w:p w14:paraId="62A6A10D" w14:textId="2D7D67FC" w:rsidR="001D6988" w:rsidRDefault="001D6988" w:rsidP="00C5627E">
      <w:pPr>
        <w:spacing w:after="0"/>
        <w:rPr>
          <w:rFonts w:cs="Arial"/>
          <w:szCs w:val="24"/>
        </w:rPr>
      </w:pPr>
      <w:r>
        <w:rPr>
          <w:rFonts w:cs="Arial"/>
          <w:szCs w:val="24"/>
        </w:rPr>
        <w:t>SNYMAN CR</w:t>
      </w:r>
    </w:p>
    <w:p w14:paraId="47824F6E" w14:textId="322D163A" w:rsidR="001D6988" w:rsidRPr="001D6988" w:rsidRDefault="001D6988" w:rsidP="00C5627E">
      <w:pPr>
        <w:ind w:left="709"/>
        <w:rPr>
          <w:rFonts w:cs="Arial"/>
          <w:szCs w:val="24"/>
        </w:rPr>
      </w:pPr>
      <w:r>
        <w:rPr>
          <w:rFonts w:cs="Arial"/>
          <w:szCs w:val="24"/>
        </w:rPr>
        <w:t xml:space="preserve">2002. </w:t>
      </w:r>
      <w:r>
        <w:rPr>
          <w:rFonts w:cs="Arial"/>
          <w:i/>
          <w:iCs/>
          <w:szCs w:val="24"/>
        </w:rPr>
        <w:t>Criminal Law</w:t>
      </w:r>
      <w:r>
        <w:rPr>
          <w:rFonts w:cs="Arial"/>
          <w:szCs w:val="24"/>
        </w:rPr>
        <w:t>. 4</w:t>
      </w:r>
      <w:r w:rsidRPr="001D6988">
        <w:rPr>
          <w:rFonts w:cs="Arial"/>
          <w:szCs w:val="24"/>
          <w:vertAlign w:val="superscript"/>
        </w:rPr>
        <w:t>th</w:t>
      </w:r>
      <w:r>
        <w:rPr>
          <w:rFonts w:cs="Arial"/>
          <w:szCs w:val="24"/>
        </w:rPr>
        <w:t xml:space="preserve"> ed</w:t>
      </w:r>
      <w:r w:rsidR="003C3EBE">
        <w:rPr>
          <w:rFonts w:cs="Arial"/>
          <w:szCs w:val="24"/>
        </w:rPr>
        <w:t>ition</w:t>
      </w:r>
      <w:r>
        <w:rPr>
          <w:rFonts w:cs="Arial"/>
          <w:szCs w:val="24"/>
        </w:rPr>
        <w:t>. Durban: LexisNexis Butterworths.</w:t>
      </w:r>
    </w:p>
    <w:p w14:paraId="4E8A1230" w14:textId="23BCC3AC" w:rsidR="00CF6463" w:rsidRPr="00C5627E" w:rsidRDefault="00092A3A" w:rsidP="003C3EBE">
      <w:pPr>
        <w:pStyle w:val="Heading2"/>
      </w:pPr>
      <w:bookmarkStart w:id="64" w:name="_Toc191216308"/>
      <w:r w:rsidRPr="00C5627E">
        <w:lastRenderedPageBreak/>
        <w:t>Case law</w:t>
      </w:r>
      <w:bookmarkEnd w:id="64"/>
    </w:p>
    <w:p w14:paraId="21E89308" w14:textId="77777777" w:rsidR="00CF6463" w:rsidRPr="0063212C" w:rsidRDefault="00CF6463" w:rsidP="00C5627E">
      <w:pPr>
        <w:rPr>
          <w:rFonts w:cs="Arial"/>
          <w:szCs w:val="24"/>
        </w:rPr>
      </w:pPr>
      <w:r w:rsidRPr="00A9117F">
        <w:rPr>
          <w:rFonts w:cs="Arial"/>
          <w:i/>
          <w:iCs/>
          <w:szCs w:val="24"/>
        </w:rPr>
        <w:t xml:space="preserve">Barnard v Santam Bpk </w:t>
      </w:r>
      <w:r w:rsidRPr="0063212C">
        <w:rPr>
          <w:rFonts w:cs="Arial"/>
          <w:szCs w:val="24"/>
        </w:rPr>
        <w:t>1999 1 SA 202 (SCA).</w:t>
      </w:r>
    </w:p>
    <w:p w14:paraId="725D5A58" w14:textId="77777777" w:rsidR="00CF6463" w:rsidRPr="0063212C" w:rsidRDefault="00CF6463" w:rsidP="00C5627E">
      <w:pPr>
        <w:rPr>
          <w:rFonts w:cs="Arial"/>
          <w:szCs w:val="24"/>
        </w:rPr>
      </w:pPr>
      <w:r w:rsidRPr="00A9117F">
        <w:rPr>
          <w:rFonts w:cs="Arial"/>
          <w:i/>
          <w:iCs/>
          <w:szCs w:val="24"/>
        </w:rPr>
        <w:t xml:space="preserve">Bester v Commercial Union Versekeringsmaatskappy van SA Bpk </w:t>
      </w:r>
      <w:r w:rsidRPr="0063212C">
        <w:rPr>
          <w:rFonts w:cs="Arial"/>
          <w:szCs w:val="24"/>
        </w:rPr>
        <w:t>1973 1 SALR 769 (A).</w:t>
      </w:r>
    </w:p>
    <w:p w14:paraId="025FC3E7" w14:textId="77777777" w:rsidR="00CF6463" w:rsidRPr="0063212C" w:rsidRDefault="00CF6463" w:rsidP="00C5627E">
      <w:pPr>
        <w:rPr>
          <w:rFonts w:cs="Arial"/>
          <w:szCs w:val="24"/>
        </w:rPr>
      </w:pPr>
      <w:r w:rsidRPr="00A9117F">
        <w:rPr>
          <w:rFonts w:cs="Arial"/>
          <w:i/>
          <w:iCs/>
          <w:szCs w:val="24"/>
        </w:rPr>
        <w:t xml:space="preserve">Boswell v Minister of Police &amp; Another </w:t>
      </w:r>
      <w:r w:rsidRPr="0063212C">
        <w:rPr>
          <w:rFonts w:cs="Arial"/>
          <w:szCs w:val="24"/>
        </w:rPr>
        <w:t>1978 3 SA 268 (E).</w:t>
      </w:r>
    </w:p>
    <w:p w14:paraId="2EEB37FB" w14:textId="77777777" w:rsidR="00CF6463" w:rsidRPr="00670717" w:rsidRDefault="00CF6463" w:rsidP="00C5627E">
      <w:pPr>
        <w:rPr>
          <w:rFonts w:cs="Arial"/>
          <w:szCs w:val="24"/>
        </w:rPr>
      </w:pPr>
      <w:r w:rsidRPr="00DE14D0">
        <w:rPr>
          <w:rFonts w:cs="Arial"/>
          <w:i/>
          <w:iCs/>
          <w:szCs w:val="24"/>
        </w:rPr>
        <w:t xml:space="preserve">Casey NO v The Master </w:t>
      </w:r>
      <w:r>
        <w:rPr>
          <w:rFonts w:cs="Arial"/>
          <w:i/>
          <w:iCs/>
          <w:szCs w:val="24"/>
        </w:rPr>
        <w:t>&amp;</w:t>
      </w:r>
      <w:r w:rsidRPr="00DE14D0">
        <w:rPr>
          <w:rFonts w:cs="Arial"/>
          <w:i/>
          <w:iCs/>
          <w:szCs w:val="24"/>
        </w:rPr>
        <w:t xml:space="preserve"> others </w:t>
      </w:r>
      <w:r w:rsidRPr="00670717">
        <w:rPr>
          <w:rFonts w:cs="Arial"/>
          <w:szCs w:val="24"/>
        </w:rPr>
        <w:t>1992 4 SA 505 (N).</w:t>
      </w:r>
    </w:p>
    <w:p w14:paraId="10CF6178" w14:textId="77777777" w:rsidR="00CF6463" w:rsidRPr="00670717" w:rsidRDefault="00CF6463" w:rsidP="00C5627E">
      <w:pPr>
        <w:rPr>
          <w:rFonts w:cs="Arial"/>
          <w:szCs w:val="24"/>
        </w:rPr>
      </w:pPr>
      <w:r w:rsidRPr="00DE14D0">
        <w:rPr>
          <w:rFonts w:cs="Arial"/>
          <w:i/>
          <w:iCs/>
          <w:szCs w:val="24"/>
        </w:rPr>
        <w:t xml:space="preserve">Caldwell v Erasmus NO </w:t>
      </w:r>
      <w:r>
        <w:rPr>
          <w:rFonts w:cs="Arial"/>
          <w:i/>
          <w:iCs/>
          <w:szCs w:val="24"/>
        </w:rPr>
        <w:t>&amp;</w:t>
      </w:r>
      <w:r w:rsidRPr="00DE14D0">
        <w:rPr>
          <w:rFonts w:cs="Arial"/>
          <w:i/>
          <w:iCs/>
          <w:szCs w:val="24"/>
        </w:rPr>
        <w:t xml:space="preserve"> another </w:t>
      </w:r>
      <w:r w:rsidRPr="00670717">
        <w:rPr>
          <w:rFonts w:cs="Arial"/>
          <w:szCs w:val="24"/>
        </w:rPr>
        <w:t>1952 4 All SA 161 (T).</w:t>
      </w:r>
    </w:p>
    <w:p w14:paraId="48FD97CB" w14:textId="43B523F6" w:rsidR="00C81DE3" w:rsidRDefault="00C81DE3" w:rsidP="00C5627E">
      <w:pPr>
        <w:rPr>
          <w:lang w:val="en-GB"/>
        </w:rPr>
      </w:pPr>
      <w:r>
        <w:rPr>
          <w:i/>
          <w:iCs/>
          <w:lang w:val="en-GB"/>
        </w:rPr>
        <w:t>Clinton-Parker v Administrator, Transvaal Dawkins v Administrator, Transvaal</w:t>
      </w:r>
      <w:r>
        <w:rPr>
          <w:lang w:val="en-GB"/>
        </w:rPr>
        <w:t xml:space="preserve"> 1996 2 SA 37 (W).</w:t>
      </w:r>
    </w:p>
    <w:p w14:paraId="7EDAF56F" w14:textId="02105E48" w:rsidR="00CF6463" w:rsidRPr="00670717" w:rsidRDefault="00CF6463" w:rsidP="00C5627E">
      <w:pPr>
        <w:rPr>
          <w:rFonts w:cs="Arial"/>
          <w:szCs w:val="24"/>
        </w:rPr>
      </w:pPr>
      <w:r w:rsidRPr="00DE14D0">
        <w:rPr>
          <w:rFonts w:cs="Arial"/>
          <w:i/>
          <w:iCs/>
          <w:szCs w:val="24"/>
        </w:rPr>
        <w:t xml:space="preserve">Danielz NO v De Wet </w:t>
      </w:r>
      <w:r>
        <w:rPr>
          <w:rFonts w:cs="Arial"/>
          <w:i/>
          <w:iCs/>
          <w:szCs w:val="24"/>
        </w:rPr>
        <w:t>&amp;</w:t>
      </w:r>
      <w:r w:rsidRPr="00DE14D0">
        <w:rPr>
          <w:rFonts w:cs="Arial"/>
          <w:i/>
          <w:iCs/>
          <w:szCs w:val="24"/>
        </w:rPr>
        <w:t xml:space="preserve"> Another </w:t>
      </w:r>
      <w:r w:rsidRPr="00670717">
        <w:rPr>
          <w:rFonts w:cs="Arial"/>
          <w:szCs w:val="24"/>
        </w:rPr>
        <w:t>2009 6 SA 42 (C).</w:t>
      </w:r>
    </w:p>
    <w:p w14:paraId="3106900C" w14:textId="77777777" w:rsidR="00CF6463" w:rsidRDefault="00CF6463" w:rsidP="00C5627E">
      <w:pPr>
        <w:rPr>
          <w:rFonts w:cs="Arial"/>
          <w:i/>
          <w:iCs/>
          <w:szCs w:val="24"/>
        </w:rPr>
      </w:pPr>
      <w:r>
        <w:rPr>
          <w:rFonts w:cs="Arial"/>
          <w:i/>
          <w:iCs/>
          <w:szCs w:val="24"/>
        </w:rPr>
        <w:t>Ex parte Meier &amp; Andere</w:t>
      </w:r>
      <w:r w:rsidRPr="00C93A06">
        <w:rPr>
          <w:rFonts w:cs="Arial"/>
          <w:szCs w:val="24"/>
        </w:rPr>
        <w:t xml:space="preserve"> 1980 3 SA 154 (T)</w:t>
      </w:r>
      <w:r>
        <w:rPr>
          <w:rFonts w:cs="Arial"/>
          <w:szCs w:val="24"/>
        </w:rPr>
        <w:t>.</w:t>
      </w:r>
    </w:p>
    <w:p w14:paraId="63D0E56A" w14:textId="77777777" w:rsidR="00CF6463" w:rsidRPr="00DE14D0" w:rsidRDefault="00CF6463" w:rsidP="00C5627E">
      <w:pPr>
        <w:rPr>
          <w:rFonts w:cs="Arial"/>
          <w:i/>
          <w:iCs/>
          <w:szCs w:val="24"/>
        </w:rPr>
      </w:pPr>
      <w:r w:rsidRPr="00DE14D0">
        <w:rPr>
          <w:rFonts w:cs="Arial"/>
          <w:i/>
          <w:iCs/>
          <w:szCs w:val="24"/>
        </w:rPr>
        <w:t xml:space="preserve">Ex parte Steenkamp </w:t>
      </w:r>
      <w:r>
        <w:rPr>
          <w:rFonts w:cs="Arial"/>
          <w:i/>
          <w:iCs/>
          <w:szCs w:val="24"/>
        </w:rPr>
        <w:t>&amp;</w:t>
      </w:r>
      <w:r w:rsidRPr="00DE14D0">
        <w:rPr>
          <w:rFonts w:cs="Arial"/>
          <w:i/>
          <w:iCs/>
          <w:szCs w:val="24"/>
        </w:rPr>
        <w:t xml:space="preserve"> Steenkamp </w:t>
      </w:r>
      <w:r w:rsidRPr="00670717">
        <w:rPr>
          <w:rFonts w:cs="Arial"/>
          <w:szCs w:val="24"/>
        </w:rPr>
        <w:t>1952 1 SA 744 (T).</w:t>
      </w:r>
    </w:p>
    <w:p w14:paraId="5FFDF12B" w14:textId="77777777" w:rsidR="00CF6463" w:rsidRPr="00670717" w:rsidRDefault="00CF6463" w:rsidP="00C5627E">
      <w:pPr>
        <w:rPr>
          <w:rFonts w:cs="Arial"/>
          <w:szCs w:val="24"/>
        </w:rPr>
      </w:pPr>
      <w:r w:rsidRPr="00DE14D0">
        <w:rPr>
          <w:rFonts w:cs="Arial"/>
          <w:i/>
          <w:iCs/>
          <w:szCs w:val="24"/>
        </w:rPr>
        <w:t xml:space="preserve">Ex parte Vonzell </w:t>
      </w:r>
      <w:r w:rsidRPr="00670717">
        <w:rPr>
          <w:rFonts w:cs="Arial"/>
          <w:szCs w:val="24"/>
        </w:rPr>
        <w:t>1953 1 All SA 46 (C).</w:t>
      </w:r>
    </w:p>
    <w:p w14:paraId="76DCB52C" w14:textId="77777777" w:rsidR="00CF6463" w:rsidRPr="0063212C" w:rsidRDefault="00CF6463" w:rsidP="00C5627E">
      <w:pPr>
        <w:rPr>
          <w:rFonts w:cs="Arial"/>
          <w:szCs w:val="24"/>
        </w:rPr>
      </w:pPr>
      <w:r w:rsidRPr="00A9117F">
        <w:rPr>
          <w:rFonts w:cs="Arial"/>
          <w:i/>
          <w:iCs/>
          <w:szCs w:val="24"/>
        </w:rPr>
        <w:t xml:space="preserve">Fourie v Naranjo </w:t>
      </w:r>
      <w:r>
        <w:rPr>
          <w:rFonts w:cs="Arial"/>
          <w:i/>
          <w:iCs/>
          <w:szCs w:val="24"/>
        </w:rPr>
        <w:t>&amp;</w:t>
      </w:r>
      <w:r w:rsidRPr="00A9117F">
        <w:rPr>
          <w:rFonts w:cs="Arial"/>
          <w:i/>
          <w:iCs/>
          <w:szCs w:val="24"/>
        </w:rPr>
        <w:t xml:space="preserve"> Another </w:t>
      </w:r>
      <w:r w:rsidRPr="0063212C">
        <w:rPr>
          <w:rFonts w:cs="Arial"/>
          <w:szCs w:val="24"/>
        </w:rPr>
        <w:t>2008 1 SA 192 (C).</w:t>
      </w:r>
    </w:p>
    <w:p w14:paraId="0C1F60AF" w14:textId="77777777" w:rsidR="00CF6463" w:rsidRPr="00670717" w:rsidRDefault="00CF6463" w:rsidP="00C5627E">
      <w:pPr>
        <w:rPr>
          <w:rFonts w:cs="Arial"/>
          <w:szCs w:val="24"/>
        </w:rPr>
      </w:pPr>
      <w:r w:rsidRPr="00DE14D0">
        <w:rPr>
          <w:rFonts w:cs="Arial"/>
          <w:i/>
          <w:iCs/>
          <w:szCs w:val="24"/>
        </w:rPr>
        <w:t xml:space="preserve">Gafin NO v Kavin </w:t>
      </w:r>
      <w:r w:rsidRPr="00670717">
        <w:rPr>
          <w:rFonts w:cs="Arial"/>
          <w:szCs w:val="24"/>
        </w:rPr>
        <w:t>1980 4 All SA 354 (W).</w:t>
      </w:r>
    </w:p>
    <w:p w14:paraId="2ACCCB41" w14:textId="77777777" w:rsidR="00CF6463" w:rsidRPr="00670717" w:rsidRDefault="00CF6463" w:rsidP="00C5627E">
      <w:pPr>
        <w:rPr>
          <w:rFonts w:cs="Arial"/>
          <w:szCs w:val="24"/>
        </w:rPr>
      </w:pPr>
      <w:r w:rsidRPr="00DE14D0">
        <w:rPr>
          <w:rFonts w:cs="Arial"/>
          <w:i/>
          <w:iCs/>
          <w:szCs w:val="24"/>
        </w:rPr>
        <w:t xml:space="preserve">Groenewald NO </w:t>
      </w:r>
      <w:r>
        <w:rPr>
          <w:rFonts w:cs="Arial"/>
          <w:i/>
          <w:iCs/>
          <w:szCs w:val="24"/>
        </w:rPr>
        <w:t>&amp;</w:t>
      </w:r>
      <w:r w:rsidRPr="00DE14D0">
        <w:rPr>
          <w:rFonts w:cs="Arial"/>
          <w:i/>
          <w:iCs/>
          <w:szCs w:val="24"/>
        </w:rPr>
        <w:t xml:space="preserve"> Another v Swanepoel </w:t>
      </w:r>
      <w:r w:rsidRPr="00670717">
        <w:rPr>
          <w:rFonts w:cs="Arial"/>
          <w:szCs w:val="24"/>
        </w:rPr>
        <w:t>2002 6 SA 724 (E).</w:t>
      </w:r>
    </w:p>
    <w:p w14:paraId="0D9E4080" w14:textId="77777777" w:rsidR="00CF6463" w:rsidRPr="00A9117F" w:rsidRDefault="00CF6463" w:rsidP="00C5627E">
      <w:pPr>
        <w:rPr>
          <w:rFonts w:cs="Arial"/>
          <w:i/>
          <w:iCs/>
          <w:szCs w:val="24"/>
        </w:rPr>
      </w:pPr>
      <w:r w:rsidRPr="00A9117F">
        <w:rPr>
          <w:rFonts w:cs="Arial"/>
          <w:i/>
          <w:iCs/>
          <w:szCs w:val="24"/>
        </w:rPr>
        <w:t>Hauman v Malmesbury Divisional Council</w:t>
      </w:r>
      <w:r w:rsidRPr="0063212C">
        <w:rPr>
          <w:rFonts w:cs="Arial"/>
          <w:szCs w:val="24"/>
        </w:rPr>
        <w:t xml:space="preserve"> 1916 CPD 216.</w:t>
      </w:r>
    </w:p>
    <w:p w14:paraId="0B1D37B5" w14:textId="776BEC8C" w:rsidR="00CF6463" w:rsidRPr="00670717" w:rsidRDefault="00CF6463" w:rsidP="00C5627E">
      <w:pPr>
        <w:rPr>
          <w:rFonts w:cs="Arial"/>
          <w:szCs w:val="24"/>
        </w:rPr>
      </w:pPr>
      <w:r w:rsidRPr="00DE14D0">
        <w:rPr>
          <w:rFonts w:cs="Arial"/>
          <w:i/>
          <w:iCs/>
          <w:szCs w:val="24"/>
        </w:rPr>
        <w:t xml:space="preserve">Leeb </w:t>
      </w:r>
      <w:r>
        <w:rPr>
          <w:rFonts w:cs="Arial"/>
          <w:i/>
          <w:iCs/>
          <w:szCs w:val="24"/>
        </w:rPr>
        <w:t>&amp;</w:t>
      </w:r>
      <w:r w:rsidRPr="00DE14D0">
        <w:rPr>
          <w:rFonts w:cs="Arial"/>
          <w:i/>
          <w:iCs/>
          <w:szCs w:val="24"/>
        </w:rPr>
        <w:t xml:space="preserve"> </w:t>
      </w:r>
      <w:r w:rsidR="00B83BCD">
        <w:rPr>
          <w:rFonts w:cs="Arial"/>
          <w:i/>
          <w:iCs/>
          <w:szCs w:val="24"/>
        </w:rPr>
        <w:t>A</w:t>
      </w:r>
      <w:r w:rsidRPr="00DE14D0">
        <w:rPr>
          <w:rFonts w:cs="Arial"/>
          <w:i/>
          <w:iCs/>
          <w:szCs w:val="24"/>
        </w:rPr>
        <w:t xml:space="preserve">nother v Leeb </w:t>
      </w:r>
      <w:r>
        <w:rPr>
          <w:rFonts w:cs="Arial"/>
          <w:i/>
          <w:iCs/>
          <w:szCs w:val="24"/>
        </w:rPr>
        <w:t>&amp;</w:t>
      </w:r>
      <w:r w:rsidRPr="00DE14D0">
        <w:rPr>
          <w:rFonts w:cs="Arial"/>
          <w:i/>
          <w:iCs/>
          <w:szCs w:val="24"/>
        </w:rPr>
        <w:t xml:space="preserve"> </w:t>
      </w:r>
      <w:r w:rsidR="00B83BCD">
        <w:rPr>
          <w:rFonts w:cs="Arial"/>
          <w:i/>
          <w:iCs/>
          <w:szCs w:val="24"/>
        </w:rPr>
        <w:t>A</w:t>
      </w:r>
      <w:r w:rsidRPr="00DE14D0">
        <w:rPr>
          <w:rFonts w:cs="Arial"/>
          <w:i/>
          <w:iCs/>
          <w:szCs w:val="24"/>
        </w:rPr>
        <w:t xml:space="preserve">nother </w:t>
      </w:r>
      <w:r w:rsidRPr="00670717">
        <w:rPr>
          <w:rFonts w:cs="Arial"/>
          <w:szCs w:val="24"/>
        </w:rPr>
        <w:t>1999 2 All SA 588 (N).</w:t>
      </w:r>
    </w:p>
    <w:p w14:paraId="7AEEDFFC" w14:textId="77777777" w:rsidR="00CF6463" w:rsidRPr="0063212C" w:rsidRDefault="00CF6463" w:rsidP="00C5627E">
      <w:pPr>
        <w:rPr>
          <w:rFonts w:cs="Arial"/>
          <w:szCs w:val="24"/>
        </w:rPr>
      </w:pPr>
      <w:r w:rsidRPr="00A9117F">
        <w:rPr>
          <w:rFonts w:cs="Arial"/>
          <w:i/>
          <w:iCs/>
          <w:szCs w:val="24"/>
        </w:rPr>
        <w:t>Majiet v Santam Limited</w:t>
      </w:r>
      <w:r w:rsidRPr="0063212C">
        <w:rPr>
          <w:rFonts w:cs="Arial"/>
          <w:szCs w:val="24"/>
        </w:rPr>
        <w:t xml:space="preserve"> 1997 4 All A 555 (C).</w:t>
      </w:r>
    </w:p>
    <w:p w14:paraId="3913C075" w14:textId="77777777" w:rsidR="00CF6463" w:rsidRPr="00670717" w:rsidRDefault="00CF6463" w:rsidP="00C5627E">
      <w:pPr>
        <w:rPr>
          <w:rFonts w:cs="Arial"/>
          <w:szCs w:val="24"/>
        </w:rPr>
      </w:pPr>
      <w:r w:rsidRPr="00DE14D0">
        <w:rPr>
          <w:rFonts w:cs="Arial"/>
          <w:i/>
          <w:iCs/>
          <w:szCs w:val="24"/>
        </w:rPr>
        <w:t xml:space="preserve">Makhanya v Minister of Finance </w:t>
      </w:r>
      <w:r>
        <w:rPr>
          <w:rFonts w:cs="Arial"/>
          <w:i/>
          <w:iCs/>
          <w:szCs w:val="24"/>
        </w:rPr>
        <w:t>&amp;</w:t>
      </w:r>
      <w:r w:rsidRPr="00DE14D0">
        <w:rPr>
          <w:rFonts w:cs="Arial"/>
          <w:i/>
          <w:iCs/>
          <w:szCs w:val="24"/>
        </w:rPr>
        <w:t xml:space="preserve"> Others </w:t>
      </w:r>
      <w:r w:rsidRPr="00670717">
        <w:rPr>
          <w:rFonts w:cs="Arial"/>
          <w:szCs w:val="24"/>
        </w:rPr>
        <w:t>2001 2 SA 1251 (D).</w:t>
      </w:r>
    </w:p>
    <w:p w14:paraId="45CB105C" w14:textId="77777777" w:rsidR="00CF6463" w:rsidRDefault="00CF6463" w:rsidP="00C5627E">
      <w:r>
        <w:rPr>
          <w:i/>
          <w:iCs/>
        </w:rPr>
        <w:t>Maqubela &amp; Another v The Master &amp; Others</w:t>
      </w:r>
      <w:r>
        <w:t xml:space="preserve"> 2022 6 SA 408 (GJ).</w:t>
      </w:r>
    </w:p>
    <w:p w14:paraId="1A3F7AAE" w14:textId="10BD7EE8" w:rsidR="00CF6463" w:rsidRPr="00294571" w:rsidRDefault="00CF6463" w:rsidP="00C5627E">
      <w:pPr>
        <w:rPr>
          <w:rFonts w:cs="Arial"/>
          <w:szCs w:val="24"/>
        </w:rPr>
      </w:pPr>
      <w:r>
        <w:rPr>
          <w:rFonts w:cs="Arial"/>
          <w:i/>
          <w:iCs/>
          <w:szCs w:val="24"/>
        </w:rPr>
        <w:t>Marais v Botha</w:t>
      </w:r>
      <w:r w:rsidR="00CA4204">
        <w:rPr>
          <w:rFonts w:cs="Arial"/>
          <w:i/>
          <w:iCs/>
          <w:szCs w:val="24"/>
        </w:rPr>
        <w:t xml:space="preserve"> NO &amp; Others </w:t>
      </w:r>
      <w:r>
        <w:rPr>
          <w:rFonts w:cs="Arial"/>
          <w:szCs w:val="24"/>
        </w:rPr>
        <w:t>[2008] ZAWCHC 111 (31 October 2008).</w:t>
      </w:r>
    </w:p>
    <w:p w14:paraId="10523636" w14:textId="77777777" w:rsidR="00CF6463" w:rsidRPr="00A9117F" w:rsidRDefault="00CF6463" w:rsidP="00C5627E">
      <w:pPr>
        <w:rPr>
          <w:rFonts w:cs="Arial"/>
          <w:i/>
          <w:iCs/>
          <w:szCs w:val="24"/>
        </w:rPr>
      </w:pPr>
      <w:r w:rsidRPr="00A9117F">
        <w:rPr>
          <w:rFonts w:cs="Arial"/>
          <w:i/>
          <w:iCs/>
          <w:szCs w:val="24"/>
        </w:rPr>
        <w:t xml:space="preserve">Masiba and Another v Constantia Insurance Co Ltd </w:t>
      </w:r>
      <w:r>
        <w:rPr>
          <w:rFonts w:cs="Arial"/>
          <w:i/>
          <w:iCs/>
          <w:szCs w:val="24"/>
        </w:rPr>
        <w:t>&amp;</w:t>
      </w:r>
      <w:r w:rsidRPr="00A9117F">
        <w:rPr>
          <w:rFonts w:cs="Arial"/>
          <w:i/>
          <w:iCs/>
          <w:szCs w:val="24"/>
        </w:rPr>
        <w:t xml:space="preserve"> Another</w:t>
      </w:r>
      <w:r w:rsidRPr="0063212C">
        <w:rPr>
          <w:rFonts w:cs="Arial"/>
          <w:szCs w:val="24"/>
        </w:rPr>
        <w:t xml:space="preserve"> 1982 4 SA 333 (C).</w:t>
      </w:r>
    </w:p>
    <w:p w14:paraId="3CF676A8" w14:textId="77777777" w:rsidR="00CF6463" w:rsidRPr="0063212C" w:rsidRDefault="00CF6463" w:rsidP="00C5627E">
      <w:pPr>
        <w:rPr>
          <w:rFonts w:cs="Arial"/>
          <w:szCs w:val="24"/>
        </w:rPr>
      </w:pPr>
      <w:r w:rsidRPr="00A9117F">
        <w:rPr>
          <w:rFonts w:cs="Arial"/>
          <w:i/>
          <w:iCs/>
          <w:szCs w:val="24"/>
        </w:rPr>
        <w:t>Mulder v South British Insurance Co Ltd</w:t>
      </w:r>
      <w:r w:rsidRPr="0063212C">
        <w:rPr>
          <w:rFonts w:cs="Arial"/>
          <w:szCs w:val="24"/>
        </w:rPr>
        <w:t xml:space="preserve"> 1957 2 SA 444 (W).</w:t>
      </w:r>
    </w:p>
    <w:p w14:paraId="5632D7FB" w14:textId="77777777" w:rsidR="00CF6463" w:rsidRPr="00670717" w:rsidRDefault="00CF6463" w:rsidP="00C5627E">
      <w:pPr>
        <w:rPr>
          <w:rFonts w:cs="Arial"/>
          <w:szCs w:val="24"/>
        </w:rPr>
      </w:pPr>
      <w:r w:rsidRPr="00DE14D0">
        <w:rPr>
          <w:rFonts w:cs="Arial"/>
          <w:i/>
          <w:iCs/>
          <w:szCs w:val="24"/>
        </w:rPr>
        <w:t xml:space="preserve">Nell v Nell </w:t>
      </w:r>
      <w:r>
        <w:rPr>
          <w:rFonts w:cs="Arial"/>
          <w:i/>
          <w:iCs/>
          <w:szCs w:val="24"/>
        </w:rPr>
        <w:t>&amp;</w:t>
      </w:r>
      <w:r w:rsidRPr="00DE14D0">
        <w:rPr>
          <w:rFonts w:cs="Arial"/>
          <w:i/>
          <w:iCs/>
          <w:szCs w:val="24"/>
        </w:rPr>
        <w:t xml:space="preserve"> ‘n Ander </w:t>
      </w:r>
      <w:r w:rsidRPr="00670717">
        <w:rPr>
          <w:rFonts w:cs="Arial"/>
          <w:szCs w:val="24"/>
        </w:rPr>
        <w:t>1976 3 SA 700 (T).</w:t>
      </w:r>
    </w:p>
    <w:p w14:paraId="7794A6ED" w14:textId="77777777" w:rsidR="00CF6463" w:rsidRPr="00236BA2" w:rsidRDefault="00CF6463" w:rsidP="00C5627E">
      <w:pPr>
        <w:rPr>
          <w:rFonts w:cs="Arial"/>
          <w:szCs w:val="24"/>
        </w:rPr>
      </w:pPr>
      <w:r w:rsidRPr="00236BA2">
        <w:rPr>
          <w:rFonts w:cs="Arial"/>
          <w:i/>
          <w:iCs/>
          <w:szCs w:val="24"/>
        </w:rPr>
        <w:lastRenderedPageBreak/>
        <w:t xml:space="preserve">Pillay &amp; others v Nagan &amp; others </w:t>
      </w:r>
      <w:r w:rsidRPr="00236BA2">
        <w:rPr>
          <w:rFonts w:cs="Arial"/>
          <w:szCs w:val="24"/>
        </w:rPr>
        <w:t>2001 1 SA 410 (D).</w:t>
      </w:r>
    </w:p>
    <w:p w14:paraId="1CD4BDC6" w14:textId="77777777" w:rsidR="00CF6463" w:rsidRPr="00236BA2" w:rsidRDefault="00CF6463" w:rsidP="00C5627E">
      <w:pPr>
        <w:rPr>
          <w:rFonts w:cs="Arial"/>
          <w:szCs w:val="24"/>
        </w:rPr>
      </w:pPr>
      <w:r w:rsidRPr="00236BA2">
        <w:rPr>
          <w:rFonts w:cs="Arial"/>
          <w:i/>
          <w:iCs/>
          <w:szCs w:val="24"/>
        </w:rPr>
        <w:t xml:space="preserve">Potgieter v Rangasamy &amp; Another </w:t>
      </w:r>
      <w:r w:rsidRPr="00236BA2">
        <w:rPr>
          <w:rFonts w:cs="Arial"/>
          <w:szCs w:val="24"/>
        </w:rPr>
        <w:t>2011 ZAECPEHC 36 (16 August 2011).</w:t>
      </w:r>
    </w:p>
    <w:p w14:paraId="28810928" w14:textId="77777777" w:rsidR="00CF6463" w:rsidRDefault="00CF6463" w:rsidP="00C5627E">
      <w:pPr>
        <w:rPr>
          <w:i/>
          <w:iCs/>
        </w:rPr>
      </w:pPr>
      <w:r w:rsidRPr="00236BA2">
        <w:rPr>
          <w:i/>
          <w:iCs/>
          <w:lang w:val="en-GB"/>
        </w:rPr>
        <w:t xml:space="preserve">Pu &amp; Others v Ranchod NO &amp; Another </w:t>
      </w:r>
      <w:r w:rsidRPr="00236BA2">
        <w:rPr>
          <w:lang w:val="en-GB"/>
        </w:rPr>
        <w:t>2005 JOL</w:t>
      </w:r>
      <w:r w:rsidRPr="00236BA2">
        <w:rPr>
          <w:i/>
          <w:iCs/>
          <w:lang w:val="en-GB"/>
        </w:rPr>
        <w:t xml:space="preserve"> </w:t>
      </w:r>
      <w:r w:rsidRPr="00236BA2">
        <w:rPr>
          <w:lang w:val="en-GB"/>
        </w:rPr>
        <w:t>15767 (ZH).</w:t>
      </w:r>
    </w:p>
    <w:p w14:paraId="79490E28" w14:textId="77777777" w:rsidR="00CF6463" w:rsidRPr="0063212C" w:rsidRDefault="00CF6463" w:rsidP="00C5627E">
      <w:pPr>
        <w:rPr>
          <w:rFonts w:cs="Arial"/>
          <w:szCs w:val="24"/>
        </w:rPr>
      </w:pPr>
      <w:r w:rsidRPr="00A9117F">
        <w:rPr>
          <w:rFonts w:cs="Arial"/>
          <w:i/>
          <w:iCs/>
          <w:szCs w:val="24"/>
        </w:rPr>
        <w:t>Road Accident Fund v Sauls</w:t>
      </w:r>
      <w:r w:rsidRPr="0063212C">
        <w:rPr>
          <w:rFonts w:cs="Arial"/>
          <w:szCs w:val="24"/>
        </w:rPr>
        <w:t xml:space="preserve"> 2002 2 SA 55 (SCA).</w:t>
      </w:r>
    </w:p>
    <w:p w14:paraId="02B11171" w14:textId="77777777" w:rsidR="00CF6463" w:rsidRDefault="00CF6463" w:rsidP="00C5627E">
      <w:r>
        <w:rPr>
          <w:i/>
          <w:iCs/>
        </w:rPr>
        <w:t>Smit v The Master of the High Court, Western Cape &amp; Others</w:t>
      </w:r>
      <w:r>
        <w:t xml:space="preserve"> [2022] ZAWCHC 56 (26 April 2022).</w:t>
      </w:r>
    </w:p>
    <w:p w14:paraId="5DF6C7BC" w14:textId="77777777" w:rsidR="00CF6463" w:rsidRPr="00670717" w:rsidRDefault="00CF6463" w:rsidP="00C5627E">
      <w:pPr>
        <w:rPr>
          <w:rFonts w:cs="Arial"/>
          <w:szCs w:val="24"/>
        </w:rPr>
      </w:pPr>
      <w:r w:rsidRPr="00DE14D0">
        <w:rPr>
          <w:rFonts w:cs="Arial"/>
          <w:i/>
          <w:iCs/>
          <w:szCs w:val="24"/>
        </w:rPr>
        <w:t xml:space="preserve">Swartbooi v Road Accident Fund </w:t>
      </w:r>
      <w:r w:rsidRPr="00670717">
        <w:rPr>
          <w:rFonts w:cs="Arial"/>
          <w:szCs w:val="24"/>
        </w:rPr>
        <w:t>2013 1 SA 30 (WCC).</w:t>
      </w:r>
    </w:p>
    <w:p w14:paraId="5F594D2A" w14:textId="77777777" w:rsidR="00CF6463" w:rsidRPr="00670717" w:rsidRDefault="00CF6463" w:rsidP="00C5627E">
      <w:pPr>
        <w:rPr>
          <w:rFonts w:cs="Arial"/>
          <w:szCs w:val="24"/>
        </w:rPr>
      </w:pPr>
      <w:r w:rsidRPr="00DE14D0">
        <w:rPr>
          <w:rFonts w:cs="Arial"/>
          <w:i/>
          <w:iCs/>
          <w:szCs w:val="24"/>
        </w:rPr>
        <w:t xml:space="preserve">Taylor v Pim </w:t>
      </w:r>
      <w:r w:rsidRPr="00670717">
        <w:rPr>
          <w:rFonts w:cs="Arial"/>
          <w:szCs w:val="24"/>
        </w:rPr>
        <w:t>1903 24 NLR 484.</w:t>
      </w:r>
    </w:p>
    <w:p w14:paraId="0AD7A473" w14:textId="77777777" w:rsidR="00CF6463" w:rsidRPr="0063212C" w:rsidRDefault="00CF6463" w:rsidP="00C5627E">
      <w:pPr>
        <w:rPr>
          <w:rFonts w:cs="Arial"/>
          <w:szCs w:val="24"/>
        </w:rPr>
      </w:pPr>
      <w:bookmarkStart w:id="65" w:name="_Hlk160035355"/>
      <w:r w:rsidRPr="00A9117F">
        <w:rPr>
          <w:rFonts w:cs="Arial"/>
          <w:i/>
          <w:iCs/>
          <w:szCs w:val="24"/>
        </w:rPr>
        <w:t>Waring &amp; Gillow Ltd. v Sherborne</w:t>
      </w:r>
      <w:r w:rsidRPr="0063212C">
        <w:rPr>
          <w:rFonts w:cs="Arial"/>
          <w:szCs w:val="24"/>
        </w:rPr>
        <w:t xml:space="preserve"> 1904 TS 340</w:t>
      </w:r>
      <w:bookmarkEnd w:id="65"/>
      <w:r w:rsidRPr="0063212C">
        <w:rPr>
          <w:rFonts w:cs="Arial"/>
          <w:szCs w:val="24"/>
        </w:rPr>
        <w:t>.</w:t>
      </w:r>
    </w:p>
    <w:p w14:paraId="089FB546" w14:textId="77777777" w:rsidR="00CF6463" w:rsidRDefault="00CF6463" w:rsidP="00C5627E">
      <w:pPr>
        <w:rPr>
          <w:rFonts w:cs="Arial"/>
          <w:szCs w:val="24"/>
        </w:rPr>
      </w:pPr>
    </w:p>
    <w:p w14:paraId="7F14FC02" w14:textId="212409C7" w:rsidR="00CF6463" w:rsidRPr="00C5627E" w:rsidRDefault="00092A3A" w:rsidP="003C3EBE">
      <w:pPr>
        <w:pStyle w:val="Heading2"/>
      </w:pPr>
      <w:bookmarkStart w:id="66" w:name="_Toc191216309"/>
      <w:r w:rsidRPr="00C5627E">
        <w:t>Dissertations</w:t>
      </w:r>
      <w:bookmarkEnd w:id="66"/>
    </w:p>
    <w:p w14:paraId="7509D0F1" w14:textId="449E6C0F" w:rsidR="00CF6463" w:rsidRPr="00496A37" w:rsidRDefault="00CF6463" w:rsidP="00C5627E">
      <w:pPr>
        <w:spacing w:after="0"/>
        <w:rPr>
          <w:rFonts w:cs="Arial"/>
          <w:szCs w:val="24"/>
        </w:rPr>
      </w:pPr>
      <w:r w:rsidRPr="00496A37">
        <w:rPr>
          <w:rFonts w:cs="Arial"/>
          <w:szCs w:val="24"/>
        </w:rPr>
        <w:t>LATEGAN</w:t>
      </w:r>
      <w:r w:rsidR="006514ED">
        <w:rPr>
          <w:rFonts w:cs="Arial"/>
          <w:szCs w:val="24"/>
        </w:rPr>
        <w:t xml:space="preserve"> DMDV</w:t>
      </w:r>
    </w:p>
    <w:p w14:paraId="14A19E19" w14:textId="1A717935" w:rsidR="00CF6463" w:rsidRDefault="00CF6463" w:rsidP="00C5627E">
      <w:pPr>
        <w:ind w:left="567"/>
        <w:rPr>
          <w:rFonts w:cs="Arial"/>
          <w:szCs w:val="24"/>
        </w:rPr>
      </w:pPr>
      <w:r w:rsidRPr="00236BA2">
        <w:rPr>
          <w:rFonts w:cs="Arial"/>
          <w:szCs w:val="24"/>
        </w:rPr>
        <w:t>2010. “Bloedige hand” beginsel in gevalle van nalatige doodsveroorsaking en boedelbeplanning. Unpublished LLM</w:t>
      </w:r>
      <w:r w:rsidR="00FD7192">
        <w:rPr>
          <w:rFonts w:cs="Arial"/>
          <w:szCs w:val="24"/>
        </w:rPr>
        <w:t xml:space="preserve"> dissertation</w:t>
      </w:r>
      <w:r w:rsidRPr="00236BA2">
        <w:rPr>
          <w:rFonts w:cs="Arial"/>
          <w:szCs w:val="24"/>
        </w:rPr>
        <w:t xml:space="preserve">. </w:t>
      </w:r>
      <w:r w:rsidR="00937F2B">
        <w:rPr>
          <w:rFonts w:cs="Arial"/>
          <w:szCs w:val="24"/>
        </w:rPr>
        <w:t xml:space="preserve">Potchefstroom: </w:t>
      </w:r>
      <w:r w:rsidRPr="00236BA2">
        <w:rPr>
          <w:rFonts w:cs="Arial"/>
          <w:szCs w:val="24"/>
        </w:rPr>
        <w:t>North</w:t>
      </w:r>
      <w:r>
        <w:rPr>
          <w:rFonts w:cs="Arial"/>
          <w:szCs w:val="24"/>
        </w:rPr>
        <w:t>-</w:t>
      </w:r>
      <w:r w:rsidRPr="00236BA2">
        <w:rPr>
          <w:rFonts w:cs="Arial"/>
          <w:szCs w:val="24"/>
        </w:rPr>
        <w:t>West University.</w:t>
      </w:r>
    </w:p>
    <w:p w14:paraId="173AD1F8" w14:textId="77777777" w:rsidR="00CF6463" w:rsidRDefault="00CF6463" w:rsidP="00C5627E">
      <w:pPr>
        <w:spacing w:after="0"/>
        <w:rPr>
          <w:rFonts w:cs="Arial"/>
          <w:szCs w:val="24"/>
        </w:rPr>
      </w:pPr>
      <w:r>
        <w:rPr>
          <w:rFonts w:cs="Arial"/>
          <w:szCs w:val="24"/>
        </w:rPr>
        <w:t>MALHERBE A</w:t>
      </w:r>
    </w:p>
    <w:p w14:paraId="4695C300" w14:textId="131174D3" w:rsidR="00CF6463" w:rsidRDefault="00CF6463" w:rsidP="00C5627E">
      <w:pPr>
        <w:ind w:left="567"/>
        <w:rPr>
          <w:rFonts w:cs="Arial"/>
          <w:szCs w:val="24"/>
        </w:rPr>
      </w:pPr>
      <w:r>
        <w:rPr>
          <w:rFonts w:cs="Arial"/>
          <w:szCs w:val="24"/>
        </w:rPr>
        <w:t xml:space="preserve">2016. The </w:t>
      </w:r>
      <w:r w:rsidR="00937F2B">
        <w:rPr>
          <w:rFonts w:cs="Arial"/>
          <w:szCs w:val="24"/>
        </w:rPr>
        <w:t>d</w:t>
      </w:r>
      <w:r>
        <w:rPr>
          <w:rFonts w:cs="Arial"/>
          <w:szCs w:val="24"/>
        </w:rPr>
        <w:t xml:space="preserve">ilution by the </w:t>
      </w:r>
      <w:r w:rsidR="00937F2B">
        <w:rPr>
          <w:rFonts w:cs="Arial"/>
          <w:szCs w:val="24"/>
        </w:rPr>
        <w:t>c</w:t>
      </w:r>
      <w:r>
        <w:rPr>
          <w:rFonts w:cs="Arial"/>
          <w:szCs w:val="24"/>
        </w:rPr>
        <w:t xml:space="preserve">ourts of the </w:t>
      </w:r>
      <w:r w:rsidR="00937F2B">
        <w:rPr>
          <w:rFonts w:cs="Arial"/>
          <w:szCs w:val="24"/>
        </w:rPr>
        <w:t>g</w:t>
      </w:r>
      <w:r>
        <w:rPr>
          <w:rFonts w:cs="Arial"/>
          <w:szCs w:val="24"/>
        </w:rPr>
        <w:t xml:space="preserve">eneral </w:t>
      </w:r>
      <w:r w:rsidR="00937F2B">
        <w:rPr>
          <w:rFonts w:cs="Arial"/>
          <w:szCs w:val="24"/>
        </w:rPr>
        <w:t>u</w:t>
      </w:r>
      <w:r>
        <w:rPr>
          <w:rFonts w:cs="Arial"/>
          <w:szCs w:val="24"/>
        </w:rPr>
        <w:t xml:space="preserve">nworthiness </w:t>
      </w:r>
      <w:r w:rsidR="00937F2B">
        <w:rPr>
          <w:rFonts w:cs="Arial"/>
          <w:szCs w:val="24"/>
        </w:rPr>
        <w:t>p</w:t>
      </w:r>
      <w:r>
        <w:rPr>
          <w:rFonts w:cs="Arial"/>
          <w:szCs w:val="24"/>
        </w:rPr>
        <w:t xml:space="preserve">rinciple. Unpublished LLM </w:t>
      </w:r>
      <w:r w:rsidR="00FD7192">
        <w:rPr>
          <w:rFonts w:cs="Arial"/>
          <w:szCs w:val="24"/>
        </w:rPr>
        <w:t>dissertation</w:t>
      </w:r>
      <w:r>
        <w:rPr>
          <w:rFonts w:cs="Arial"/>
          <w:szCs w:val="24"/>
        </w:rPr>
        <w:t>.</w:t>
      </w:r>
      <w:r w:rsidR="00937F2B">
        <w:rPr>
          <w:rFonts w:cs="Arial"/>
          <w:szCs w:val="24"/>
        </w:rPr>
        <w:t xml:space="preserve"> Pretoria:</w:t>
      </w:r>
      <w:r>
        <w:rPr>
          <w:rFonts w:cs="Arial"/>
          <w:szCs w:val="24"/>
        </w:rPr>
        <w:t xml:space="preserve"> University of Pretoria.</w:t>
      </w:r>
    </w:p>
    <w:p w14:paraId="7BFC0C55" w14:textId="6C813ACF" w:rsidR="00CF6463" w:rsidRDefault="00CF6463" w:rsidP="00C5627E">
      <w:pPr>
        <w:spacing w:after="0"/>
        <w:ind w:left="851" w:hanging="851"/>
        <w:rPr>
          <w:rFonts w:cs="Arial"/>
          <w:szCs w:val="24"/>
        </w:rPr>
      </w:pPr>
      <w:r w:rsidRPr="00CF6463">
        <w:rPr>
          <w:rFonts w:cs="Arial"/>
          <w:szCs w:val="24"/>
        </w:rPr>
        <w:t xml:space="preserve">STEYN A </w:t>
      </w:r>
    </w:p>
    <w:p w14:paraId="0F721304" w14:textId="58E18816" w:rsidR="00CF6463" w:rsidRDefault="00CF6463" w:rsidP="00C5627E">
      <w:pPr>
        <w:ind w:left="567"/>
        <w:rPr>
          <w:rFonts w:cs="Arial"/>
          <w:szCs w:val="24"/>
        </w:rPr>
      </w:pPr>
      <w:r w:rsidRPr="00CF6463">
        <w:rPr>
          <w:rFonts w:cs="Arial"/>
          <w:szCs w:val="24"/>
        </w:rPr>
        <w:t>2016</w:t>
      </w:r>
      <w:r w:rsidR="006514ED">
        <w:rPr>
          <w:rFonts w:cs="Arial"/>
          <w:szCs w:val="24"/>
        </w:rPr>
        <w:t>.</w:t>
      </w:r>
      <w:r w:rsidRPr="00CF6463">
        <w:rPr>
          <w:rFonts w:cs="Arial"/>
          <w:szCs w:val="24"/>
        </w:rPr>
        <w:t xml:space="preserve"> A critical analysis of the extension of the common law grounds of unworthiness to inherit</w:t>
      </w:r>
      <w:r w:rsidR="00344EFA">
        <w:rPr>
          <w:rFonts w:cs="Arial"/>
          <w:szCs w:val="24"/>
        </w:rPr>
        <w:t xml:space="preserve">. Unpublished </w:t>
      </w:r>
      <w:r w:rsidRPr="00CF6463">
        <w:rPr>
          <w:rFonts w:cs="Arial"/>
          <w:szCs w:val="24"/>
        </w:rPr>
        <w:t xml:space="preserve">LLM </w:t>
      </w:r>
      <w:r w:rsidR="00344EFA">
        <w:rPr>
          <w:rFonts w:cs="Arial"/>
          <w:szCs w:val="24"/>
        </w:rPr>
        <w:t>d</w:t>
      </w:r>
      <w:r w:rsidRPr="00CF6463">
        <w:rPr>
          <w:rFonts w:cs="Arial"/>
          <w:szCs w:val="24"/>
        </w:rPr>
        <w:t>issertation</w:t>
      </w:r>
      <w:r w:rsidR="00344EFA">
        <w:rPr>
          <w:rFonts w:cs="Arial"/>
          <w:szCs w:val="24"/>
        </w:rPr>
        <w:t>.</w:t>
      </w:r>
      <w:r w:rsidRPr="00CF6463">
        <w:rPr>
          <w:rFonts w:cs="Arial"/>
          <w:szCs w:val="24"/>
        </w:rPr>
        <w:t xml:space="preserve"> </w:t>
      </w:r>
      <w:r w:rsidR="00937F2B">
        <w:rPr>
          <w:rFonts w:cs="Arial"/>
          <w:szCs w:val="24"/>
        </w:rPr>
        <w:t xml:space="preserve">Pretoria: </w:t>
      </w:r>
      <w:r w:rsidRPr="00CF6463">
        <w:rPr>
          <w:rFonts w:cs="Arial"/>
          <w:szCs w:val="24"/>
        </w:rPr>
        <w:t>University of Pretoria</w:t>
      </w:r>
      <w:r>
        <w:rPr>
          <w:rFonts w:cs="Arial"/>
          <w:szCs w:val="24"/>
        </w:rPr>
        <w:t>.</w:t>
      </w:r>
    </w:p>
    <w:p w14:paraId="50B0D52C" w14:textId="77777777" w:rsidR="00CF6463" w:rsidRDefault="00CF6463" w:rsidP="00C5627E">
      <w:pPr>
        <w:rPr>
          <w:rFonts w:cs="Arial"/>
          <w:szCs w:val="24"/>
        </w:rPr>
      </w:pPr>
    </w:p>
    <w:p w14:paraId="6D4434DF" w14:textId="5D13358E" w:rsidR="00CF6463" w:rsidRPr="00C5627E" w:rsidRDefault="00092A3A" w:rsidP="003C3EBE">
      <w:pPr>
        <w:pStyle w:val="Heading2"/>
      </w:pPr>
      <w:bookmarkStart w:id="67" w:name="_Toc191216310"/>
      <w:r w:rsidRPr="00C5627E">
        <w:t>Internet sources</w:t>
      </w:r>
      <w:bookmarkEnd w:id="67"/>
    </w:p>
    <w:p w14:paraId="672D46C2" w14:textId="77777777" w:rsidR="00CF6463" w:rsidRDefault="00CF6463" w:rsidP="00C5627E">
      <w:pPr>
        <w:spacing w:after="0"/>
        <w:ind w:left="851" w:hanging="851"/>
        <w:rPr>
          <w:rFonts w:cs="Arial"/>
          <w:szCs w:val="24"/>
        </w:rPr>
      </w:pPr>
      <w:r>
        <w:rPr>
          <w:rFonts w:cs="Arial"/>
          <w:szCs w:val="24"/>
        </w:rPr>
        <w:t>DUMA N</w:t>
      </w:r>
    </w:p>
    <w:p w14:paraId="606F6F3A" w14:textId="7C795013" w:rsidR="00CF6463" w:rsidRDefault="00CF6463" w:rsidP="00C5627E">
      <w:pPr>
        <w:ind w:left="567"/>
        <w:rPr>
          <w:rFonts w:cs="Arial"/>
          <w:szCs w:val="24"/>
        </w:rPr>
      </w:pPr>
      <w:r>
        <w:rPr>
          <w:rFonts w:cs="Arial"/>
          <w:szCs w:val="24"/>
        </w:rPr>
        <w:t xml:space="preserve">2024. </w:t>
      </w:r>
      <w:r>
        <w:rPr>
          <w:rFonts w:cs="Arial"/>
          <w:i/>
          <w:iCs/>
          <w:szCs w:val="24"/>
        </w:rPr>
        <w:t>Werner de Jager, man accused of killing pastor wife Liezel, has died, allegedly from overdose.</w:t>
      </w:r>
      <w:r w:rsidR="00822283">
        <w:rPr>
          <w:rFonts w:cs="Arial"/>
          <w:i/>
          <w:iCs/>
          <w:szCs w:val="24"/>
        </w:rPr>
        <w:t xml:space="preserve"> </w:t>
      </w:r>
      <w:hyperlink r:id="rId10" w:history="1">
        <w:r w:rsidRPr="00871C55">
          <w:rPr>
            <w:rStyle w:val="Hyperlink"/>
            <w:rFonts w:cs="Arial"/>
            <w:szCs w:val="24"/>
          </w:rPr>
          <w:t>https://www.news24.com/news24/southafrica/news/werner-de-jager-</w:t>
        </w:r>
        <w:r w:rsidRPr="00871C55">
          <w:rPr>
            <w:rStyle w:val="Hyperlink"/>
            <w:rFonts w:cs="Arial"/>
            <w:szCs w:val="24"/>
          </w:rPr>
          <w:lastRenderedPageBreak/>
          <w:t>the-man-accused-of-killing-pastor-wife-liezel-has-died-allegedly-from-an-overdose-20240415</w:t>
        </w:r>
      </w:hyperlink>
      <w:r>
        <w:rPr>
          <w:rFonts w:cs="Arial"/>
          <w:szCs w:val="24"/>
        </w:rPr>
        <w:t xml:space="preserve"> (accessed on 24 June 2024).</w:t>
      </w:r>
    </w:p>
    <w:p w14:paraId="7DD44C03" w14:textId="77777777" w:rsidR="00157D50" w:rsidRDefault="00157D50" w:rsidP="00C5627E">
      <w:pPr>
        <w:spacing w:after="0"/>
        <w:ind w:left="851" w:hanging="851"/>
        <w:rPr>
          <w:rFonts w:cs="Arial"/>
          <w:szCs w:val="24"/>
        </w:rPr>
      </w:pPr>
      <w:r>
        <w:rPr>
          <w:rFonts w:cs="Arial"/>
          <w:szCs w:val="24"/>
        </w:rPr>
        <w:t>FIHLANI P</w:t>
      </w:r>
    </w:p>
    <w:p w14:paraId="2837B4D2" w14:textId="60BEA4B2" w:rsidR="00157D50" w:rsidRPr="002D7C4B" w:rsidRDefault="00157D50" w:rsidP="00C5627E">
      <w:pPr>
        <w:ind w:left="567"/>
        <w:rPr>
          <w:rFonts w:cs="Arial"/>
          <w:szCs w:val="24"/>
        </w:rPr>
      </w:pPr>
      <w:r>
        <w:rPr>
          <w:rFonts w:cs="Arial"/>
          <w:szCs w:val="24"/>
        </w:rPr>
        <w:t xml:space="preserve">2018. </w:t>
      </w:r>
      <w:r>
        <w:rPr>
          <w:rFonts w:cs="Arial"/>
          <w:i/>
          <w:iCs/>
          <w:szCs w:val="24"/>
        </w:rPr>
        <w:t xml:space="preserve">Henri van Breda trial: </w:t>
      </w:r>
      <w:r w:rsidR="004834C2">
        <w:rPr>
          <w:rFonts w:cs="Arial"/>
          <w:i/>
          <w:iCs/>
          <w:szCs w:val="24"/>
        </w:rPr>
        <w:t>t</w:t>
      </w:r>
      <w:r>
        <w:rPr>
          <w:rFonts w:cs="Arial"/>
          <w:i/>
          <w:iCs/>
          <w:szCs w:val="24"/>
        </w:rPr>
        <w:t>he man who killed his family with an axe</w:t>
      </w:r>
      <w:r>
        <w:rPr>
          <w:rFonts w:cs="Arial"/>
          <w:szCs w:val="24"/>
        </w:rPr>
        <w:t>.</w:t>
      </w:r>
      <w:r w:rsidR="007F7664">
        <w:rPr>
          <w:rFonts w:cs="Arial"/>
          <w:szCs w:val="24"/>
        </w:rPr>
        <w:t xml:space="preserve"> </w:t>
      </w:r>
      <w:hyperlink r:id="rId11" w:history="1">
        <w:r w:rsidRPr="00871C55">
          <w:rPr>
            <w:rStyle w:val="Hyperlink"/>
            <w:rFonts w:cs="Arial"/>
            <w:szCs w:val="24"/>
          </w:rPr>
          <w:t>https://www.bbc.com/news/world-africa-44359696</w:t>
        </w:r>
      </w:hyperlink>
      <w:r>
        <w:rPr>
          <w:rFonts w:cs="Arial"/>
          <w:szCs w:val="24"/>
        </w:rPr>
        <w:t xml:space="preserve"> (accessed on 24 June 2024).</w:t>
      </w:r>
    </w:p>
    <w:p w14:paraId="688D2196" w14:textId="77777777" w:rsidR="00157D50" w:rsidRDefault="00157D50" w:rsidP="00C5627E">
      <w:pPr>
        <w:spacing w:after="0"/>
        <w:ind w:left="851" w:hanging="851"/>
      </w:pPr>
      <w:r>
        <w:t>TYALI L</w:t>
      </w:r>
    </w:p>
    <w:p w14:paraId="207E2E6B" w14:textId="0CC126F2" w:rsidR="00157D50" w:rsidRDefault="00157D50" w:rsidP="00C5627E">
      <w:pPr>
        <w:ind w:left="567"/>
        <w:rPr>
          <w:rFonts w:cs="Arial"/>
          <w:szCs w:val="24"/>
        </w:rPr>
      </w:pPr>
      <w:r>
        <w:t xml:space="preserve">2024. </w:t>
      </w:r>
      <w:r w:rsidRPr="000C0A30">
        <w:rPr>
          <w:i/>
          <w:iCs/>
        </w:rPr>
        <w:t>Couple and hitmen sentenced for insurance payout murder</w:t>
      </w:r>
      <w:r>
        <w:t>.</w:t>
      </w:r>
      <w:r w:rsidR="007F7664">
        <w:t xml:space="preserve"> </w:t>
      </w:r>
      <w:hyperlink r:id="rId12" w:history="1">
        <w:r w:rsidRPr="00871C55">
          <w:rPr>
            <w:rStyle w:val="Hyperlink"/>
          </w:rPr>
          <w:t>https://www.facebook.com/thenpaofsa/</w:t>
        </w:r>
      </w:hyperlink>
      <w:r>
        <w:t xml:space="preserve"> (accessed on 28 June 2024)</w:t>
      </w:r>
      <w:r w:rsidR="004834C2">
        <w:t>.</w:t>
      </w:r>
    </w:p>
    <w:p w14:paraId="5759CCD3" w14:textId="3AEB161A" w:rsidR="00CF6463" w:rsidRDefault="00E921A8" w:rsidP="00C5627E">
      <w:pPr>
        <w:spacing w:after="0"/>
        <w:rPr>
          <w:rFonts w:cs="Arial"/>
          <w:szCs w:val="24"/>
        </w:rPr>
      </w:pPr>
      <w:r>
        <w:rPr>
          <w:rFonts w:cs="Arial"/>
          <w:szCs w:val="24"/>
        </w:rPr>
        <w:t>WILLIAMS</w:t>
      </w:r>
    </w:p>
    <w:p w14:paraId="2725D908" w14:textId="71075222" w:rsidR="00E921A8" w:rsidRDefault="00E921A8" w:rsidP="00C5627E">
      <w:pPr>
        <w:ind w:left="567"/>
        <w:rPr>
          <w:rFonts w:cs="Arial"/>
          <w:szCs w:val="24"/>
        </w:rPr>
      </w:pPr>
      <w:r>
        <w:rPr>
          <w:rFonts w:cs="Arial"/>
          <w:szCs w:val="24"/>
        </w:rPr>
        <w:t xml:space="preserve">2013. </w:t>
      </w:r>
      <w:r>
        <w:rPr>
          <w:rFonts w:cs="Arial"/>
          <w:i/>
          <w:iCs/>
          <w:szCs w:val="24"/>
        </w:rPr>
        <w:t>The executor: dealing with disqualified heirs</w:t>
      </w:r>
      <w:r>
        <w:rPr>
          <w:rFonts w:cs="Arial"/>
          <w:szCs w:val="24"/>
        </w:rPr>
        <w:t xml:space="preserve">. </w:t>
      </w:r>
      <w:hyperlink r:id="rId13" w:history="1">
        <w:r w:rsidRPr="00BC6160">
          <w:rPr>
            <w:rStyle w:val="Hyperlink"/>
            <w:rFonts w:cs="Arial"/>
            <w:szCs w:val="24"/>
          </w:rPr>
          <w:t>https://www.fanews.co.za/article/magazine-archives-fanews-fanuus/60/life/1313/the-executor-dealing-with-disqualified-heirs/15952</w:t>
        </w:r>
      </w:hyperlink>
      <w:r>
        <w:rPr>
          <w:rFonts w:cs="Arial"/>
          <w:szCs w:val="24"/>
        </w:rPr>
        <w:t xml:space="preserve"> (accessed on 8</w:t>
      </w:r>
      <w:r w:rsidR="004834C2">
        <w:rPr>
          <w:rFonts w:cs="Arial"/>
          <w:szCs w:val="24"/>
        </w:rPr>
        <w:t xml:space="preserve"> November </w:t>
      </w:r>
      <w:r w:rsidR="00D76D1F">
        <w:rPr>
          <w:rFonts w:cs="Arial"/>
          <w:szCs w:val="24"/>
        </w:rPr>
        <w:t>20</w:t>
      </w:r>
      <w:r>
        <w:rPr>
          <w:rFonts w:cs="Arial"/>
          <w:szCs w:val="24"/>
        </w:rPr>
        <w:t>24)</w:t>
      </w:r>
      <w:r w:rsidR="00157D50">
        <w:rPr>
          <w:rFonts w:cs="Arial"/>
          <w:szCs w:val="24"/>
        </w:rPr>
        <w:t>.</w:t>
      </w:r>
    </w:p>
    <w:p w14:paraId="24EA4053" w14:textId="2CFB806F" w:rsidR="007E485E" w:rsidRDefault="007E485E" w:rsidP="00C5627E">
      <w:pPr>
        <w:spacing w:after="0"/>
        <w:rPr>
          <w:rFonts w:cs="Arial"/>
          <w:szCs w:val="24"/>
        </w:rPr>
      </w:pPr>
      <w:r>
        <w:rPr>
          <w:rFonts w:cs="Arial"/>
          <w:szCs w:val="24"/>
        </w:rPr>
        <w:t>UNKNOWN</w:t>
      </w:r>
    </w:p>
    <w:p w14:paraId="5BFC59A3" w14:textId="6D2CECF3" w:rsidR="00157D50" w:rsidRPr="007E485E" w:rsidRDefault="007E485E" w:rsidP="00C5627E">
      <w:pPr>
        <w:ind w:left="567"/>
        <w:rPr>
          <w:rFonts w:cs="Arial"/>
          <w:szCs w:val="24"/>
        </w:rPr>
      </w:pPr>
      <w:r>
        <w:rPr>
          <w:rFonts w:cs="Arial"/>
          <w:szCs w:val="24"/>
        </w:rPr>
        <w:t xml:space="preserve">2024. </w:t>
      </w:r>
      <w:r>
        <w:rPr>
          <w:rFonts w:cs="Arial"/>
          <w:i/>
          <w:iCs/>
          <w:szCs w:val="24"/>
        </w:rPr>
        <w:t>Deceased Estates</w:t>
      </w:r>
      <w:r>
        <w:rPr>
          <w:rFonts w:cs="Arial"/>
          <w:szCs w:val="24"/>
        </w:rPr>
        <w:t xml:space="preserve">. </w:t>
      </w:r>
      <w:hyperlink r:id="rId14" w:history="1">
        <w:r w:rsidRPr="004402D1">
          <w:rPr>
            <w:rStyle w:val="Hyperlink"/>
            <w:rFonts w:cs="Arial"/>
            <w:szCs w:val="24"/>
          </w:rPr>
          <w:t>https://www.justice.gov.za/master/deceased.html</w:t>
        </w:r>
      </w:hyperlink>
      <w:r>
        <w:rPr>
          <w:rFonts w:cs="Arial"/>
          <w:szCs w:val="24"/>
        </w:rPr>
        <w:t xml:space="preserve"> (accessed on 26</w:t>
      </w:r>
      <w:r w:rsidR="004834C2">
        <w:rPr>
          <w:rFonts w:cs="Arial"/>
          <w:szCs w:val="24"/>
        </w:rPr>
        <w:t xml:space="preserve"> November </w:t>
      </w:r>
      <w:r>
        <w:rPr>
          <w:rFonts w:cs="Arial"/>
          <w:szCs w:val="24"/>
        </w:rPr>
        <w:t>2024).</w:t>
      </w:r>
    </w:p>
    <w:p w14:paraId="55A77AA5" w14:textId="77777777" w:rsidR="007E485E" w:rsidRPr="00E921A8" w:rsidRDefault="007E485E" w:rsidP="00C5627E">
      <w:pPr>
        <w:rPr>
          <w:rFonts w:cs="Arial"/>
          <w:szCs w:val="24"/>
        </w:rPr>
      </w:pPr>
    </w:p>
    <w:p w14:paraId="6CAC1A42" w14:textId="3C836C81" w:rsidR="00670717" w:rsidRPr="00C5627E" w:rsidRDefault="00092A3A" w:rsidP="003C3EBE">
      <w:pPr>
        <w:pStyle w:val="Heading2"/>
      </w:pPr>
      <w:bookmarkStart w:id="68" w:name="_Toc191216311"/>
      <w:r w:rsidRPr="00C5627E">
        <w:t>Journal articles</w:t>
      </w:r>
      <w:bookmarkEnd w:id="68"/>
    </w:p>
    <w:p w14:paraId="217835E3" w14:textId="77777777" w:rsidR="00670717" w:rsidRPr="00DE14D0" w:rsidRDefault="00670717" w:rsidP="00C5627E">
      <w:pPr>
        <w:spacing w:after="0"/>
        <w:rPr>
          <w:rFonts w:cs="Arial"/>
          <w:szCs w:val="24"/>
        </w:rPr>
      </w:pPr>
      <w:r w:rsidRPr="00DE14D0">
        <w:rPr>
          <w:rFonts w:cs="Arial"/>
          <w:szCs w:val="24"/>
        </w:rPr>
        <w:t>AHMED R &amp; STEYNBERG L</w:t>
      </w:r>
    </w:p>
    <w:p w14:paraId="1BB81A83" w14:textId="77777777" w:rsidR="00670717" w:rsidRDefault="00670717" w:rsidP="00C5627E">
      <w:pPr>
        <w:ind w:left="567"/>
        <w:rPr>
          <w:rFonts w:cs="Arial"/>
          <w:szCs w:val="24"/>
        </w:rPr>
      </w:pPr>
      <w:r w:rsidRPr="00DE14D0">
        <w:rPr>
          <w:rFonts w:cs="Arial"/>
          <w:szCs w:val="24"/>
        </w:rPr>
        <w:t xml:space="preserve">2015. Claims for “emotional shock” suffered by primary and secondary victims. </w:t>
      </w:r>
      <w:r w:rsidRPr="00DE14D0">
        <w:rPr>
          <w:rFonts w:cs="Arial"/>
          <w:i/>
          <w:iCs/>
          <w:szCs w:val="24"/>
        </w:rPr>
        <w:t>Journal of Contemporary Roman-Dutch Law</w:t>
      </w:r>
      <w:r w:rsidRPr="00DE14D0">
        <w:rPr>
          <w:rFonts w:cs="Arial"/>
          <w:szCs w:val="24"/>
        </w:rPr>
        <w:t>. 78:181-199.</w:t>
      </w:r>
    </w:p>
    <w:p w14:paraId="58193E1D" w14:textId="77777777" w:rsidR="00670717" w:rsidRPr="00DE14D0" w:rsidRDefault="00670717" w:rsidP="00C5627E">
      <w:pPr>
        <w:spacing w:after="0"/>
        <w:rPr>
          <w:rFonts w:cs="Arial"/>
          <w:szCs w:val="24"/>
        </w:rPr>
      </w:pPr>
      <w:r w:rsidRPr="00DE14D0">
        <w:rPr>
          <w:rFonts w:cs="Arial"/>
          <w:szCs w:val="24"/>
        </w:rPr>
        <w:t>BARNS S &amp; THOMPSON A</w:t>
      </w:r>
    </w:p>
    <w:p w14:paraId="5B70BB25" w14:textId="77777777" w:rsidR="00670717" w:rsidRPr="00DE14D0" w:rsidRDefault="00670717" w:rsidP="00C5627E">
      <w:pPr>
        <w:ind w:left="567"/>
        <w:rPr>
          <w:rFonts w:cs="Arial"/>
          <w:szCs w:val="24"/>
        </w:rPr>
      </w:pPr>
      <w:r w:rsidRPr="00DE14D0">
        <w:rPr>
          <w:rFonts w:cs="Arial"/>
          <w:szCs w:val="24"/>
        </w:rPr>
        <w:t xml:space="preserve">2014. Reconsidering the indignus principle in the South African law of succession. </w:t>
      </w:r>
      <w:r w:rsidRPr="00DE14D0">
        <w:rPr>
          <w:rFonts w:cs="Arial"/>
          <w:i/>
          <w:iCs/>
          <w:szCs w:val="24"/>
        </w:rPr>
        <w:t>Acta Juridica</w:t>
      </w:r>
      <w:r w:rsidRPr="00DE14D0">
        <w:rPr>
          <w:rFonts w:cs="Arial"/>
          <w:szCs w:val="24"/>
        </w:rPr>
        <w:t>. 123-131.</w:t>
      </w:r>
    </w:p>
    <w:p w14:paraId="0EC8733B" w14:textId="1CB6FAD8" w:rsidR="00670717" w:rsidRPr="00DE14D0" w:rsidRDefault="00670717" w:rsidP="00C5627E">
      <w:pPr>
        <w:spacing w:after="0"/>
        <w:rPr>
          <w:rFonts w:cs="Arial"/>
          <w:szCs w:val="24"/>
        </w:rPr>
      </w:pPr>
      <w:r w:rsidRPr="00DE14D0">
        <w:rPr>
          <w:rFonts w:cs="Arial"/>
          <w:szCs w:val="24"/>
        </w:rPr>
        <w:t>DE WAAL MJ</w:t>
      </w:r>
    </w:p>
    <w:p w14:paraId="3AF94A6B" w14:textId="77777777" w:rsidR="00670717" w:rsidRPr="00DE14D0" w:rsidRDefault="00670717" w:rsidP="00C5627E">
      <w:pPr>
        <w:ind w:left="567"/>
        <w:rPr>
          <w:rFonts w:cs="Arial"/>
          <w:szCs w:val="24"/>
        </w:rPr>
      </w:pPr>
      <w:r w:rsidRPr="00DE14D0">
        <w:rPr>
          <w:rFonts w:cs="Arial"/>
          <w:szCs w:val="24"/>
        </w:rPr>
        <w:t xml:space="preserve">2008. The Law of Succession (including the administration of estates) and trusts. </w:t>
      </w:r>
      <w:r w:rsidRPr="00DE14D0">
        <w:rPr>
          <w:rFonts w:cs="Arial"/>
          <w:i/>
          <w:iCs/>
          <w:szCs w:val="24"/>
        </w:rPr>
        <w:t>2008 Annual Survey</w:t>
      </w:r>
      <w:r w:rsidRPr="00DE14D0">
        <w:rPr>
          <w:rFonts w:cs="Arial"/>
          <w:szCs w:val="24"/>
        </w:rPr>
        <w:t>. 1084-1113.</w:t>
      </w:r>
    </w:p>
    <w:p w14:paraId="08A8B641" w14:textId="77777777" w:rsidR="00670717" w:rsidRPr="00DE14D0" w:rsidRDefault="00670717" w:rsidP="00C5627E">
      <w:pPr>
        <w:spacing w:after="0"/>
        <w:rPr>
          <w:rFonts w:cs="Arial"/>
          <w:szCs w:val="24"/>
        </w:rPr>
      </w:pPr>
      <w:r w:rsidRPr="00DE14D0">
        <w:rPr>
          <w:rFonts w:cs="Arial"/>
          <w:szCs w:val="24"/>
        </w:rPr>
        <w:t>DU TOIT F</w:t>
      </w:r>
    </w:p>
    <w:p w14:paraId="4B6484C0" w14:textId="77777777" w:rsidR="00670717" w:rsidRPr="00DE14D0" w:rsidRDefault="00670717" w:rsidP="00C5627E">
      <w:pPr>
        <w:ind w:left="567"/>
        <w:rPr>
          <w:rFonts w:cs="Arial"/>
          <w:szCs w:val="24"/>
        </w:rPr>
      </w:pPr>
      <w:r w:rsidRPr="00DE14D0">
        <w:rPr>
          <w:rFonts w:cs="Arial"/>
          <w:szCs w:val="24"/>
        </w:rPr>
        <w:t xml:space="preserve">2012. Erfregtelike Onwaardigheid: Enige Lesse te leer vir die Suid-Afrikaanse Reg uit die Nederlandse Reg? </w:t>
      </w:r>
      <w:r w:rsidRPr="00DE14D0">
        <w:rPr>
          <w:rFonts w:cs="Arial"/>
          <w:i/>
          <w:iCs/>
          <w:szCs w:val="24"/>
        </w:rPr>
        <w:t>Stellenbosch Law Review</w:t>
      </w:r>
      <w:r w:rsidRPr="00DE14D0">
        <w:rPr>
          <w:rFonts w:cs="Arial"/>
          <w:szCs w:val="24"/>
        </w:rPr>
        <w:t>. 1:137-156.</w:t>
      </w:r>
    </w:p>
    <w:p w14:paraId="195710E8" w14:textId="25BCF522" w:rsidR="00DE71F1" w:rsidRDefault="00DE71F1" w:rsidP="00497C55">
      <w:pPr>
        <w:spacing w:after="0"/>
        <w:jc w:val="left"/>
        <w:rPr>
          <w:rFonts w:cs="Arial"/>
          <w:szCs w:val="24"/>
        </w:rPr>
      </w:pPr>
      <w:r>
        <w:rPr>
          <w:rFonts w:cs="Arial"/>
          <w:szCs w:val="24"/>
        </w:rPr>
        <w:lastRenderedPageBreak/>
        <w:t>MUKHEIBIR A</w:t>
      </w:r>
    </w:p>
    <w:p w14:paraId="7B021793" w14:textId="022AB6F3" w:rsidR="00736C82" w:rsidRDefault="00DE71F1">
      <w:pPr>
        <w:jc w:val="left"/>
        <w:rPr>
          <w:rFonts w:cs="Arial"/>
          <w:szCs w:val="24"/>
        </w:rPr>
      </w:pPr>
      <w:r>
        <w:rPr>
          <w:rFonts w:cs="Arial"/>
          <w:szCs w:val="24"/>
        </w:rPr>
        <w:t xml:space="preserve">2005. Law of delict. </w:t>
      </w:r>
      <w:r>
        <w:rPr>
          <w:rFonts w:cs="Arial"/>
          <w:i/>
          <w:iCs/>
          <w:szCs w:val="24"/>
        </w:rPr>
        <w:t>2005 Annual Survey</w:t>
      </w:r>
      <w:r>
        <w:rPr>
          <w:rFonts w:cs="Arial"/>
          <w:szCs w:val="24"/>
        </w:rPr>
        <w:t>. 303-358.</w:t>
      </w:r>
    </w:p>
    <w:p w14:paraId="6A4588DF" w14:textId="75EF5E50" w:rsidR="00670717" w:rsidRPr="00DE14D0" w:rsidRDefault="00670717" w:rsidP="00C5627E">
      <w:pPr>
        <w:spacing w:after="0"/>
        <w:rPr>
          <w:rFonts w:cs="Arial"/>
          <w:szCs w:val="24"/>
        </w:rPr>
      </w:pPr>
      <w:r w:rsidRPr="00DE14D0">
        <w:rPr>
          <w:rFonts w:cs="Arial"/>
          <w:szCs w:val="24"/>
        </w:rPr>
        <w:t>NEETHLING J &amp; POTGIETER JM</w:t>
      </w:r>
    </w:p>
    <w:p w14:paraId="653EA02B" w14:textId="41E6DD1C" w:rsidR="004655A7" w:rsidRPr="00DE14D0" w:rsidRDefault="00670717" w:rsidP="00C5627E">
      <w:pPr>
        <w:ind w:left="567"/>
        <w:rPr>
          <w:rFonts w:cs="Arial"/>
          <w:szCs w:val="24"/>
        </w:rPr>
      </w:pPr>
      <w:r w:rsidRPr="00DE14D0">
        <w:rPr>
          <w:rFonts w:cs="Arial"/>
          <w:szCs w:val="24"/>
        </w:rPr>
        <w:t xml:space="preserve">2018. Foreseeability: Wrongfulness and negligence of omissions in delict – the debate goes on </w:t>
      </w:r>
      <w:r w:rsidRPr="00340689">
        <w:rPr>
          <w:rFonts w:cs="Arial"/>
          <w:i/>
          <w:iCs/>
          <w:szCs w:val="24"/>
        </w:rPr>
        <w:t>MTO Forestry (Pty) Ltd v Swart NO</w:t>
      </w:r>
      <w:r w:rsidRPr="00DE14D0">
        <w:rPr>
          <w:rFonts w:cs="Arial"/>
          <w:szCs w:val="24"/>
        </w:rPr>
        <w:t xml:space="preserve"> 2017 5 SA 76 (SCA). </w:t>
      </w:r>
      <w:r w:rsidRPr="00DE14D0">
        <w:rPr>
          <w:rFonts w:cs="Arial"/>
          <w:i/>
          <w:iCs/>
          <w:szCs w:val="24"/>
        </w:rPr>
        <w:t>Journal for Juridical Science</w:t>
      </w:r>
      <w:r w:rsidRPr="00DE14D0">
        <w:rPr>
          <w:rFonts w:cs="Arial"/>
          <w:szCs w:val="24"/>
        </w:rPr>
        <w:t>. 43(1):146-161.</w:t>
      </w:r>
    </w:p>
    <w:p w14:paraId="1BBFC312" w14:textId="5458C0D5" w:rsidR="00670717" w:rsidRPr="00DE14D0" w:rsidRDefault="00670717" w:rsidP="00C5627E">
      <w:pPr>
        <w:spacing w:after="0"/>
        <w:rPr>
          <w:rFonts w:cs="Arial"/>
          <w:szCs w:val="24"/>
        </w:rPr>
      </w:pPr>
      <w:r w:rsidRPr="00DE14D0">
        <w:rPr>
          <w:rFonts w:cs="Arial"/>
          <w:szCs w:val="24"/>
        </w:rPr>
        <w:t>POTGIETER JM</w:t>
      </w:r>
    </w:p>
    <w:p w14:paraId="26AB488E" w14:textId="77777777" w:rsidR="00670717" w:rsidRPr="00DE14D0" w:rsidRDefault="00670717" w:rsidP="00C5627E">
      <w:pPr>
        <w:ind w:left="567"/>
        <w:rPr>
          <w:rFonts w:cs="Arial"/>
          <w:szCs w:val="24"/>
        </w:rPr>
      </w:pPr>
      <w:r w:rsidRPr="00DE14D0">
        <w:rPr>
          <w:rFonts w:cs="Arial"/>
          <w:szCs w:val="24"/>
        </w:rPr>
        <w:t xml:space="preserve">2019. Skuldlose aanspreeklikheid vir psigiatriese besering en gedagtes oor die rol van beleid by deliktuele aanspreeklikheid. </w:t>
      </w:r>
      <w:r w:rsidRPr="00DE14D0">
        <w:rPr>
          <w:rFonts w:cs="Arial"/>
          <w:i/>
          <w:iCs/>
          <w:szCs w:val="24"/>
        </w:rPr>
        <w:t>Obiter</w:t>
      </w:r>
      <w:r w:rsidRPr="00DE14D0">
        <w:rPr>
          <w:rFonts w:cs="Arial"/>
          <w:szCs w:val="24"/>
        </w:rPr>
        <w:t>. 518-529.</w:t>
      </w:r>
    </w:p>
    <w:p w14:paraId="140B4036" w14:textId="77777777" w:rsidR="00670717" w:rsidRPr="00DE14D0" w:rsidRDefault="00670717" w:rsidP="00C5627E">
      <w:pPr>
        <w:spacing w:after="0"/>
        <w:rPr>
          <w:rFonts w:cs="Arial"/>
          <w:szCs w:val="24"/>
        </w:rPr>
      </w:pPr>
      <w:r w:rsidRPr="00DE14D0">
        <w:rPr>
          <w:rFonts w:cs="Arial"/>
          <w:szCs w:val="24"/>
        </w:rPr>
        <w:t>SCHOEMAN-MALAN L</w:t>
      </w:r>
    </w:p>
    <w:p w14:paraId="0EAB1C2E" w14:textId="77777777" w:rsidR="00670717" w:rsidRPr="00DE14D0" w:rsidRDefault="00670717" w:rsidP="00C5627E">
      <w:pPr>
        <w:ind w:left="567"/>
        <w:rPr>
          <w:rFonts w:cs="Arial"/>
          <w:szCs w:val="24"/>
        </w:rPr>
      </w:pPr>
      <w:r w:rsidRPr="00DE14D0">
        <w:rPr>
          <w:rFonts w:cs="Arial"/>
          <w:szCs w:val="24"/>
        </w:rPr>
        <w:t xml:space="preserve">2013. Privaatregtelike perspektief op onwaardigheid om te erf – die uitwerking van gesinsmoorde. </w:t>
      </w:r>
      <w:r w:rsidRPr="00DE14D0">
        <w:rPr>
          <w:rFonts w:cs="Arial"/>
          <w:i/>
          <w:iCs/>
          <w:szCs w:val="24"/>
        </w:rPr>
        <w:t>Litnet Akademies</w:t>
      </w:r>
      <w:r w:rsidRPr="00DE14D0">
        <w:rPr>
          <w:rFonts w:cs="Arial"/>
          <w:szCs w:val="24"/>
        </w:rPr>
        <w:t>. 10(3):113-175.</w:t>
      </w:r>
    </w:p>
    <w:p w14:paraId="5564CBE7" w14:textId="77777777" w:rsidR="00670717" w:rsidRPr="00DE14D0" w:rsidRDefault="00670717" w:rsidP="00C5627E">
      <w:pPr>
        <w:spacing w:after="0"/>
        <w:rPr>
          <w:rFonts w:cs="Arial"/>
          <w:szCs w:val="24"/>
        </w:rPr>
      </w:pPr>
      <w:r w:rsidRPr="00DE14D0">
        <w:rPr>
          <w:rFonts w:cs="Arial"/>
          <w:szCs w:val="24"/>
        </w:rPr>
        <w:t>SONNEKUS JC</w:t>
      </w:r>
    </w:p>
    <w:p w14:paraId="16EF49CB" w14:textId="77777777" w:rsidR="00670717" w:rsidRPr="00DE14D0" w:rsidRDefault="00670717" w:rsidP="00C5627E">
      <w:pPr>
        <w:ind w:left="567"/>
        <w:rPr>
          <w:rFonts w:cs="Arial"/>
          <w:szCs w:val="24"/>
        </w:rPr>
      </w:pPr>
      <w:r w:rsidRPr="00DE14D0">
        <w:rPr>
          <w:rFonts w:cs="Arial"/>
          <w:szCs w:val="24"/>
        </w:rPr>
        <w:t xml:space="preserve">2010. Onwaardigheid vir Erfopvolging én Versekeringsbegunstiging. </w:t>
      </w:r>
      <w:r w:rsidRPr="00DE14D0">
        <w:rPr>
          <w:rFonts w:cs="Arial"/>
          <w:i/>
          <w:iCs/>
          <w:szCs w:val="24"/>
        </w:rPr>
        <w:t>Journal of South African Law</w:t>
      </w:r>
      <w:r w:rsidRPr="00DE14D0">
        <w:rPr>
          <w:rFonts w:cs="Arial"/>
          <w:szCs w:val="24"/>
        </w:rPr>
        <w:t>. 1:175-185.</w:t>
      </w:r>
    </w:p>
    <w:p w14:paraId="74EEA14C" w14:textId="77777777" w:rsidR="00670717" w:rsidRPr="00DE14D0" w:rsidRDefault="00670717" w:rsidP="00C5627E">
      <w:pPr>
        <w:ind w:left="567"/>
        <w:rPr>
          <w:rFonts w:cs="Arial"/>
          <w:szCs w:val="24"/>
        </w:rPr>
      </w:pPr>
      <w:r w:rsidRPr="00DE14D0">
        <w:rPr>
          <w:rFonts w:cs="Arial"/>
          <w:szCs w:val="24"/>
        </w:rPr>
        <w:t xml:space="preserve">2023. Gierigheid is die wortel van alle kwaad. </w:t>
      </w:r>
      <w:r w:rsidRPr="00DE14D0">
        <w:rPr>
          <w:rFonts w:cs="Arial"/>
          <w:i/>
          <w:iCs/>
          <w:szCs w:val="24"/>
        </w:rPr>
        <w:t>Journal of South African Law</w:t>
      </w:r>
      <w:r w:rsidRPr="00DE14D0">
        <w:rPr>
          <w:rFonts w:cs="Arial"/>
          <w:szCs w:val="24"/>
        </w:rPr>
        <w:t>. 175-208.</w:t>
      </w:r>
    </w:p>
    <w:p w14:paraId="01AED56D" w14:textId="77777777" w:rsidR="00670717" w:rsidRPr="00DE14D0" w:rsidRDefault="00670717" w:rsidP="00C5627E">
      <w:pPr>
        <w:spacing w:after="0"/>
        <w:rPr>
          <w:rFonts w:cs="Arial"/>
          <w:szCs w:val="24"/>
        </w:rPr>
      </w:pPr>
      <w:r w:rsidRPr="00DE14D0">
        <w:rPr>
          <w:rFonts w:cs="Arial"/>
          <w:szCs w:val="24"/>
        </w:rPr>
        <w:t>SONNEKUS JC AND VAN DER WALT JC</w:t>
      </w:r>
    </w:p>
    <w:p w14:paraId="2B3E70F8" w14:textId="77777777" w:rsidR="00670717" w:rsidRDefault="00670717" w:rsidP="00C5627E">
      <w:pPr>
        <w:ind w:left="567"/>
        <w:rPr>
          <w:rFonts w:cs="Arial"/>
          <w:szCs w:val="24"/>
        </w:rPr>
      </w:pPr>
      <w:r w:rsidRPr="00DE14D0">
        <w:rPr>
          <w:rFonts w:cs="Arial"/>
          <w:szCs w:val="24"/>
        </w:rPr>
        <w:t xml:space="preserve">1992. Die Nalatige Bloedige Hand – voor die Hof én die Wetgewer. </w:t>
      </w:r>
      <w:r w:rsidRPr="00DE14D0">
        <w:rPr>
          <w:rFonts w:cs="Arial"/>
          <w:i/>
          <w:iCs/>
          <w:szCs w:val="24"/>
        </w:rPr>
        <w:t>Journal of South African Law</w:t>
      </w:r>
      <w:r w:rsidRPr="00DE14D0">
        <w:rPr>
          <w:rFonts w:cs="Arial"/>
          <w:szCs w:val="24"/>
        </w:rPr>
        <w:t>. 1:147-153.</w:t>
      </w:r>
    </w:p>
    <w:p w14:paraId="28728C87" w14:textId="77777777" w:rsidR="00157D50" w:rsidRDefault="00157D50" w:rsidP="00C5627E">
      <w:pPr>
        <w:spacing w:after="0"/>
        <w:rPr>
          <w:rFonts w:cs="Arial"/>
          <w:szCs w:val="24"/>
        </w:rPr>
      </w:pPr>
      <w:r>
        <w:rPr>
          <w:rFonts w:cs="Arial"/>
          <w:szCs w:val="24"/>
        </w:rPr>
        <w:t>THIRION PW</w:t>
      </w:r>
    </w:p>
    <w:p w14:paraId="4D85D2FC" w14:textId="437F9A1E" w:rsidR="00157D50" w:rsidRPr="00157D50" w:rsidRDefault="00157D50" w:rsidP="00C5627E">
      <w:pPr>
        <w:ind w:left="567"/>
        <w:rPr>
          <w:rFonts w:cs="Arial"/>
          <w:i/>
          <w:iCs/>
          <w:szCs w:val="24"/>
        </w:rPr>
      </w:pPr>
      <w:r>
        <w:rPr>
          <w:rFonts w:cs="Arial"/>
          <w:szCs w:val="24"/>
        </w:rPr>
        <w:t xml:space="preserve">2013. </w:t>
      </w:r>
      <w:r w:rsidRPr="00157D50">
        <w:rPr>
          <w:rFonts w:cs="Arial"/>
          <w:szCs w:val="24"/>
        </w:rPr>
        <w:t>De bloedige hand neemt geen erffenis revisited.</w:t>
      </w:r>
      <w:r>
        <w:rPr>
          <w:rFonts w:cs="Arial"/>
          <w:szCs w:val="24"/>
        </w:rPr>
        <w:t xml:space="preserve"> </w:t>
      </w:r>
      <w:r w:rsidRPr="00F56455">
        <w:rPr>
          <w:rFonts w:cs="Arial"/>
          <w:i/>
          <w:iCs/>
          <w:szCs w:val="24"/>
        </w:rPr>
        <w:t>Advocate</w:t>
      </w:r>
      <w:r w:rsidR="00F56455">
        <w:rPr>
          <w:rFonts w:cs="Arial"/>
          <w:szCs w:val="24"/>
        </w:rPr>
        <w:t>.</w:t>
      </w:r>
      <w:r>
        <w:rPr>
          <w:rFonts w:cs="Arial"/>
          <w:szCs w:val="24"/>
        </w:rPr>
        <w:t xml:space="preserve"> </w:t>
      </w:r>
      <w:r w:rsidR="00F56455">
        <w:rPr>
          <w:rFonts w:cs="Arial"/>
          <w:szCs w:val="24"/>
        </w:rPr>
        <w:t>26(2):45-48.</w:t>
      </w:r>
    </w:p>
    <w:p w14:paraId="1580A0AE" w14:textId="77777777" w:rsidR="00670717" w:rsidRDefault="00670717" w:rsidP="00C5627E">
      <w:pPr>
        <w:spacing w:after="0"/>
      </w:pPr>
      <w:r>
        <w:t>VAN DER WALT JC &amp; SONNEKUS JC</w:t>
      </w:r>
    </w:p>
    <w:p w14:paraId="02A101BD" w14:textId="77777777" w:rsidR="00670717" w:rsidRPr="004C55F8" w:rsidRDefault="00670717" w:rsidP="00C5627E">
      <w:pPr>
        <w:ind w:left="567"/>
      </w:pPr>
      <w:r>
        <w:t xml:space="preserve">1981. Die nalatige bloedige hand – neem dit “erffenis”? </w:t>
      </w:r>
      <w:r>
        <w:rPr>
          <w:i/>
          <w:iCs/>
        </w:rPr>
        <w:t>Journal of South African Law</w:t>
      </w:r>
      <w:r>
        <w:t>. 30:30-45.</w:t>
      </w:r>
    </w:p>
    <w:p w14:paraId="75CC70EB" w14:textId="2DB11B8B" w:rsidR="00670717" w:rsidRPr="00DE14D0" w:rsidRDefault="00670717" w:rsidP="00C5627E">
      <w:pPr>
        <w:spacing w:after="0"/>
        <w:rPr>
          <w:rFonts w:cs="Arial"/>
          <w:szCs w:val="24"/>
        </w:rPr>
      </w:pPr>
      <w:r w:rsidRPr="00DE14D0">
        <w:rPr>
          <w:rFonts w:cs="Arial"/>
          <w:szCs w:val="24"/>
        </w:rPr>
        <w:t>VAN NIEKERK JP</w:t>
      </w:r>
    </w:p>
    <w:p w14:paraId="3F14EF98" w14:textId="77777777" w:rsidR="00670717" w:rsidRDefault="00670717" w:rsidP="00C5627E">
      <w:pPr>
        <w:ind w:left="567"/>
        <w:rPr>
          <w:rFonts w:cs="Arial"/>
          <w:szCs w:val="24"/>
        </w:rPr>
      </w:pPr>
      <w:r w:rsidRPr="00DE14D0">
        <w:rPr>
          <w:rFonts w:cs="Arial"/>
          <w:szCs w:val="24"/>
        </w:rPr>
        <w:t xml:space="preserve">2009. The Bloody-handed, Homicidal Beneficiary and the Materialisation of the Life Insurance Risk: </w:t>
      </w:r>
      <w:r w:rsidRPr="006514ED">
        <w:rPr>
          <w:rFonts w:cs="Arial"/>
          <w:i/>
          <w:iCs/>
          <w:szCs w:val="24"/>
        </w:rPr>
        <w:t>Danielz NO v De Wet &amp; Another</w:t>
      </w:r>
      <w:r w:rsidRPr="00DE14D0">
        <w:rPr>
          <w:rFonts w:cs="Arial"/>
          <w:szCs w:val="24"/>
        </w:rPr>
        <w:t xml:space="preserve">. </w:t>
      </w:r>
      <w:r w:rsidRPr="00DE14D0">
        <w:rPr>
          <w:rFonts w:cs="Arial"/>
          <w:i/>
          <w:iCs/>
          <w:szCs w:val="24"/>
        </w:rPr>
        <w:t>South African Mercantile Law Journal</w:t>
      </w:r>
      <w:r w:rsidRPr="00DE14D0">
        <w:rPr>
          <w:rFonts w:cs="Arial"/>
          <w:szCs w:val="24"/>
        </w:rPr>
        <w:t>. 21:126-137.</w:t>
      </w:r>
    </w:p>
    <w:p w14:paraId="59F37037" w14:textId="77777777" w:rsidR="004423A0" w:rsidRPr="00DE14D0" w:rsidRDefault="004423A0" w:rsidP="00C5627E">
      <w:pPr>
        <w:ind w:left="567"/>
        <w:rPr>
          <w:rFonts w:cs="Arial"/>
          <w:szCs w:val="24"/>
        </w:rPr>
      </w:pPr>
    </w:p>
    <w:p w14:paraId="22B8F7A7" w14:textId="77777777" w:rsidR="00157D50" w:rsidRPr="00DE14D0" w:rsidRDefault="00157D50" w:rsidP="00C5627E">
      <w:pPr>
        <w:spacing w:after="0"/>
        <w:rPr>
          <w:rFonts w:cs="Arial"/>
          <w:szCs w:val="24"/>
        </w:rPr>
      </w:pPr>
      <w:r w:rsidRPr="00DE14D0">
        <w:rPr>
          <w:rFonts w:cs="Arial"/>
          <w:szCs w:val="24"/>
        </w:rPr>
        <w:lastRenderedPageBreak/>
        <w:t>WOOD-BODLEY MC</w:t>
      </w:r>
    </w:p>
    <w:p w14:paraId="2D018973" w14:textId="77777777" w:rsidR="00157D50" w:rsidRDefault="00157D50" w:rsidP="00C5627E">
      <w:pPr>
        <w:ind w:left="567"/>
        <w:rPr>
          <w:rFonts w:cs="Arial"/>
          <w:szCs w:val="24"/>
        </w:rPr>
      </w:pPr>
      <w:r w:rsidRPr="00DE14D0">
        <w:rPr>
          <w:rFonts w:cs="Arial"/>
          <w:szCs w:val="24"/>
        </w:rPr>
        <w:t xml:space="preserve">2010. Forfeiture by a beneficiary who conspires to assault with the intent to do grievous bodily harm: </w:t>
      </w:r>
      <w:r w:rsidRPr="006514ED">
        <w:rPr>
          <w:rFonts w:cs="Arial"/>
          <w:i/>
          <w:iCs/>
          <w:szCs w:val="24"/>
        </w:rPr>
        <w:t>Danielz NO v De Wet</w:t>
      </w:r>
      <w:r w:rsidRPr="00DE14D0">
        <w:rPr>
          <w:rFonts w:cs="Arial"/>
          <w:szCs w:val="24"/>
        </w:rPr>
        <w:t xml:space="preserve"> 2009 (6) SA 42 (C). </w:t>
      </w:r>
      <w:r w:rsidRPr="00DE14D0">
        <w:rPr>
          <w:rFonts w:cs="Arial"/>
          <w:i/>
          <w:iCs/>
          <w:szCs w:val="24"/>
        </w:rPr>
        <w:t>South African Law Journal</w:t>
      </w:r>
      <w:r w:rsidRPr="00DE14D0">
        <w:rPr>
          <w:rFonts w:cs="Arial"/>
          <w:szCs w:val="24"/>
        </w:rPr>
        <w:t>. 127:30-37.</w:t>
      </w:r>
    </w:p>
    <w:p w14:paraId="403B1BA9" w14:textId="77777777" w:rsidR="004423A0" w:rsidRDefault="004423A0" w:rsidP="004423A0">
      <w:pPr>
        <w:rPr>
          <w:rFonts w:cs="Arial"/>
          <w:szCs w:val="24"/>
        </w:rPr>
      </w:pPr>
    </w:p>
    <w:p w14:paraId="6526D7D3" w14:textId="7D09D824" w:rsidR="00E27096" w:rsidRPr="00C5627E" w:rsidRDefault="00092A3A" w:rsidP="003C3EBE">
      <w:pPr>
        <w:pStyle w:val="Heading2"/>
      </w:pPr>
      <w:bookmarkStart w:id="69" w:name="_Toc191216312"/>
      <w:r w:rsidRPr="00C5627E">
        <w:t>Legislation</w:t>
      </w:r>
      <w:bookmarkEnd w:id="69"/>
    </w:p>
    <w:p w14:paraId="7E10316D" w14:textId="0541508D" w:rsidR="00954738" w:rsidRPr="00D52509" w:rsidRDefault="00954738" w:rsidP="00C5627E">
      <w:pPr>
        <w:rPr>
          <w:rFonts w:cs="Arial"/>
          <w:szCs w:val="24"/>
        </w:rPr>
      </w:pPr>
      <w:r>
        <w:rPr>
          <w:rFonts w:cs="Arial"/>
          <w:i/>
          <w:iCs/>
          <w:szCs w:val="24"/>
        </w:rPr>
        <w:t xml:space="preserve">Administration of Estates Act </w:t>
      </w:r>
      <w:r>
        <w:rPr>
          <w:rFonts w:cs="Arial"/>
          <w:szCs w:val="24"/>
        </w:rPr>
        <w:t>66 of 1965.</w:t>
      </w:r>
    </w:p>
    <w:p w14:paraId="4E45311C" w14:textId="408D3D77" w:rsidR="00954738" w:rsidRPr="00D52509" w:rsidRDefault="00954738" w:rsidP="00C5627E">
      <w:pPr>
        <w:rPr>
          <w:rFonts w:cs="Arial"/>
          <w:szCs w:val="24"/>
        </w:rPr>
      </w:pPr>
      <w:r>
        <w:rPr>
          <w:rFonts w:cs="Arial"/>
          <w:i/>
          <w:iCs/>
          <w:szCs w:val="24"/>
        </w:rPr>
        <w:t>The Constitution of the Republic of South Africa</w:t>
      </w:r>
      <w:r w:rsidR="002505DD">
        <w:rPr>
          <w:rFonts w:cs="Arial"/>
          <w:szCs w:val="24"/>
        </w:rPr>
        <w:t>,</w:t>
      </w:r>
      <w:r w:rsidRPr="00D52509">
        <w:rPr>
          <w:rFonts w:cs="Arial"/>
          <w:szCs w:val="24"/>
        </w:rPr>
        <w:t xml:space="preserve"> 1996.</w:t>
      </w:r>
    </w:p>
    <w:p w14:paraId="19676B60" w14:textId="5AED62C7" w:rsidR="00E27096" w:rsidRPr="00DE14D0" w:rsidRDefault="00E27096" w:rsidP="00C5627E">
      <w:pPr>
        <w:rPr>
          <w:rFonts w:cs="Arial"/>
          <w:i/>
          <w:iCs/>
          <w:szCs w:val="24"/>
        </w:rPr>
      </w:pPr>
      <w:r w:rsidRPr="00DE14D0">
        <w:rPr>
          <w:rFonts w:cs="Arial"/>
          <w:i/>
          <w:iCs/>
          <w:szCs w:val="24"/>
        </w:rPr>
        <w:t xml:space="preserve">Criminal Procedure </w:t>
      </w:r>
      <w:r w:rsidR="00D25F95">
        <w:rPr>
          <w:rFonts w:cs="Arial"/>
          <w:i/>
          <w:iCs/>
          <w:szCs w:val="24"/>
        </w:rPr>
        <w:t xml:space="preserve">Act </w:t>
      </w:r>
      <w:r w:rsidRPr="000100B5">
        <w:rPr>
          <w:rFonts w:cs="Arial"/>
          <w:szCs w:val="24"/>
        </w:rPr>
        <w:t>55 of 1971.</w:t>
      </w:r>
    </w:p>
    <w:p w14:paraId="19C096DF" w14:textId="0497B4D3" w:rsidR="00E27096" w:rsidRPr="000100B5" w:rsidRDefault="00234E65" w:rsidP="00C5627E">
      <w:pPr>
        <w:rPr>
          <w:rFonts w:cs="Arial"/>
          <w:szCs w:val="24"/>
        </w:rPr>
      </w:pPr>
      <w:r w:rsidRPr="00DE14D0">
        <w:rPr>
          <w:rFonts w:cs="Arial"/>
          <w:i/>
          <w:iCs/>
          <w:szCs w:val="24"/>
        </w:rPr>
        <w:t>Divorce Act</w:t>
      </w:r>
      <w:r w:rsidRPr="000100B5">
        <w:rPr>
          <w:rFonts w:cs="Arial"/>
          <w:szCs w:val="24"/>
        </w:rPr>
        <w:t xml:space="preserve"> 70 of 1979.</w:t>
      </w:r>
    </w:p>
    <w:p w14:paraId="07E89E1E" w14:textId="7E8EE31A" w:rsidR="00C47451" w:rsidRPr="00C47451" w:rsidRDefault="00C47451" w:rsidP="00C5627E">
      <w:pPr>
        <w:rPr>
          <w:rFonts w:cs="Arial"/>
          <w:szCs w:val="24"/>
        </w:rPr>
      </w:pPr>
      <w:r w:rsidRPr="00AA5D6F">
        <w:rPr>
          <w:rFonts w:cs="Arial"/>
          <w:i/>
          <w:iCs/>
          <w:szCs w:val="24"/>
        </w:rPr>
        <w:t>Government Service Pension Act</w:t>
      </w:r>
      <w:r>
        <w:rPr>
          <w:rFonts w:cs="Arial"/>
          <w:szCs w:val="24"/>
        </w:rPr>
        <w:t xml:space="preserve"> 57 of 1973.</w:t>
      </w:r>
    </w:p>
    <w:p w14:paraId="2D125AEA" w14:textId="6A317F2C" w:rsidR="003B666E" w:rsidRPr="003B666E" w:rsidRDefault="003B666E" w:rsidP="00C5627E">
      <w:pPr>
        <w:rPr>
          <w:rFonts w:cs="Arial"/>
          <w:szCs w:val="24"/>
        </w:rPr>
      </w:pPr>
      <w:r>
        <w:rPr>
          <w:rFonts w:cs="Arial"/>
          <w:i/>
          <w:iCs/>
          <w:szCs w:val="24"/>
        </w:rPr>
        <w:t>Intestate Succession Act</w:t>
      </w:r>
      <w:r>
        <w:rPr>
          <w:rFonts w:cs="Arial"/>
          <w:szCs w:val="24"/>
        </w:rPr>
        <w:t xml:space="preserve"> 81 of 1987.</w:t>
      </w:r>
    </w:p>
    <w:p w14:paraId="36002FC1" w14:textId="262F9C75" w:rsidR="004A14AF" w:rsidRPr="004A14AF" w:rsidRDefault="004A14AF" w:rsidP="00C5627E">
      <w:pPr>
        <w:rPr>
          <w:rFonts w:cs="Arial"/>
          <w:szCs w:val="24"/>
        </w:rPr>
      </w:pPr>
      <w:r>
        <w:rPr>
          <w:rFonts w:cs="Arial"/>
          <w:i/>
          <w:iCs/>
          <w:szCs w:val="24"/>
        </w:rPr>
        <w:t>Law of Succession Amendment Act</w:t>
      </w:r>
      <w:r>
        <w:rPr>
          <w:rFonts w:cs="Arial"/>
          <w:szCs w:val="24"/>
        </w:rPr>
        <w:t xml:space="preserve"> </w:t>
      </w:r>
      <w:r w:rsidR="002505DD">
        <w:rPr>
          <w:rFonts w:cs="Arial"/>
          <w:szCs w:val="24"/>
        </w:rPr>
        <w:t xml:space="preserve">43 </w:t>
      </w:r>
      <w:r>
        <w:rPr>
          <w:rFonts w:cs="Arial"/>
          <w:szCs w:val="24"/>
        </w:rPr>
        <w:t>of 1992.</w:t>
      </w:r>
    </w:p>
    <w:p w14:paraId="3BBE21A8" w14:textId="2D411CF2" w:rsidR="00234E65" w:rsidRPr="000100B5" w:rsidRDefault="00234E65" w:rsidP="00C5627E">
      <w:pPr>
        <w:rPr>
          <w:rFonts w:cs="Arial"/>
          <w:szCs w:val="24"/>
        </w:rPr>
      </w:pPr>
      <w:r w:rsidRPr="00DE14D0">
        <w:rPr>
          <w:rFonts w:cs="Arial"/>
          <w:i/>
          <w:iCs/>
          <w:szCs w:val="24"/>
        </w:rPr>
        <w:t xml:space="preserve">Matrimonial Property Act </w:t>
      </w:r>
      <w:r w:rsidRPr="000100B5">
        <w:rPr>
          <w:rFonts w:cs="Arial"/>
          <w:szCs w:val="24"/>
        </w:rPr>
        <w:t>88 of 1984.</w:t>
      </w:r>
    </w:p>
    <w:p w14:paraId="2C131836" w14:textId="7CEECEB1" w:rsidR="00DD5A3E" w:rsidRPr="00DD5A3E" w:rsidRDefault="00DD5A3E" w:rsidP="00C5627E">
      <w:pPr>
        <w:rPr>
          <w:rFonts w:cs="Arial"/>
          <w:szCs w:val="24"/>
        </w:rPr>
      </w:pPr>
      <w:r>
        <w:rPr>
          <w:rFonts w:cs="Arial"/>
          <w:i/>
          <w:iCs/>
          <w:szCs w:val="24"/>
        </w:rPr>
        <w:t>Prescription Act</w:t>
      </w:r>
      <w:r>
        <w:rPr>
          <w:rFonts w:cs="Arial"/>
          <w:szCs w:val="24"/>
        </w:rPr>
        <w:t xml:space="preserve"> 68 of 1969.</w:t>
      </w:r>
    </w:p>
    <w:p w14:paraId="397EE8FA" w14:textId="465AFFC6" w:rsidR="0017222D" w:rsidRDefault="008D7F54" w:rsidP="00C5627E">
      <w:pPr>
        <w:rPr>
          <w:rFonts w:cs="Arial"/>
          <w:szCs w:val="24"/>
        </w:rPr>
      </w:pPr>
      <w:r w:rsidRPr="00DE14D0">
        <w:rPr>
          <w:rFonts w:cs="Arial"/>
          <w:i/>
          <w:iCs/>
          <w:szCs w:val="24"/>
        </w:rPr>
        <w:t>Wills Act</w:t>
      </w:r>
      <w:r w:rsidR="004655A7">
        <w:rPr>
          <w:rFonts w:cs="Arial"/>
          <w:i/>
          <w:iCs/>
          <w:szCs w:val="24"/>
        </w:rPr>
        <w:t xml:space="preserve"> </w:t>
      </w:r>
      <w:r w:rsidRPr="004655A7">
        <w:rPr>
          <w:rFonts w:cs="Arial"/>
          <w:szCs w:val="24"/>
        </w:rPr>
        <w:t>7</w:t>
      </w:r>
      <w:r w:rsidRPr="000100B5">
        <w:rPr>
          <w:rFonts w:cs="Arial"/>
          <w:szCs w:val="24"/>
        </w:rPr>
        <w:t xml:space="preserve"> of 1953.</w:t>
      </w:r>
    </w:p>
    <w:bookmarkEnd w:id="0"/>
    <w:p w14:paraId="77D89D68" w14:textId="77777777" w:rsidR="00240C09" w:rsidRDefault="00240C09" w:rsidP="00C5627E">
      <w:pPr>
        <w:rPr>
          <w:rFonts w:cs="Arial"/>
          <w:szCs w:val="24"/>
        </w:rPr>
      </w:pPr>
    </w:p>
    <w:sectPr w:rsidR="00240C09" w:rsidSect="007B2F57">
      <w:footerReference w:type="default" r:id="rId15"/>
      <w:footerReference w:type="first" r:id="rId16"/>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456ED" w14:textId="77777777" w:rsidR="007037DC" w:rsidRDefault="007037DC" w:rsidP="004A2A01">
      <w:pPr>
        <w:spacing w:after="0" w:line="240" w:lineRule="auto"/>
      </w:pPr>
      <w:r>
        <w:separator/>
      </w:r>
    </w:p>
  </w:endnote>
  <w:endnote w:type="continuationSeparator" w:id="0">
    <w:p w14:paraId="563EAD11" w14:textId="77777777" w:rsidR="007037DC" w:rsidRDefault="007037DC" w:rsidP="004A2A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8D0AB" w14:textId="1CF222A5" w:rsidR="007B53CF" w:rsidRDefault="007B53CF">
    <w:pPr>
      <w:pStyle w:val="Footer"/>
      <w:jc w:val="right"/>
    </w:pPr>
  </w:p>
  <w:p w14:paraId="66DA4003" w14:textId="77777777" w:rsidR="007B53CF" w:rsidRDefault="007B53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7059D" w14:textId="4E3D875D" w:rsidR="007B2F57" w:rsidRDefault="007B2F57">
    <w:pPr>
      <w:pStyle w:val="Footer"/>
      <w:jc w:val="right"/>
    </w:pPr>
  </w:p>
  <w:p w14:paraId="03AF1674" w14:textId="77777777" w:rsidR="007B2F57" w:rsidRDefault="007B2F5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7388154"/>
      <w:docPartObj>
        <w:docPartGallery w:val="Page Numbers (Bottom of Page)"/>
        <w:docPartUnique/>
      </w:docPartObj>
    </w:sdtPr>
    <w:sdtEndPr>
      <w:rPr>
        <w:noProof/>
      </w:rPr>
    </w:sdtEndPr>
    <w:sdtContent>
      <w:p w14:paraId="67381BDC" w14:textId="1845E8B0" w:rsidR="00C626B5" w:rsidRDefault="00C626B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C0EA130" w14:textId="77777777" w:rsidR="00C626B5" w:rsidRDefault="00C626B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0531617"/>
      <w:docPartObj>
        <w:docPartGallery w:val="Page Numbers (Bottom of Page)"/>
        <w:docPartUnique/>
      </w:docPartObj>
    </w:sdtPr>
    <w:sdtEndPr>
      <w:rPr>
        <w:noProof/>
      </w:rPr>
    </w:sdtEndPr>
    <w:sdtContent>
      <w:p w14:paraId="4F573674" w14:textId="615E1F31" w:rsidR="00497C55" w:rsidRDefault="00497C5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3FBCB47" w14:textId="77777777" w:rsidR="00497C55" w:rsidRDefault="00497C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248FEF" w14:textId="77777777" w:rsidR="007037DC" w:rsidRDefault="007037DC" w:rsidP="004A2A01">
      <w:pPr>
        <w:spacing w:after="0" w:line="240" w:lineRule="auto"/>
      </w:pPr>
      <w:r>
        <w:separator/>
      </w:r>
    </w:p>
  </w:footnote>
  <w:footnote w:type="continuationSeparator" w:id="0">
    <w:p w14:paraId="3F4C82FD" w14:textId="77777777" w:rsidR="007037DC" w:rsidRDefault="007037DC" w:rsidP="004A2A01">
      <w:pPr>
        <w:spacing w:after="0" w:line="240" w:lineRule="auto"/>
      </w:pPr>
      <w:r>
        <w:continuationSeparator/>
      </w:r>
    </w:p>
  </w:footnote>
  <w:footnote w:id="1">
    <w:p w14:paraId="0AEDCDC4" w14:textId="77777777" w:rsidR="00162144" w:rsidRDefault="00162144" w:rsidP="00162144">
      <w:pPr>
        <w:pStyle w:val="FootnoteText"/>
        <w:ind w:left="284" w:hanging="284"/>
        <w:rPr>
          <w:lang w:val="en-GB"/>
        </w:rPr>
      </w:pPr>
      <w:r>
        <w:rPr>
          <w:rStyle w:val="FootnoteReference"/>
        </w:rPr>
        <w:footnoteRef/>
      </w:r>
      <w:r>
        <w:t xml:space="preserve"> </w:t>
      </w:r>
      <w:r>
        <w:tab/>
      </w:r>
      <w:r>
        <w:rPr>
          <w:lang w:val="en-GB"/>
        </w:rPr>
        <w:t>Schoeman-Malan 2013:114.</w:t>
      </w:r>
    </w:p>
  </w:footnote>
  <w:footnote w:id="2">
    <w:p w14:paraId="5FFB86E2" w14:textId="77777777" w:rsidR="00162144" w:rsidRDefault="00162144" w:rsidP="00162144">
      <w:pPr>
        <w:pStyle w:val="FootnoteText"/>
        <w:ind w:left="284" w:hanging="284"/>
        <w:rPr>
          <w:lang w:val="en-GB"/>
        </w:rPr>
      </w:pPr>
      <w:r>
        <w:rPr>
          <w:rStyle w:val="FootnoteReference"/>
        </w:rPr>
        <w:footnoteRef/>
      </w:r>
      <w:r>
        <w:t xml:space="preserve"> </w:t>
      </w:r>
      <w:r>
        <w:tab/>
      </w:r>
      <w:r>
        <w:rPr>
          <w:lang w:val="en-GB"/>
        </w:rPr>
        <w:t>Schoeman-Malan 2013:116.</w:t>
      </w:r>
    </w:p>
  </w:footnote>
  <w:footnote w:id="3">
    <w:p w14:paraId="11F84B51" w14:textId="77777777" w:rsidR="00D13124" w:rsidRDefault="00D13124" w:rsidP="00D13124">
      <w:pPr>
        <w:pStyle w:val="FootnoteText"/>
        <w:tabs>
          <w:tab w:val="left" w:pos="284"/>
        </w:tabs>
        <w:ind w:left="284" w:hanging="284"/>
      </w:pPr>
      <w:r w:rsidRPr="001B1A9E">
        <w:rPr>
          <w:rStyle w:val="FootnoteReference"/>
        </w:rPr>
        <w:footnoteRef/>
      </w:r>
      <w:r w:rsidRPr="001B1A9E">
        <w:t xml:space="preserve"> </w:t>
      </w:r>
      <w:r w:rsidRPr="001B1A9E">
        <w:tab/>
      </w:r>
      <w:r>
        <w:t xml:space="preserve">Tyali “Couple and hitmen sentenced for insurance payout murder”, </w:t>
      </w:r>
      <w:r w:rsidRPr="00C43CD8">
        <w:t>https://www.facebook.com/thenpaofsa/</w:t>
      </w:r>
      <w:r>
        <w:t xml:space="preserve"> (accessed on 24 June 2024).</w:t>
      </w:r>
    </w:p>
  </w:footnote>
  <w:footnote w:id="4">
    <w:p w14:paraId="4F726C29" w14:textId="77777777" w:rsidR="00162144" w:rsidRPr="00D9694C" w:rsidRDefault="00162144" w:rsidP="00162144">
      <w:pPr>
        <w:pStyle w:val="FootnoteText"/>
        <w:tabs>
          <w:tab w:val="left" w:pos="284"/>
        </w:tabs>
        <w:ind w:left="284" w:hanging="284"/>
        <w:rPr>
          <w:lang w:val="en-GB"/>
        </w:rPr>
      </w:pPr>
      <w:r>
        <w:rPr>
          <w:rStyle w:val="FootnoteReference"/>
        </w:rPr>
        <w:footnoteRef/>
      </w:r>
      <w:r>
        <w:t xml:space="preserve"> </w:t>
      </w:r>
      <w:r>
        <w:tab/>
      </w:r>
      <w:r>
        <w:rPr>
          <w:lang w:val="en-GB"/>
        </w:rPr>
        <w:t>Schoeman-Malan 2013:128.</w:t>
      </w:r>
    </w:p>
  </w:footnote>
  <w:footnote w:id="5">
    <w:p w14:paraId="266E8223" w14:textId="77777777" w:rsidR="00162144" w:rsidRDefault="00162144" w:rsidP="00162144">
      <w:pPr>
        <w:pStyle w:val="FootnoteText"/>
        <w:tabs>
          <w:tab w:val="left" w:pos="284"/>
        </w:tabs>
        <w:ind w:left="284" w:hanging="284"/>
      </w:pPr>
      <w:r>
        <w:rPr>
          <w:rStyle w:val="FootnoteReference"/>
        </w:rPr>
        <w:footnoteRef/>
      </w:r>
      <w:r>
        <w:t xml:space="preserve"> </w:t>
      </w:r>
      <w:r>
        <w:tab/>
        <w:t>Schoeman-Malan 2013:116.</w:t>
      </w:r>
    </w:p>
  </w:footnote>
  <w:footnote w:id="6">
    <w:p w14:paraId="626F55A8" w14:textId="4FC63D49" w:rsidR="00AF617A" w:rsidRDefault="00AF617A" w:rsidP="00AF617A">
      <w:pPr>
        <w:pStyle w:val="FootnoteText"/>
        <w:ind w:left="284" w:hanging="284"/>
      </w:pPr>
      <w:r>
        <w:rPr>
          <w:rStyle w:val="FootnoteReference"/>
        </w:rPr>
        <w:footnoteRef/>
      </w:r>
      <w:r>
        <w:t xml:space="preserve"> </w:t>
      </w:r>
      <w:r>
        <w:tab/>
      </w:r>
      <w:r>
        <w:rPr>
          <w:rFonts w:cs="Arial"/>
          <w:i/>
          <w:iCs/>
        </w:rPr>
        <w:t xml:space="preserve">S v Lotter &amp; Others </w:t>
      </w:r>
      <w:r w:rsidRPr="006D008E">
        <w:rPr>
          <w:rFonts w:cs="Arial"/>
        </w:rPr>
        <w:t>(CC43/09) [2012] ZAKZDHC 50</w:t>
      </w:r>
      <w:r>
        <w:rPr>
          <w:rFonts w:cs="Arial"/>
        </w:rPr>
        <w:t xml:space="preserve"> (13 March 2012):p.14,</w:t>
      </w:r>
      <w:r w:rsidR="00A50F78">
        <w:rPr>
          <w:rFonts w:cs="Arial"/>
        </w:rPr>
        <w:t xml:space="preserve"> </w:t>
      </w:r>
      <w:r>
        <w:rPr>
          <w:rFonts w:cs="Arial"/>
        </w:rPr>
        <w:t>20,</w:t>
      </w:r>
      <w:r w:rsidR="00A50F78">
        <w:rPr>
          <w:rFonts w:cs="Arial"/>
        </w:rPr>
        <w:t xml:space="preserve"> </w:t>
      </w:r>
      <w:r>
        <w:rPr>
          <w:rFonts w:cs="Arial"/>
        </w:rPr>
        <w:t>27.</w:t>
      </w:r>
    </w:p>
  </w:footnote>
  <w:footnote w:id="7">
    <w:p w14:paraId="78835313" w14:textId="4A2DBED1" w:rsidR="00162144" w:rsidRDefault="00162144" w:rsidP="00162144">
      <w:pPr>
        <w:pStyle w:val="FootnoteText"/>
        <w:ind w:left="284" w:hanging="284"/>
      </w:pPr>
      <w:r>
        <w:rPr>
          <w:rStyle w:val="FootnoteReference"/>
        </w:rPr>
        <w:footnoteRef/>
      </w:r>
      <w:r>
        <w:t xml:space="preserve"> </w:t>
      </w:r>
      <w:r>
        <w:tab/>
        <w:t xml:space="preserve">Fihlani “Henri van Breda trial: The man who killed his family with an axe”, </w:t>
      </w:r>
      <w:r w:rsidRPr="00C43CD8">
        <w:t>https://www.bbc.com/news/world-africa-44359696</w:t>
      </w:r>
      <w:r>
        <w:t xml:space="preserve"> (accessed on 24 June 2024).</w:t>
      </w:r>
    </w:p>
  </w:footnote>
  <w:footnote w:id="8">
    <w:p w14:paraId="6117025A" w14:textId="77777777" w:rsidR="00162144" w:rsidRDefault="00162144" w:rsidP="00162144">
      <w:pPr>
        <w:pStyle w:val="FootnoteText"/>
        <w:ind w:left="284" w:hanging="284"/>
      </w:pPr>
      <w:r>
        <w:rPr>
          <w:rStyle w:val="FootnoteReference"/>
        </w:rPr>
        <w:footnoteRef/>
      </w:r>
      <w:r>
        <w:t xml:space="preserve"> </w:t>
      </w:r>
      <w:r>
        <w:tab/>
        <w:t>Sonnekus 2023:178.</w:t>
      </w:r>
    </w:p>
  </w:footnote>
  <w:footnote w:id="9">
    <w:p w14:paraId="4AC219AD" w14:textId="7B486DFD" w:rsidR="00162144" w:rsidRDefault="00162144" w:rsidP="00162144">
      <w:pPr>
        <w:pStyle w:val="FootnoteText"/>
        <w:ind w:left="284" w:hanging="284"/>
      </w:pPr>
      <w:r>
        <w:rPr>
          <w:rStyle w:val="FootnoteReference"/>
        </w:rPr>
        <w:footnoteRef/>
      </w:r>
      <w:r>
        <w:t xml:space="preserve"> </w:t>
      </w:r>
      <w:r>
        <w:tab/>
        <w:t xml:space="preserve">Duma “Werner de Jager, man accused of killing paster wife Liezel, has died, allegedly from overdose”, </w:t>
      </w:r>
      <w:r w:rsidRPr="00C43CD8">
        <w:t>https://www.news24.com/news24/southafrica/news/werner-de-jager-the-man-accused-of-killing-pastor-wife-liezel-has-died-allegedly-from-an-overdose-20240415</w:t>
      </w:r>
      <w:r>
        <w:t xml:space="preserve"> (accessed </w:t>
      </w:r>
      <w:r w:rsidR="00C43CD8">
        <w:t xml:space="preserve">on </w:t>
      </w:r>
      <w:r>
        <w:t>24 June 2024).</w:t>
      </w:r>
    </w:p>
  </w:footnote>
  <w:footnote w:id="10">
    <w:p w14:paraId="135FD9AB" w14:textId="0329EF64" w:rsidR="00162144" w:rsidRPr="003319A8" w:rsidRDefault="00162144" w:rsidP="002E7091">
      <w:pPr>
        <w:pStyle w:val="FootnoteText"/>
        <w:ind w:left="284" w:hanging="284"/>
        <w:rPr>
          <w:lang w:val="en-GB"/>
        </w:rPr>
      </w:pPr>
      <w:r>
        <w:rPr>
          <w:rStyle w:val="FootnoteReference"/>
        </w:rPr>
        <w:footnoteRef/>
      </w:r>
      <w:r>
        <w:t xml:space="preserve"> </w:t>
      </w:r>
      <w:r>
        <w:tab/>
        <w:t>Schoeman-Malan 2013:125,</w:t>
      </w:r>
      <w:r w:rsidR="00A50F78">
        <w:t xml:space="preserve"> </w:t>
      </w:r>
      <w:r>
        <w:t>128-129</w:t>
      </w:r>
    </w:p>
  </w:footnote>
  <w:footnote w:id="11">
    <w:p w14:paraId="082BCF04" w14:textId="42FDD2D5" w:rsidR="00162144" w:rsidRPr="0052750E" w:rsidRDefault="00162144" w:rsidP="002E7091">
      <w:pPr>
        <w:pStyle w:val="FootnoteText"/>
        <w:ind w:left="284" w:hanging="284"/>
        <w:rPr>
          <w:lang w:val="en-GB"/>
        </w:rPr>
      </w:pPr>
      <w:r>
        <w:rPr>
          <w:rStyle w:val="FootnoteReference"/>
        </w:rPr>
        <w:footnoteRef/>
      </w:r>
      <w:r>
        <w:t xml:space="preserve"> </w:t>
      </w:r>
      <w:r>
        <w:tab/>
      </w:r>
      <w:r w:rsidR="00883B0E">
        <w:t xml:space="preserve">Sonnekus 2023:187; </w:t>
      </w:r>
      <w:r>
        <w:rPr>
          <w:lang w:val="en-GB"/>
        </w:rPr>
        <w:t>Sonnekus 2010:175.</w:t>
      </w:r>
    </w:p>
  </w:footnote>
  <w:footnote w:id="12">
    <w:p w14:paraId="2B116E62" w14:textId="470E2FF3" w:rsidR="00F827D4" w:rsidRPr="00F827D4" w:rsidRDefault="00F827D4" w:rsidP="002E7091">
      <w:pPr>
        <w:pStyle w:val="FootnoteText"/>
        <w:ind w:left="284" w:hanging="284"/>
        <w:rPr>
          <w:lang w:val="en-GB"/>
        </w:rPr>
      </w:pPr>
      <w:r>
        <w:rPr>
          <w:rStyle w:val="FootnoteReference"/>
        </w:rPr>
        <w:footnoteRef/>
      </w:r>
      <w:r>
        <w:t xml:space="preserve"> </w:t>
      </w:r>
      <w:r w:rsidR="002E7091">
        <w:tab/>
      </w:r>
      <w:r>
        <w:t>Hofmeyr &amp; Paleker 2023:140.</w:t>
      </w:r>
    </w:p>
  </w:footnote>
  <w:footnote w:id="13">
    <w:p w14:paraId="13B19091" w14:textId="17B77EAB" w:rsidR="00162144" w:rsidRPr="00EC4082" w:rsidRDefault="00162144" w:rsidP="002E7091">
      <w:pPr>
        <w:pStyle w:val="FootnoteText"/>
        <w:ind w:left="284" w:hanging="284"/>
        <w:rPr>
          <w:lang w:val="en-GB"/>
        </w:rPr>
      </w:pPr>
      <w:r>
        <w:rPr>
          <w:rStyle w:val="FootnoteReference"/>
        </w:rPr>
        <w:footnoteRef/>
      </w:r>
      <w:r>
        <w:t xml:space="preserve"> </w:t>
      </w:r>
      <w:r>
        <w:tab/>
      </w:r>
      <w:r w:rsidR="00F6145C">
        <w:t xml:space="preserve">Schoeman-Malan 2013:122; </w:t>
      </w:r>
      <w:r>
        <w:rPr>
          <w:lang w:val="en-GB"/>
        </w:rPr>
        <w:t>Sonnekus 2010:176.</w:t>
      </w:r>
    </w:p>
  </w:footnote>
  <w:footnote w:id="14">
    <w:p w14:paraId="7DA62432" w14:textId="738952F1" w:rsidR="003E690B" w:rsidRPr="00696C54" w:rsidRDefault="003E690B" w:rsidP="002E7091">
      <w:pPr>
        <w:pStyle w:val="FootnoteText"/>
        <w:tabs>
          <w:tab w:val="left" w:pos="284"/>
        </w:tabs>
        <w:ind w:left="284" w:hanging="284"/>
        <w:rPr>
          <w:lang w:val="en-GB"/>
        </w:rPr>
      </w:pPr>
      <w:r>
        <w:rPr>
          <w:rStyle w:val="FootnoteReference"/>
        </w:rPr>
        <w:footnoteRef/>
      </w:r>
      <w:r>
        <w:t xml:space="preserve"> </w:t>
      </w:r>
      <w:r>
        <w:rPr>
          <w:lang w:val="en-GB"/>
        </w:rPr>
        <w:tab/>
      </w:r>
      <w:r w:rsidR="001D5A0C" w:rsidRPr="001D5A0C">
        <w:rPr>
          <w:i/>
          <w:iCs/>
          <w:lang w:val="en-GB"/>
        </w:rPr>
        <w:t>Wills Act</w:t>
      </w:r>
      <w:r w:rsidR="001D5A0C">
        <w:rPr>
          <w:lang w:val="en-GB"/>
        </w:rPr>
        <w:t xml:space="preserve"> 7/1953:s</w:t>
      </w:r>
      <w:r w:rsidRPr="001D5A0C">
        <w:rPr>
          <w:lang w:val="en-GB"/>
        </w:rPr>
        <w:t>ec</w:t>
      </w:r>
      <w:r w:rsidR="00A50F78">
        <w:rPr>
          <w:lang w:val="en-GB"/>
        </w:rPr>
        <w:t>.</w:t>
      </w:r>
      <w:r w:rsidRPr="00696C54">
        <w:rPr>
          <w:lang w:val="en-GB"/>
        </w:rPr>
        <w:t xml:space="preserve"> 5, repealed by </w:t>
      </w:r>
      <w:r w:rsidR="00A50F78">
        <w:rPr>
          <w:lang w:val="en-GB"/>
        </w:rPr>
        <w:t xml:space="preserve">the </w:t>
      </w:r>
      <w:r w:rsidRPr="00A50F78">
        <w:rPr>
          <w:i/>
          <w:iCs/>
          <w:lang w:val="en-GB"/>
        </w:rPr>
        <w:t>Law of Succession Amendment Act</w:t>
      </w:r>
      <w:r w:rsidRPr="00696C54">
        <w:rPr>
          <w:lang w:val="en-GB"/>
        </w:rPr>
        <w:t xml:space="preserve"> 43</w:t>
      </w:r>
      <w:r w:rsidR="001D5A0C">
        <w:rPr>
          <w:lang w:val="en-GB"/>
        </w:rPr>
        <w:t>/</w:t>
      </w:r>
      <w:r w:rsidRPr="00696C54">
        <w:rPr>
          <w:lang w:val="en-GB"/>
        </w:rPr>
        <w:t>1992</w:t>
      </w:r>
      <w:r w:rsidR="00A50F78">
        <w:rPr>
          <w:lang w:val="en-GB"/>
        </w:rPr>
        <w:t>:sec. 8</w:t>
      </w:r>
      <w:r w:rsidRPr="00696C54">
        <w:rPr>
          <w:lang w:val="en-GB"/>
        </w:rPr>
        <w:t xml:space="preserve">; </w:t>
      </w:r>
      <w:r w:rsidR="001D5A0C" w:rsidRPr="00696C54">
        <w:rPr>
          <w:lang w:val="en-GB"/>
        </w:rPr>
        <w:t>De Waal &amp; Schoeman-Malan 2015:114</w:t>
      </w:r>
      <w:r w:rsidR="001D5A0C">
        <w:rPr>
          <w:lang w:val="en-GB"/>
        </w:rPr>
        <w:t xml:space="preserve">; </w:t>
      </w:r>
      <w:r w:rsidRPr="00696C54">
        <w:rPr>
          <w:lang w:val="en-GB"/>
        </w:rPr>
        <w:t>Du Toit 2012:139.</w:t>
      </w:r>
    </w:p>
  </w:footnote>
  <w:footnote w:id="15">
    <w:p w14:paraId="69C79762" w14:textId="7426C26A" w:rsidR="003E690B" w:rsidRPr="00696C54" w:rsidRDefault="003E690B" w:rsidP="002E7091">
      <w:pPr>
        <w:pStyle w:val="FootnoteText"/>
        <w:tabs>
          <w:tab w:val="left" w:pos="284"/>
        </w:tabs>
        <w:ind w:left="284" w:hanging="284"/>
        <w:rPr>
          <w:i/>
          <w:iCs/>
        </w:rPr>
      </w:pPr>
      <w:r w:rsidRPr="00696C54">
        <w:rPr>
          <w:rStyle w:val="FootnoteReference"/>
        </w:rPr>
        <w:footnoteRef/>
      </w:r>
      <w:r w:rsidRPr="00696C54">
        <w:t xml:space="preserve"> </w:t>
      </w:r>
      <w:r w:rsidRPr="00696C54">
        <w:tab/>
      </w:r>
      <w:r w:rsidR="002A5D8A" w:rsidRPr="00696C54">
        <w:t xml:space="preserve">De Waal &amp; Zimmerman 2011:170; </w:t>
      </w:r>
      <w:r w:rsidRPr="00696C54">
        <w:t>Malherbe 2016:4</w:t>
      </w:r>
      <w:r w:rsidR="00A50F78">
        <w:t>.</w:t>
      </w:r>
      <w:r w:rsidRPr="00696C54">
        <w:t xml:space="preserve"> </w:t>
      </w:r>
    </w:p>
  </w:footnote>
  <w:footnote w:id="16">
    <w:p w14:paraId="49C0D52B" w14:textId="77777777" w:rsidR="00C04F40" w:rsidRDefault="00C04F40" w:rsidP="00C04F40">
      <w:pPr>
        <w:pStyle w:val="FootnoteText"/>
        <w:ind w:left="284" w:hanging="284"/>
      </w:pPr>
      <w:r w:rsidRPr="00696C54">
        <w:rPr>
          <w:rStyle w:val="FootnoteReference"/>
        </w:rPr>
        <w:footnoteRef/>
      </w:r>
      <w:r w:rsidRPr="00696C54">
        <w:t xml:space="preserve"> </w:t>
      </w:r>
      <w:r w:rsidRPr="00696C54">
        <w:tab/>
        <w:t>Steyn 2016:8.</w:t>
      </w:r>
    </w:p>
  </w:footnote>
  <w:footnote w:id="17">
    <w:p w14:paraId="3A469D08" w14:textId="73A734F8" w:rsidR="00575A4A" w:rsidRPr="00696C54" w:rsidRDefault="00575A4A" w:rsidP="002E7091">
      <w:pPr>
        <w:pStyle w:val="FootnoteText"/>
        <w:ind w:left="284" w:hanging="284"/>
        <w:rPr>
          <w:lang w:val="en-US"/>
        </w:rPr>
      </w:pPr>
      <w:r w:rsidRPr="00696C54">
        <w:rPr>
          <w:rStyle w:val="FootnoteReference"/>
        </w:rPr>
        <w:footnoteRef/>
      </w:r>
      <w:r w:rsidRPr="00696C54">
        <w:t xml:space="preserve"> </w:t>
      </w:r>
      <w:r w:rsidR="002E7091" w:rsidRPr="00696C54">
        <w:tab/>
      </w:r>
      <w:r w:rsidRPr="00696C54">
        <w:rPr>
          <w:lang w:val="en-US"/>
        </w:rPr>
        <w:t xml:space="preserve">See </w:t>
      </w:r>
      <w:r w:rsidR="00696C54" w:rsidRPr="00696C54">
        <w:rPr>
          <w:lang w:val="en-US"/>
        </w:rPr>
        <w:t>Chapter II below</w:t>
      </w:r>
      <w:r w:rsidRPr="00696C54">
        <w:rPr>
          <w:lang w:val="en-US"/>
        </w:rPr>
        <w:t>.</w:t>
      </w:r>
    </w:p>
  </w:footnote>
  <w:footnote w:id="18">
    <w:p w14:paraId="508EC1FD" w14:textId="77777777" w:rsidR="00720CEA" w:rsidRPr="00E81804" w:rsidRDefault="00720CEA" w:rsidP="00720CEA">
      <w:pPr>
        <w:pStyle w:val="FootnoteText"/>
        <w:tabs>
          <w:tab w:val="left" w:pos="284"/>
        </w:tabs>
        <w:ind w:left="284" w:hanging="284"/>
      </w:pPr>
      <w:r w:rsidRPr="00E81804">
        <w:rPr>
          <w:rStyle w:val="FootnoteReference"/>
        </w:rPr>
        <w:footnoteRef/>
      </w:r>
      <w:r w:rsidRPr="00E81804">
        <w:t xml:space="preserve"> </w:t>
      </w:r>
      <w:r w:rsidRPr="00E81804">
        <w:tab/>
        <w:t>Barns &amp; Thompson 2014:123.</w:t>
      </w:r>
    </w:p>
  </w:footnote>
  <w:footnote w:id="19">
    <w:p w14:paraId="255069A8" w14:textId="431441C0" w:rsidR="00131BB8" w:rsidRPr="007072F4" w:rsidRDefault="00131BB8" w:rsidP="00C34113">
      <w:pPr>
        <w:pStyle w:val="FootnoteText"/>
        <w:ind w:left="284" w:hanging="284"/>
      </w:pPr>
      <w:r>
        <w:rPr>
          <w:rStyle w:val="FootnoteReference"/>
        </w:rPr>
        <w:footnoteRef/>
      </w:r>
      <w:r>
        <w:t xml:space="preserve"> </w:t>
      </w:r>
      <w:r w:rsidR="00C34113">
        <w:tab/>
      </w:r>
      <w:r w:rsidR="007072F4">
        <w:rPr>
          <w:i/>
          <w:iCs/>
        </w:rPr>
        <w:t>Leeb &amp; Another v Leeb &amp; Another</w:t>
      </w:r>
      <w:r w:rsidR="007072F4">
        <w:t xml:space="preserve"> 1992 2 All SA 588 (N):</w:t>
      </w:r>
      <w:r w:rsidR="00511481">
        <w:t>59</w:t>
      </w:r>
      <w:r w:rsidR="00517E47">
        <w:t>2</w:t>
      </w:r>
      <w:r w:rsidR="00511481">
        <w:t>.</w:t>
      </w:r>
    </w:p>
  </w:footnote>
  <w:footnote w:id="20">
    <w:p w14:paraId="198648B2" w14:textId="77777777" w:rsidR="00865273" w:rsidRPr="00CA7D0E" w:rsidRDefault="00865273" w:rsidP="001D5A0C">
      <w:pPr>
        <w:pStyle w:val="FootnoteText"/>
        <w:tabs>
          <w:tab w:val="left" w:pos="284"/>
        </w:tabs>
        <w:ind w:left="284" w:hanging="284"/>
      </w:pPr>
      <w:r>
        <w:rPr>
          <w:rStyle w:val="FootnoteReference"/>
        </w:rPr>
        <w:footnoteRef/>
      </w:r>
      <w:r>
        <w:t xml:space="preserve"> </w:t>
      </w:r>
      <w:r>
        <w:tab/>
      </w:r>
      <w:r>
        <w:rPr>
          <w:i/>
          <w:iCs/>
        </w:rPr>
        <w:t>The Constitution of the Republic of South Africa</w:t>
      </w:r>
      <w:r>
        <w:t>, 1996:sec. 11.</w:t>
      </w:r>
    </w:p>
  </w:footnote>
  <w:footnote w:id="21">
    <w:p w14:paraId="2A3D6E1B" w14:textId="78DDFA81" w:rsidR="00AF617A" w:rsidRDefault="00AF617A" w:rsidP="001D5A0C">
      <w:pPr>
        <w:pStyle w:val="FootnoteText"/>
        <w:tabs>
          <w:tab w:val="left" w:pos="284"/>
        </w:tabs>
        <w:ind w:left="284" w:hanging="284"/>
      </w:pPr>
      <w:r>
        <w:rPr>
          <w:rStyle w:val="FootnoteReference"/>
        </w:rPr>
        <w:footnoteRef/>
      </w:r>
      <w:r>
        <w:t xml:space="preserve"> </w:t>
      </w:r>
      <w:r w:rsidR="00490019">
        <w:tab/>
      </w:r>
      <w:r>
        <w:rPr>
          <w:lang w:val="en-GB"/>
        </w:rPr>
        <w:t>Schoeman-Malan 2013:125.</w:t>
      </w:r>
    </w:p>
  </w:footnote>
  <w:footnote w:id="22">
    <w:p w14:paraId="1D46DF87" w14:textId="37F44CCD" w:rsidR="00490019" w:rsidRDefault="00490019" w:rsidP="001D5A0C">
      <w:pPr>
        <w:pStyle w:val="FootnoteText"/>
        <w:tabs>
          <w:tab w:val="left" w:pos="284"/>
        </w:tabs>
        <w:ind w:left="284" w:hanging="284"/>
      </w:pPr>
      <w:r>
        <w:rPr>
          <w:rStyle w:val="FootnoteReference"/>
        </w:rPr>
        <w:footnoteRef/>
      </w:r>
      <w:r>
        <w:t xml:space="preserve"> </w:t>
      </w:r>
      <w:r>
        <w:tab/>
        <w:t xml:space="preserve">Unless the contrary clear from the context, the masculine shall include the feminine and </w:t>
      </w:r>
      <w:r>
        <w:rPr>
          <w:i/>
          <w:iCs/>
        </w:rPr>
        <w:t>vice versa</w:t>
      </w:r>
      <w:r>
        <w:t xml:space="preserve">. </w:t>
      </w:r>
    </w:p>
  </w:footnote>
  <w:footnote w:id="23">
    <w:p w14:paraId="50252EBB" w14:textId="77777777" w:rsidR="00AB581E" w:rsidRDefault="00AB581E" w:rsidP="001D5A0C">
      <w:pPr>
        <w:pStyle w:val="FootnoteText"/>
        <w:tabs>
          <w:tab w:val="left" w:pos="284"/>
        </w:tabs>
        <w:ind w:left="284" w:hanging="284"/>
        <w:rPr>
          <w:lang w:val="en-GB"/>
        </w:rPr>
      </w:pPr>
      <w:r>
        <w:rPr>
          <w:rStyle w:val="FootnoteReference"/>
        </w:rPr>
        <w:footnoteRef/>
      </w:r>
      <w:r>
        <w:t xml:space="preserve"> </w:t>
      </w:r>
      <w:r>
        <w:tab/>
      </w:r>
      <w:r>
        <w:rPr>
          <w:lang w:val="en-GB"/>
        </w:rPr>
        <w:t>Schoeman-Malan 2013:114.</w:t>
      </w:r>
    </w:p>
  </w:footnote>
  <w:footnote w:id="24">
    <w:p w14:paraId="75EC52CD" w14:textId="556556B7" w:rsidR="00865273" w:rsidRPr="00D05326" w:rsidRDefault="00865273" w:rsidP="001D5A0C">
      <w:pPr>
        <w:pStyle w:val="FootnoteText"/>
        <w:tabs>
          <w:tab w:val="left" w:pos="284"/>
        </w:tabs>
        <w:ind w:left="284" w:hanging="284"/>
        <w:rPr>
          <w:lang w:val="en-US"/>
        </w:rPr>
      </w:pPr>
      <w:r>
        <w:rPr>
          <w:rStyle w:val="FootnoteReference"/>
        </w:rPr>
        <w:footnoteRef/>
      </w:r>
      <w:r>
        <w:t xml:space="preserve"> </w:t>
      </w:r>
      <w:r>
        <w:tab/>
      </w:r>
      <w:r w:rsidR="001D5A0C">
        <w:rPr>
          <w:lang w:val="en-GB"/>
        </w:rPr>
        <w:t xml:space="preserve">Hofmeyr &amp; Paleker 2023:141; </w:t>
      </w:r>
      <w:r>
        <w:rPr>
          <w:lang w:val="en-US"/>
        </w:rPr>
        <w:t xml:space="preserve">Schoeman-Malan 2013:117; </w:t>
      </w:r>
      <w:r>
        <w:rPr>
          <w:lang w:val="en-GB"/>
        </w:rPr>
        <w:t>Du Toit 2012:138.</w:t>
      </w:r>
    </w:p>
  </w:footnote>
  <w:footnote w:id="25">
    <w:p w14:paraId="2506E787" w14:textId="403FFADB" w:rsidR="00B9749F" w:rsidRPr="0096631F" w:rsidRDefault="00B9749F" w:rsidP="001D5A0C">
      <w:pPr>
        <w:pStyle w:val="FootnoteText"/>
        <w:tabs>
          <w:tab w:val="left" w:pos="284"/>
        </w:tabs>
        <w:ind w:left="284" w:hanging="284"/>
      </w:pPr>
      <w:r w:rsidRPr="0096631F">
        <w:rPr>
          <w:rStyle w:val="FootnoteReference"/>
        </w:rPr>
        <w:footnoteRef/>
      </w:r>
      <w:r w:rsidRPr="0096631F">
        <w:t xml:space="preserve"> </w:t>
      </w:r>
      <w:r w:rsidRPr="0096631F">
        <w:tab/>
        <w:t>Sonnekus 2023:182</w:t>
      </w:r>
      <w:r w:rsidR="00E30EF0">
        <w:t>.</w:t>
      </w:r>
    </w:p>
  </w:footnote>
  <w:footnote w:id="26">
    <w:p w14:paraId="14ECE13D" w14:textId="77777777" w:rsidR="00B9749F" w:rsidRPr="009D33DB" w:rsidRDefault="00B9749F" w:rsidP="001D5A0C">
      <w:pPr>
        <w:pStyle w:val="FootnoteText"/>
        <w:tabs>
          <w:tab w:val="left" w:pos="284"/>
        </w:tabs>
        <w:ind w:left="284" w:hanging="284"/>
      </w:pPr>
      <w:r w:rsidRPr="00FC19F4">
        <w:rPr>
          <w:rStyle w:val="FootnoteReference"/>
        </w:rPr>
        <w:footnoteRef/>
      </w:r>
      <w:r w:rsidRPr="00FC19F4">
        <w:t xml:space="preserve"> </w:t>
      </w:r>
      <w:r w:rsidRPr="00FC19F4">
        <w:tab/>
        <w:t xml:space="preserve">Sonnekus </w:t>
      </w:r>
      <w:r>
        <w:t>2010:175.</w:t>
      </w:r>
    </w:p>
  </w:footnote>
  <w:footnote w:id="27">
    <w:p w14:paraId="08E5C20D" w14:textId="77777777" w:rsidR="007A31D8" w:rsidRDefault="007A31D8" w:rsidP="001D5A0C">
      <w:pPr>
        <w:pStyle w:val="FootnoteText"/>
        <w:tabs>
          <w:tab w:val="left" w:pos="284"/>
        </w:tabs>
        <w:ind w:left="284" w:hanging="284"/>
      </w:pPr>
      <w:r>
        <w:rPr>
          <w:rStyle w:val="FootnoteReference"/>
        </w:rPr>
        <w:footnoteRef/>
      </w:r>
      <w:r>
        <w:t xml:space="preserve"> </w:t>
      </w:r>
      <w:r>
        <w:tab/>
        <w:t>Jamneck &amp; Rautenbach 2023:125.</w:t>
      </w:r>
    </w:p>
  </w:footnote>
  <w:footnote w:id="28">
    <w:p w14:paraId="5B577C8D" w14:textId="4F451B05" w:rsidR="003E690B" w:rsidRPr="008C6CD0" w:rsidRDefault="003E690B" w:rsidP="001D5A0C">
      <w:pPr>
        <w:pStyle w:val="FootnoteText"/>
        <w:tabs>
          <w:tab w:val="left" w:pos="284"/>
        </w:tabs>
        <w:ind w:left="284" w:hanging="284"/>
        <w:rPr>
          <w:lang w:val="en-GB"/>
        </w:rPr>
      </w:pPr>
      <w:r>
        <w:rPr>
          <w:rStyle w:val="FootnoteReference"/>
        </w:rPr>
        <w:footnoteRef/>
      </w:r>
      <w:r>
        <w:t xml:space="preserve"> </w:t>
      </w:r>
      <w:r w:rsidR="002E7091">
        <w:tab/>
      </w:r>
      <w:r>
        <w:rPr>
          <w:lang w:val="en-GB"/>
        </w:rPr>
        <w:t>Jamneck &amp; Rautenbach 2023:136.</w:t>
      </w:r>
    </w:p>
  </w:footnote>
  <w:footnote w:id="29">
    <w:p w14:paraId="719AEF8D" w14:textId="77777777" w:rsidR="00701AB6" w:rsidRDefault="00701AB6" w:rsidP="001D5A0C">
      <w:pPr>
        <w:pStyle w:val="FootnoteText"/>
        <w:tabs>
          <w:tab w:val="left" w:pos="284"/>
        </w:tabs>
        <w:ind w:left="284" w:hanging="284"/>
      </w:pPr>
      <w:r>
        <w:rPr>
          <w:rStyle w:val="FootnoteReference"/>
        </w:rPr>
        <w:footnoteRef/>
      </w:r>
      <w:r>
        <w:t xml:space="preserve"> </w:t>
      </w:r>
      <w:r>
        <w:tab/>
        <w:t>Suggested by Dr JT Faber, Senior Lecturer in the Department of Private Law at the University of the Free State, Bloemfontein campus.</w:t>
      </w:r>
    </w:p>
  </w:footnote>
  <w:footnote w:id="30">
    <w:p w14:paraId="5FE4FAB8" w14:textId="77777777" w:rsidR="00701AB6" w:rsidRDefault="00701AB6" w:rsidP="00701AB6">
      <w:pPr>
        <w:pStyle w:val="FootnoteText"/>
        <w:ind w:left="284" w:hanging="284"/>
      </w:pPr>
      <w:r>
        <w:rPr>
          <w:rStyle w:val="FootnoteReference"/>
        </w:rPr>
        <w:footnoteRef/>
      </w:r>
      <w:r>
        <w:t xml:space="preserve"> </w:t>
      </w:r>
      <w:r>
        <w:tab/>
        <w:t>Adapted from the example used by Schoeman-Malan (2013:120).</w:t>
      </w:r>
    </w:p>
  </w:footnote>
  <w:footnote w:id="31">
    <w:p w14:paraId="63A159A7" w14:textId="2E5AF383" w:rsidR="00603F04" w:rsidRPr="00FC16A4" w:rsidRDefault="00603F04" w:rsidP="00603F04">
      <w:pPr>
        <w:pStyle w:val="FootnoteText"/>
        <w:ind w:left="284" w:hanging="284"/>
        <w:rPr>
          <w:i/>
          <w:iCs/>
        </w:rPr>
      </w:pPr>
      <w:r>
        <w:rPr>
          <w:rStyle w:val="FootnoteReference"/>
        </w:rPr>
        <w:footnoteRef/>
      </w:r>
      <w:r>
        <w:t xml:space="preserve"> </w:t>
      </w:r>
      <w:r>
        <w:tab/>
        <w:t>Schoeman-Malan 2013:114.</w:t>
      </w:r>
    </w:p>
  </w:footnote>
  <w:footnote w:id="32">
    <w:p w14:paraId="218F4AA4" w14:textId="2BBC87FE" w:rsidR="0004547F" w:rsidRPr="00444B8D" w:rsidRDefault="0004547F" w:rsidP="002E7091">
      <w:pPr>
        <w:pStyle w:val="FootnoteText"/>
        <w:ind w:left="284" w:hanging="284"/>
        <w:rPr>
          <w:lang w:val="en-GB"/>
        </w:rPr>
      </w:pPr>
      <w:r>
        <w:rPr>
          <w:rStyle w:val="FootnoteReference"/>
        </w:rPr>
        <w:footnoteRef/>
      </w:r>
      <w:r>
        <w:t xml:space="preserve"> </w:t>
      </w:r>
      <w:r w:rsidR="002E7091">
        <w:tab/>
      </w:r>
      <w:r>
        <w:rPr>
          <w:lang w:val="en-GB"/>
        </w:rPr>
        <w:t>Hofmeyr</w:t>
      </w:r>
      <w:r w:rsidR="001D5A0C">
        <w:rPr>
          <w:lang w:val="en-GB"/>
        </w:rPr>
        <w:t xml:space="preserve"> </w:t>
      </w:r>
      <w:r>
        <w:rPr>
          <w:lang w:val="en-GB"/>
        </w:rPr>
        <w:t>&amp; Paleker 2023:149</w:t>
      </w:r>
      <w:r w:rsidR="00924640">
        <w:rPr>
          <w:lang w:val="en-GB"/>
        </w:rPr>
        <w:t>; De Waal 2008:1090.</w:t>
      </w:r>
    </w:p>
  </w:footnote>
  <w:footnote w:id="33">
    <w:p w14:paraId="14BFA63E" w14:textId="314C4669" w:rsidR="0004547F" w:rsidRDefault="0004547F" w:rsidP="002E7091">
      <w:pPr>
        <w:pStyle w:val="FootnoteText"/>
        <w:ind w:left="284" w:hanging="284"/>
      </w:pPr>
      <w:r>
        <w:rPr>
          <w:rStyle w:val="FootnoteReference"/>
        </w:rPr>
        <w:footnoteRef/>
      </w:r>
      <w:r>
        <w:t xml:space="preserve"> </w:t>
      </w:r>
      <w:r>
        <w:tab/>
      </w:r>
      <w:r w:rsidR="00982419">
        <w:t xml:space="preserve">See </w:t>
      </w:r>
      <w:r w:rsidR="00701AB6">
        <w:t>3.4</w:t>
      </w:r>
      <w:r w:rsidR="00982419">
        <w:t xml:space="preserve"> below.</w:t>
      </w:r>
    </w:p>
  </w:footnote>
  <w:footnote w:id="34">
    <w:p w14:paraId="6F99431D" w14:textId="723AEFF6" w:rsidR="00BB3A20" w:rsidRPr="00041902" w:rsidRDefault="00BB3A20" w:rsidP="002E7091">
      <w:pPr>
        <w:pStyle w:val="FootnoteText"/>
        <w:ind w:left="284" w:hanging="284"/>
        <w:rPr>
          <w:lang w:val="en-US"/>
        </w:rPr>
      </w:pPr>
      <w:r>
        <w:rPr>
          <w:rStyle w:val="FootnoteReference"/>
        </w:rPr>
        <w:footnoteRef/>
      </w:r>
      <w:r>
        <w:t xml:space="preserve"> </w:t>
      </w:r>
      <w:r w:rsidR="002E7091">
        <w:tab/>
      </w:r>
      <w:r w:rsidR="001D5A0C">
        <w:rPr>
          <w:i/>
          <w:iCs/>
          <w:lang w:val="en-US"/>
        </w:rPr>
        <w:t>Leeb &amp; Another v Leeb &amp; Another</w:t>
      </w:r>
      <w:r w:rsidR="001D5A0C">
        <w:rPr>
          <w:lang w:val="en-US"/>
        </w:rPr>
        <w:t xml:space="preserve"> 1992 2 All SA 588 (N):596; </w:t>
      </w:r>
      <w:r>
        <w:rPr>
          <w:lang w:val="en-US"/>
        </w:rPr>
        <w:t>Malherbe 2016:33</w:t>
      </w:r>
      <w:r w:rsidR="00D12029">
        <w:rPr>
          <w:lang w:val="en-US"/>
        </w:rPr>
        <w:t>.</w:t>
      </w:r>
    </w:p>
  </w:footnote>
  <w:footnote w:id="35">
    <w:p w14:paraId="622969E5" w14:textId="16556AC9" w:rsidR="000405A0" w:rsidRDefault="000405A0" w:rsidP="000405A0">
      <w:pPr>
        <w:pStyle w:val="FootnoteText"/>
        <w:ind w:left="284" w:hanging="284"/>
      </w:pPr>
      <w:r>
        <w:rPr>
          <w:rStyle w:val="FootnoteReference"/>
        </w:rPr>
        <w:footnoteRef/>
      </w:r>
      <w:r>
        <w:t xml:space="preserve"> </w:t>
      </w:r>
      <w:r>
        <w:tab/>
      </w:r>
      <w:r w:rsidR="006A453D">
        <w:t xml:space="preserve">Jamneck &amp; Rautenbach 2023:126-127; </w:t>
      </w:r>
      <w:r>
        <w:rPr>
          <w:i/>
          <w:iCs/>
        </w:rPr>
        <w:t xml:space="preserve">Groenewald NO and Another v Swanepoel </w:t>
      </w:r>
      <w:r w:rsidRPr="00244880">
        <w:t>2002 6 SA 724 (E):</w:t>
      </w:r>
      <w:r w:rsidR="006A453D">
        <w:t xml:space="preserve"> </w:t>
      </w:r>
      <w:r w:rsidRPr="00244880">
        <w:t>728</w:t>
      </w:r>
      <w:r>
        <w:t>F;</w:t>
      </w:r>
      <w:r w:rsidR="006A453D" w:rsidRPr="006A453D">
        <w:rPr>
          <w:i/>
          <w:iCs/>
        </w:rPr>
        <w:t xml:space="preserve"> </w:t>
      </w:r>
      <w:r w:rsidR="006A453D" w:rsidRPr="0017222D">
        <w:rPr>
          <w:i/>
          <w:iCs/>
        </w:rPr>
        <w:t>Criminal Procedure Act</w:t>
      </w:r>
      <w:r w:rsidR="006A453D">
        <w:t xml:space="preserve"> 51/1977:sec. 342.</w:t>
      </w:r>
    </w:p>
  </w:footnote>
  <w:footnote w:id="36">
    <w:p w14:paraId="79BD7707" w14:textId="77777777" w:rsidR="003E690B" w:rsidRPr="00B77E60" w:rsidRDefault="003E690B" w:rsidP="002E7091">
      <w:pPr>
        <w:pStyle w:val="FootnoteText"/>
        <w:ind w:left="284" w:hanging="284"/>
      </w:pPr>
      <w:r w:rsidRPr="00B77E60">
        <w:rPr>
          <w:rStyle w:val="FootnoteReference"/>
        </w:rPr>
        <w:footnoteRef/>
      </w:r>
      <w:r w:rsidRPr="00B77E60">
        <w:t xml:space="preserve"> </w:t>
      </w:r>
      <w:r w:rsidRPr="00B77E60">
        <w:tab/>
        <w:t>Neethling &amp; Potgieter 2015:3.</w:t>
      </w:r>
    </w:p>
  </w:footnote>
  <w:footnote w:id="37">
    <w:p w14:paraId="4CCCF260" w14:textId="77777777" w:rsidR="00A23781" w:rsidRDefault="00A23781" w:rsidP="002E7091">
      <w:pPr>
        <w:pStyle w:val="FootnoteText"/>
        <w:ind w:left="284" w:hanging="284"/>
      </w:pPr>
      <w:r>
        <w:rPr>
          <w:rStyle w:val="FootnoteReference"/>
        </w:rPr>
        <w:footnoteRef/>
      </w:r>
      <w:r>
        <w:t xml:space="preserve"> </w:t>
      </w:r>
      <w:r>
        <w:tab/>
        <w:t xml:space="preserve">Corbett </w:t>
      </w:r>
      <w:r>
        <w:rPr>
          <w:i/>
          <w:iCs/>
        </w:rPr>
        <w:t>et al</w:t>
      </w:r>
      <w:r>
        <w:t>. 2020:6; Erasmus &amp; De Waal 1989:3.</w:t>
      </w:r>
    </w:p>
  </w:footnote>
  <w:footnote w:id="38">
    <w:p w14:paraId="287AACCD" w14:textId="77777777" w:rsidR="00A23781" w:rsidRDefault="00A23781" w:rsidP="002E7091">
      <w:pPr>
        <w:pStyle w:val="FootnoteText"/>
        <w:ind w:left="284" w:hanging="284"/>
      </w:pPr>
      <w:r>
        <w:rPr>
          <w:rStyle w:val="FootnoteReference"/>
        </w:rPr>
        <w:footnoteRef/>
      </w:r>
      <w:r>
        <w:t xml:space="preserve"> </w:t>
      </w:r>
      <w:r>
        <w:tab/>
        <w:t>Ahmed &amp; Steynberg 2019:185.</w:t>
      </w:r>
    </w:p>
  </w:footnote>
  <w:footnote w:id="39">
    <w:p w14:paraId="32B7549C" w14:textId="000EF28F" w:rsidR="00382A35" w:rsidRPr="00382A35" w:rsidRDefault="00382A35" w:rsidP="002E7091">
      <w:pPr>
        <w:pStyle w:val="FootnoteText"/>
        <w:ind w:left="284" w:hanging="284"/>
        <w:rPr>
          <w:lang w:val="en-GB"/>
        </w:rPr>
      </w:pPr>
      <w:r>
        <w:rPr>
          <w:rStyle w:val="FootnoteReference"/>
        </w:rPr>
        <w:footnoteRef/>
      </w:r>
      <w:r>
        <w:t xml:space="preserve"> </w:t>
      </w:r>
      <w:r w:rsidR="002E7091">
        <w:tab/>
      </w:r>
      <w:r w:rsidR="006A453D">
        <w:t xml:space="preserve">Schoeman-Malan 2013:121; </w:t>
      </w:r>
      <w:r w:rsidR="001D0B73">
        <w:rPr>
          <w:lang w:val="en-GB"/>
        </w:rPr>
        <w:t>Steyn</w:t>
      </w:r>
      <w:r>
        <w:rPr>
          <w:lang w:val="en-GB"/>
        </w:rPr>
        <w:t xml:space="preserve"> 2016:50</w:t>
      </w:r>
      <w:r w:rsidR="00BF16B5">
        <w:t>.</w:t>
      </w:r>
    </w:p>
  </w:footnote>
  <w:footnote w:id="40">
    <w:p w14:paraId="2CD855FC" w14:textId="56F1C5E0" w:rsidR="00696F22" w:rsidRPr="006D0748" w:rsidRDefault="00696F22" w:rsidP="00F03051">
      <w:pPr>
        <w:pStyle w:val="FootnoteText"/>
        <w:ind w:left="284" w:hanging="284"/>
      </w:pPr>
      <w:r>
        <w:rPr>
          <w:rStyle w:val="FootnoteReference"/>
        </w:rPr>
        <w:footnoteRef/>
      </w:r>
      <w:r>
        <w:t xml:space="preserve"> </w:t>
      </w:r>
      <w:r w:rsidR="00F03051">
        <w:tab/>
      </w:r>
      <w:r>
        <w:t xml:space="preserve">The </w:t>
      </w:r>
      <w:r w:rsidRPr="006D0748">
        <w:t>use of this term also includes legatees</w:t>
      </w:r>
      <w:r w:rsidR="00207C3F" w:rsidRPr="006D0748">
        <w:t>, where relevant.</w:t>
      </w:r>
    </w:p>
  </w:footnote>
  <w:footnote w:id="41">
    <w:p w14:paraId="350F0751" w14:textId="10745E40" w:rsidR="00FB63BC" w:rsidRPr="006D0748" w:rsidRDefault="00FB63BC" w:rsidP="002E7091">
      <w:pPr>
        <w:pStyle w:val="FootnoteText"/>
        <w:ind w:left="284" w:hanging="284"/>
        <w:rPr>
          <w:lang w:val="en-GB"/>
        </w:rPr>
      </w:pPr>
      <w:r w:rsidRPr="006D0748">
        <w:rPr>
          <w:rStyle w:val="FootnoteReference"/>
        </w:rPr>
        <w:footnoteRef/>
      </w:r>
      <w:r w:rsidRPr="006D0748">
        <w:t xml:space="preserve"> </w:t>
      </w:r>
      <w:r w:rsidR="002E7091" w:rsidRPr="006D0748">
        <w:tab/>
      </w:r>
      <w:r w:rsidRPr="006D0748">
        <w:t>Jamneck &amp;</w:t>
      </w:r>
      <w:r w:rsidR="00A416EC">
        <w:t xml:space="preserve"> </w:t>
      </w:r>
      <w:r w:rsidRPr="006D0748">
        <w:t>Rautenbach 2023:119</w:t>
      </w:r>
      <w:r w:rsidR="00101094">
        <w:t>;</w:t>
      </w:r>
      <w:r w:rsidRPr="006D0748">
        <w:t xml:space="preserve"> Hofmeyr &amp; Paleker 2023:137; De Waal &amp; Schoeman-Malan 2015:110</w:t>
      </w:r>
      <w:r w:rsidR="00101094">
        <w:t>,</w:t>
      </w:r>
      <w:r w:rsidR="00F37F99" w:rsidRPr="006D0748">
        <w:t xml:space="preserve"> </w:t>
      </w:r>
      <w:r w:rsidRPr="006D0748">
        <w:t>115.</w:t>
      </w:r>
    </w:p>
  </w:footnote>
  <w:footnote w:id="42">
    <w:p w14:paraId="6DADC988" w14:textId="302BCCD8" w:rsidR="00FB63BC" w:rsidRPr="00FB63BC" w:rsidRDefault="00FB63BC" w:rsidP="002E7091">
      <w:pPr>
        <w:pStyle w:val="FootnoteText"/>
        <w:ind w:left="284" w:hanging="284"/>
        <w:rPr>
          <w:lang w:val="en-GB"/>
        </w:rPr>
      </w:pPr>
      <w:r w:rsidRPr="006D0748">
        <w:rPr>
          <w:rStyle w:val="FootnoteReference"/>
        </w:rPr>
        <w:footnoteRef/>
      </w:r>
      <w:r w:rsidRPr="006D0748">
        <w:t xml:space="preserve"> </w:t>
      </w:r>
      <w:r w:rsidR="002E7091" w:rsidRPr="006D0748">
        <w:tab/>
      </w:r>
      <w:r w:rsidRPr="006D0748">
        <w:rPr>
          <w:lang w:val="en-GB"/>
        </w:rPr>
        <w:t>See 1.</w:t>
      </w:r>
      <w:r w:rsidR="006D0748" w:rsidRPr="006D0748">
        <w:rPr>
          <w:lang w:val="en-GB"/>
        </w:rPr>
        <w:t>2</w:t>
      </w:r>
      <w:r w:rsidRPr="006D0748">
        <w:rPr>
          <w:lang w:val="en-GB"/>
        </w:rPr>
        <w:t xml:space="preserve"> above</w:t>
      </w:r>
      <w:r w:rsidR="006D0748" w:rsidRPr="006D0748">
        <w:rPr>
          <w:lang w:val="en-GB"/>
        </w:rPr>
        <w:t xml:space="preserve"> and Chapter</w:t>
      </w:r>
      <w:r w:rsidR="006D0748">
        <w:rPr>
          <w:lang w:val="en-GB"/>
        </w:rPr>
        <w:t xml:space="preserve"> II below</w:t>
      </w:r>
      <w:r>
        <w:rPr>
          <w:lang w:val="en-GB"/>
        </w:rPr>
        <w:t>.</w:t>
      </w:r>
    </w:p>
  </w:footnote>
  <w:footnote w:id="43">
    <w:p w14:paraId="03D6C9B0" w14:textId="706F5DB9" w:rsidR="00F3654D" w:rsidRPr="00F3654D" w:rsidRDefault="00F3654D" w:rsidP="002E7091">
      <w:pPr>
        <w:pStyle w:val="FootnoteText"/>
        <w:ind w:left="284" w:hanging="284"/>
        <w:rPr>
          <w:lang w:val="en-GB"/>
        </w:rPr>
      </w:pPr>
      <w:r>
        <w:rPr>
          <w:rStyle w:val="FootnoteReference"/>
        </w:rPr>
        <w:footnoteRef/>
      </w:r>
      <w:r>
        <w:t xml:space="preserve"> </w:t>
      </w:r>
      <w:r w:rsidR="002E7091">
        <w:tab/>
      </w:r>
      <w:r>
        <w:rPr>
          <w:lang w:val="en-GB"/>
        </w:rPr>
        <w:t>A maxim is said to be a “succinct expression of a legal principle”. See Thirion 2013:46.</w:t>
      </w:r>
    </w:p>
  </w:footnote>
  <w:footnote w:id="44">
    <w:p w14:paraId="6072B55F" w14:textId="77777777" w:rsidR="00DD4BA0" w:rsidRPr="0096631F" w:rsidRDefault="00DD4BA0" w:rsidP="002E7091">
      <w:pPr>
        <w:pStyle w:val="FootnoteText"/>
        <w:ind w:left="284" w:hanging="284"/>
      </w:pPr>
      <w:r w:rsidRPr="0096631F">
        <w:rPr>
          <w:rStyle w:val="FootnoteReference"/>
        </w:rPr>
        <w:footnoteRef/>
      </w:r>
      <w:r w:rsidRPr="0096631F">
        <w:t xml:space="preserve"> </w:t>
      </w:r>
      <w:r w:rsidRPr="0096631F">
        <w:tab/>
        <w:t>Sonnekus 2023:182.</w:t>
      </w:r>
    </w:p>
  </w:footnote>
  <w:footnote w:id="45">
    <w:p w14:paraId="2BA4F83F" w14:textId="77777777" w:rsidR="00DD4BA0" w:rsidRPr="00312AE9" w:rsidRDefault="00DD4BA0" w:rsidP="002E7091">
      <w:pPr>
        <w:pStyle w:val="FootnoteText"/>
        <w:ind w:left="284" w:hanging="284"/>
      </w:pPr>
      <w:r>
        <w:rPr>
          <w:rStyle w:val="FootnoteReference"/>
        </w:rPr>
        <w:footnoteRef/>
      </w:r>
      <w:r>
        <w:t xml:space="preserve"> </w:t>
      </w:r>
      <w:r>
        <w:tab/>
      </w:r>
      <w:r w:rsidRPr="00312AE9">
        <w:rPr>
          <w:lang w:val="en-GB"/>
        </w:rPr>
        <w:t>Barns &amp; Thompson 2014:124</w:t>
      </w:r>
      <w:r>
        <w:rPr>
          <w:lang w:val="en-GB"/>
        </w:rPr>
        <w:t xml:space="preserve">; </w:t>
      </w:r>
      <w:r w:rsidRPr="00312AE9">
        <w:t>Field 2013:72</w:t>
      </w:r>
      <w:r>
        <w:t>.</w:t>
      </w:r>
    </w:p>
  </w:footnote>
  <w:footnote w:id="46">
    <w:p w14:paraId="70AD3842" w14:textId="2BCE6788" w:rsidR="00811CAE" w:rsidRDefault="00811CAE" w:rsidP="002E7091">
      <w:pPr>
        <w:pStyle w:val="FootnoteText"/>
        <w:ind w:left="284" w:hanging="284"/>
      </w:pPr>
      <w:r>
        <w:rPr>
          <w:rStyle w:val="FootnoteReference"/>
        </w:rPr>
        <w:footnoteRef/>
      </w:r>
      <w:r>
        <w:t xml:space="preserve"> </w:t>
      </w:r>
      <w:r w:rsidR="002E7091">
        <w:tab/>
      </w:r>
      <w:r w:rsidRPr="00E91EB8">
        <w:rPr>
          <w:rFonts w:cs="Arial"/>
          <w:i/>
          <w:iCs/>
          <w:szCs w:val="24"/>
        </w:rPr>
        <w:t>Taylor v Pim</w:t>
      </w:r>
      <w:r>
        <w:rPr>
          <w:rFonts w:cs="Arial"/>
          <w:i/>
          <w:iCs/>
          <w:szCs w:val="24"/>
        </w:rPr>
        <w:t xml:space="preserve"> </w:t>
      </w:r>
      <w:r>
        <w:rPr>
          <w:rFonts w:cs="Arial"/>
          <w:szCs w:val="24"/>
        </w:rPr>
        <w:t>1903 24 NLR 484:494.</w:t>
      </w:r>
    </w:p>
  </w:footnote>
  <w:footnote w:id="47">
    <w:p w14:paraId="58D44F31" w14:textId="28669889" w:rsidR="00D373D6" w:rsidRDefault="00D373D6" w:rsidP="002E7091">
      <w:pPr>
        <w:pStyle w:val="FootnoteText"/>
        <w:ind w:left="284" w:hanging="284"/>
      </w:pPr>
      <w:r>
        <w:rPr>
          <w:rStyle w:val="FootnoteReference"/>
        </w:rPr>
        <w:footnoteRef/>
      </w:r>
      <w:r>
        <w:t xml:space="preserve"> </w:t>
      </w:r>
      <w:r w:rsidR="002E7091">
        <w:tab/>
      </w:r>
      <w:r w:rsidRPr="00E81804">
        <w:t xml:space="preserve">De Waal </w:t>
      </w:r>
      <w:r>
        <w:t>&amp;</w:t>
      </w:r>
      <w:r w:rsidRPr="00E81804">
        <w:t xml:space="preserve"> Schoeman-Malan 2015:117.</w:t>
      </w:r>
    </w:p>
  </w:footnote>
  <w:footnote w:id="48">
    <w:p w14:paraId="350ADCB3" w14:textId="5FBA454C" w:rsidR="00AD6016" w:rsidRPr="00954FCD" w:rsidRDefault="00AD6016" w:rsidP="002E7091">
      <w:pPr>
        <w:pStyle w:val="FootnoteText"/>
        <w:tabs>
          <w:tab w:val="left" w:pos="284"/>
        </w:tabs>
        <w:ind w:left="284" w:hanging="284"/>
      </w:pPr>
      <w:r>
        <w:rPr>
          <w:rStyle w:val="FootnoteReference"/>
        </w:rPr>
        <w:footnoteRef/>
      </w:r>
      <w:r>
        <w:t xml:space="preserve"> </w:t>
      </w:r>
      <w:r>
        <w:tab/>
      </w:r>
      <w:r>
        <w:rPr>
          <w:i/>
          <w:iCs/>
        </w:rPr>
        <w:t xml:space="preserve">Pillay </w:t>
      </w:r>
      <w:r w:rsidR="00A416EC">
        <w:rPr>
          <w:i/>
          <w:iCs/>
        </w:rPr>
        <w:t>&amp;</w:t>
      </w:r>
      <w:r>
        <w:rPr>
          <w:i/>
          <w:iCs/>
        </w:rPr>
        <w:t xml:space="preserve"> others v Nagan </w:t>
      </w:r>
      <w:r w:rsidR="00A416EC">
        <w:rPr>
          <w:i/>
          <w:iCs/>
        </w:rPr>
        <w:t xml:space="preserve">&amp; </w:t>
      </w:r>
      <w:r>
        <w:rPr>
          <w:i/>
          <w:iCs/>
        </w:rPr>
        <w:t xml:space="preserve">others </w:t>
      </w:r>
      <w:r w:rsidRPr="00410C95">
        <w:t>2001 1 SA 410 (D).</w:t>
      </w:r>
    </w:p>
  </w:footnote>
  <w:footnote w:id="49">
    <w:p w14:paraId="7CC17F76" w14:textId="02F6883B" w:rsidR="00AD6016" w:rsidRDefault="00AD6016" w:rsidP="002E7091">
      <w:pPr>
        <w:pStyle w:val="FootnoteText"/>
        <w:ind w:left="284" w:hanging="284"/>
      </w:pPr>
      <w:r>
        <w:rPr>
          <w:rStyle w:val="FootnoteReference"/>
        </w:rPr>
        <w:footnoteRef/>
      </w:r>
      <w:r>
        <w:t xml:space="preserve"> </w:t>
      </w:r>
      <w:r w:rsidR="002E7091">
        <w:tab/>
      </w:r>
      <w:r w:rsidR="000C0F7D">
        <w:t>Steyn 2016:8.</w:t>
      </w:r>
    </w:p>
  </w:footnote>
  <w:footnote w:id="50">
    <w:p w14:paraId="6434146B" w14:textId="77777777" w:rsidR="00E61D67" w:rsidRPr="00E81804" w:rsidRDefault="00E61D67" w:rsidP="002E7091">
      <w:pPr>
        <w:pStyle w:val="FootnoteText"/>
        <w:tabs>
          <w:tab w:val="left" w:pos="284"/>
        </w:tabs>
        <w:ind w:left="284" w:hanging="284"/>
      </w:pPr>
      <w:r w:rsidRPr="00E81804">
        <w:rPr>
          <w:rStyle w:val="FootnoteReference"/>
        </w:rPr>
        <w:footnoteRef/>
      </w:r>
      <w:r w:rsidRPr="00E81804">
        <w:t xml:space="preserve"> </w:t>
      </w:r>
      <w:r w:rsidRPr="00E81804">
        <w:tab/>
        <w:t>Van Niekerk 2009:129.</w:t>
      </w:r>
    </w:p>
  </w:footnote>
  <w:footnote w:id="51">
    <w:p w14:paraId="0FE04DC3" w14:textId="7643135C" w:rsidR="00AC6D04" w:rsidRPr="00AC6D04" w:rsidRDefault="00AC6D04" w:rsidP="002E7091">
      <w:pPr>
        <w:pStyle w:val="FootnoteText"/>
        <w:ind w:left="284" w:hanging="284"/>
        <w:rPr>
          <w:lang w:val="en-GB"/>
        </w:rPr>
      </w:pPr>
      <w:r>
        <w:rPr>
          <w:rStyle w:val="FootnoteReference"/>
        </w:rPr>
        <w:footnoteRef/>
      </w:r>
      <w:r>
        <w:t xml:space="preserve"> </w:t>
      </w:r>
      <w:r w:rsidR="002E7091">
        <w:tab/>
      </w:r>
      <w:r>
        <w:rPr>
          <w:lang w:val="en-GB"/>
        </w:rPr>
        <w:t>Thirion 2013:45</w:t>
      </w:r>
      <w:r w:rsidR="00BE6570">
        <w:rPr>
          <w:lang w:val="en-GB"/>
        </w:rPr>
        <w:t>.</w:t>
      </w:r>
    </w:p>
  </w:footnote>
  <w:footnote w:id="52">
    <w:p w14:paraId="6EA14123" w14:textId="5A8F2669" w:rsidR="00115CE2" w:rsidRDefault="00115CE2" w:rsidP="002E7091">
      <w:pPr>
        <w:pStyle w:val="FootnoteText"/>
        <w:tabs>
          <w:tab w:val="left" w:pos="284"/>
        </w:tabs>
        <w:ind w:left="284" w:hanging="284"/>
      </w:pPr>
      <w:r>
        <w:rPr>
          <w:rStyle w:val="FootnoteReference"/>
        </w:rPr>
        <w:footnoteRef/>
      </w:r>
      <w:r>
        <w:t xml:space="preserve"> </w:t>
      </w:r>
      <w:r>
        <w:tab/>
      </w:r>
      <w:r w:rsidR="00A416EC">
        <w:t xml:space="preserve">Hofmeyr &amp; Paleker 2023:140; </w:t>
      </w:r>
      <w:r w:rsidRPr="00E81804">
        <w:t xml:space="preserve">De Waal </w:t>
      </w:r>
      <w:r>
        <w:t>&amp;</w:t>
      </w:r>
      <w:r w:rsidRPr="00E81804">
        <w:t xml:space="preserve"> Schoeman-Malan 2015:115</w:t>
      </w:r>
      <w:r>
        <w:t>.</w:t>
      </w:r>
    </w:p>
  </w:footnote>
  <w:footnote w:id="53">
    <w:p w14:paraId="003B8CF0" w14:textId="1FD06AAD" w:rsidR="00143A06" w:rsidRDefault="00143A06" w:rsidP="00143A06">
      <w:pPr>
        <w:pStyle w:val="FootnoteText"/>
        <w:ind w:left="284" w:hanging="284"/>
      </w:pPr>
      <w:r>
        <w:rPr>
          <w:rStyle w:val="FootnoteReference"/>
        </w:rPr>
        <w:footnoteRef/>
      </w:r>
      <w:r>
        <w:t xml:space="preserve"> </w:t>
      </w:r>
      <w:r>
        <w:tab/>
        <w:t xml:space="preserve">For purposes of succession, an executor also qualifies as an interested person. </w:t>
      </w:r>
      <w:r w:rsidR="00101094">
        <w:t>S</w:t>
      </w:r>
      <w:r>
        <w:t xml:space="preserve">ee Williams </w:t>
      </w:r>
      <w:r w:rsidR="00C43CD8">
        <w:t xml:space="preserve">“The executor: dealing with unqualified heirs”, </w:t>
      </w:r>
      <w:r w:rsidR="00C43CD8" w:rsidRPr="00C43CD8">
        <w:t>https://www.fanews.co.za/article/magazine-archives-fanews-fanuus/60/life/1313/the-executor-dealing-with-disqualified-heirs/15952</w:t>
      </w:r>
      <w:r w:rsidR="00C43CD8">
        <w:t xml:space="preserve"> (accessed on </w:t>
      </w:r>
      <w:r w:rsidR="00804F6D">
        <w:t>8 November 2024)</w:t>
      </w:r>
      <w:r>
        <w:t>; Steyn 2016:26.</w:t>
      </w:r>
    </w:p>
  </w:footnote>
  <w:footnote w:id="54">
    <w:p w14:paraId="0491BBBF" w14:textId="2B975826" w:rsidR="00115CE2" w:rsidRPr="00CF3108" w:rsidRDefault="00115CE2" w:rsidP="002E7091">
      <w:pPr>
        <w:pStyle w:val="FootnoteText"/>
        <w:tabs>
          <w:tab w:val="left" w:pos="284"/>
        </w:tabs>
        <w:ind w:left="284" w:hanging="284"/>
      </w:pPr>
      <w:r>
        <w:rPr>
          <w:rStyle w:val="FootnoteReference"/>
        </w:rPr>
        <w:footnoteRef/>
      </w:r>
      <w:r>
        <w:t xml:space="preserve"> </w:t>
      </w:r>
      <w:r>
        <w:tab/>
        <w:t>Jamneck &amp; Rautenbach 2023:125</w:t>
      </w:r>
      <w:r w:rsidR="00A0301B">
        <w:t>; Schoeman-Malan 2013:116.</w:t>
      </w:r>
    </w:p>
  </w:footnote>
  <w:footnote w:id="55">
    <w:p w14:paraId="65DC4981" w14:textId="5757D4CE" w:rsidR="00115CE2" w:rsidRPr="006A5802" w:rsidRDefault="00115CE2" w:rsidP="002E7091">
      <w:pPr>
        <w:pStyle w:val="FootnoteText"/>
        <w:ind w:left="284" w:hanging="284"/>
        <w:rPr>
          <w:lang w:val="en-GB"/>
        </w:rPr>
      </w:pPr>
      <w:r>
        <w:rPr>
          <w:rStyle w:val="FootnoteReference"/>
        </w:rPr>
        <w:footnoteRef/>
      </w:r>
      <w:r>
        <w:t xml:space="preserve"> </w:t>
      </w:r>
      <w:r>
        <w:tab/>
        <w:t xml:space="preserve">Jamneck &amp; Rautenbach 2023:127; </w:t>
      </w:r>
      <w:r w:rsidR="00A416EC">
        <w:rPr>
          <w:rFonts w:cs="Arial"/>
          <w:szCs w:val="24"/>
        </w:rPr>
        <w:t xml:space="preserve">Schoeman-Malan 2013:132; </w:t>
      </w:r>
      <w:r w:rsidR="001D0B73">
        <w:t>Steyn</w:t>
      </w:r>
      <w:r>
        <w:t xml:space="preserve"> 2016:26</w:t>
      </w:r>
      <w:r w:rsidR="007D31B1">
        <w:rPr>
          <w:rFonts w:cs="Arial"/>
          <w:szCs w:val="24"/>
        </w:rPr>
        <w:t>.</w:t>
      </w:r>
    </w:p>
  </w:footnote>
  <w:footnote w:id="56">
    <w:p w14:paraId="0157EFB0" w14:textId="19992972" w:rsidR="00A1055D" w:rsidRPr="00044C38" w:rsidRDefault="00A1055D" w:rsidP="00A1055D">
      <w:pPr>
        <w:pStyle w:val="FootnoteText"/>
        <w:ind w:left="284" w:hanging="284"/>
        <w:rPr>
          <w:lang w:val="en-GB"/>
        </w:rPr>
      </w:pPr>
      <w:r>
        <w:rPr>
          <w:rStyle w:val="FootnoteReference"/>
        </w:rPr>
        <w:footnoteRef/>
      </w:r>
      <w:r>
        <w:t xml:space="preserve"> </w:t>
      </w:r>
      <w:r>
        <w:tab/>
        <w:t>Jamneck &amp;</w:t>
      </w:r>
      <w:r w:rsidR="00101094">
        <w:t xml:space="preserve"> </w:t>
      </w:r>
      <w:r>
        <w:t>Rautenbach 2023:119 Hofmeyr &amp; Paleker 2023:137; Sonnekus &amp; Van der Walt 1992:148.</w:t>
      </w:r>
    </w:p>
  </w:footnote>
  <w:footnote w:id="57">
    <w:p w14:paraId="2592E9C9" w14:textId="77777777" w:rsidR="00A1055D" w:rsidRPr="00E81804" w:rsidRDefault="00A1055D" w:rsidP="00A416EC">
      <w:pPr>
        <w:pStyle w:val="FootnoteText"/>
        <w:ind w:left="284" w:hanging="284"/>
      </w:pPr>
      <w:r w:rsidRPr="00E81804">
        <w:rPr>
          <w:rStyle w:val="FootnoteReference"/>
        </w:rPr>
        <w:footnoteRef/>
      </w:r>
      <w:r w:rsidRPr="00E81804">
        <w:t xml:space="preserve"> </w:t>
      </w:r>
      <w:r w:rsidRPr="00E81804">
        <w:tab/>
        <w:t xml:space="preserve">De Waal </w:t>
      </w:r>
      <w:r>
        <w:t>&amp;</w:t>
      </w:r>
      <w:r w:rsidRPr="00E81804">
        <w:t xml:space="preserve"> Schoeman-Malan 2015:115.</w:t>
      </w:r>
    </w:p>
  </w:footnote>
  <w:footnote w:id="58">
    <w:p w14:paraId="203E75DE" w14:textId="7DAC4BE8" w:rsidR="00101094" w:rsidRDefault="00101094" w:rsidP="00A416EC">
      <w:pPr>
        <w:pStyle w:val="FootnoteText"/>
        <w:ind w:left="284" w:hanging="284"/>
      </w:pPr>
      <w:r>
        <w:rPr>
          <w:rStyle w:val="FootnoteReference"/>
        </w:rPr>
        <w:footnoteRef/>
      </w:r>
      <w:r>
        <w:t xml:space="preserve"> </w:t>
      </w:r>
      <w:r>
        <w:tab/>
        <w:t>Schoeman-Malan 2013:122,</w:t>
      </w:r>
      <w:r w:rsidR="00477BFA">
        <w:t xml:space="preserve"> </w:t>
      </w:r>
      <w:r>
        <w:t>141.</w:t>
      </w:r>
    </w:p>
  </w:footnote>
  <w:footnote w:id="59">
    <w:p w14:paraId="0E6CC07F" w14:textId="5F8BC4B1" w:rsidR="00A1055D" w:rsidRDefault="00A1055D" w:rsidP="00A416EC">
      <w:pPr>
        <w:pStyle w:val="FootnoteText"/>
        <w:ind w:left="284" w:hanging="284"/>
      </w:pPr>
      <w:r>
        <w:rPr>
          <w:rStyle w:val="FootnoteReference"/>
        </w:rPr>
        <w:footnoteRef/>
      </w:r>
      <w:r>
        <w:t xml:space="preserve"> </w:t>
      </w:r>
      <w:r w:rsidR="00A416EC">
        <w:tab/>
      </w:r>
      <w:r>
        <w:rPr>
          <w:rFonts w:cs="Arial"/>
          <w:szCs w:val="24"/>
        </w:rPr>
        <w:t>Schoeman-Malan 2013:129.</w:t>
      </w:r>
    </w:p>
  </w:footnote>
  <w:footnote w:id="60">
    <w:p w14:paraId="7D21875F" w14:textId="10059CAF" w:rsidR="00A1055D" w:rsidRDefault="00A1055D" w:rsidP="00A416EC">
      <w:pPr>
        <w:pStyle w:val="FootnoteText"/>
        <w:ind w:left="284" w:hanging="284"/>
      </w:pPr>
      <w:r>
        <w:rPr>
          <w:rStyle w:val="FootnoteReference"/>
        </w:rPr>
        <w:footnoteRef/>
      </w:r>
      <w:r>
        <w:t xml:space="preserve"> </w:t>
      </w:r>
      <w:r w:rsidR="00A416EC">
        <w:tab/>
      </w:r>
      <w:r>
        <w:rPr>
          <w:rFonts w:cs="Arial"/>
          <w:szCs w:val="24"/>
        </w:rPr>
        <w:t>Schoeman-Malan 2013:133.</w:t>
      </w:r>
    </w:p>
  </w:footnote>
  <w:footnote w:id="61">
    <w:p w14:paraId="688DCC25" w14:textId="77777777" w:rsidR="00A1055D" w:rsidRPr="00E81804" w:rsidRDefault="00A1055D" w:rsidP="00A416EC">
      <w:pPr>
        <w:pStyle w:val="FootnoteText"/>
        <w:ind w:left="284" w:hanging="284"/>
      </w:pPr>
      <w:r w:rsidRPr="00E81804">
        <w:rPr>
          <w:rStyle w:val="FootnoteReference"/>
        </w:rPr>
        <w:footnoteRef/>
      </w:r>
      <w:r w:rsidRPr="00E81804">
        <w:t xml:space="preserve"> </w:t>
      </w:r>
      <w:r w:rsidRPr="00E81804">
        <w:tab/>
        <w:t xml:space="preserve">De Waal </w:t>
      </w:r>
      <w:r>
        <w:t>&amp;</w:t>
      </w:r>
      <w:r w:rsidRPr="00E81804">
        <w:t xml:space="preserve"> Schoeman-Malan 2015:117.</w:t>
      </w:r>
    </w:p>
  </w:footnote>
  <w:footnote w:id="62">
    <w:p w14:paraId="22DD970D" w14:textId="77777777" w:rsidR="00A1055D" w:rsidRPr="00E81804" w:rsidRDefault="00A1055D" w:rsidP="00A416EC">
      <w:pPr>
        <w:pStyle w:val="FootnoteText"/>
        <w:tabs>
          <w:tab w:val="left" w:pos="284"/>
        </w:tabs>
        <w:ind w:left="284" w:hanging="284"/>
      </w:pPr>
      <w:r w:rsidRPr="00E81804">
        <w:rPr>
          <w:rStyle w:val="FootnoteReference"/>
        </w:rPr>
        <w:footnoteRef/>
      </w:r>
      <w:r w:rsidRPr="00E81804">
        <w:t xml:space="preserve"> </w:t>
      </w:r>
      <w:r w:rsidRPr="00E81804">
        <w:tab/>
        <w:t>Van Niekerk 2009:129.</w:t>
      </w:r>
    </w:p>
  </w:footnote>
  <w:footnote w:id="63">
    <w:p w14:paraId="29F88339" w14:textId="77777777" w:rsidR="00A1055D" w:rsidRDefault="00A1055D" w:rsidP="00A416EC">
      <w:pPr>
        <w:pStyle w:val="FootnoteText"/>
        <w:ind w:left="284" w:hanging="284"/>
      </w:pPr>
      <w:r>
        <w:rPr>
          <w:rStyle w:val="FootnoteReference"/>
        </w:rPr>
        <w:footnoteRef/>
      </w:r>
      <w:r>
        <w:t xml:space="preserve"> </w:t>
      </w:r>
      <w:r>
        <w:tab/>
        <w:t>Steyn 2016:10; Schoeman-Malan 2013:117.</w:t>
      </w:r>
    </w:p>
  </w:footnote>
  <w:footnote w:id="64">
    <w:p w14:paraId="3DCEEFB5" w14:textId="679D7140" w:rsidR="00A1055D" w:rsidRPr="00D66179" w:rsidRDefault="00A1055D" w:rsidP="00A416EC">
      <w:pPr>
        <w:pStyle w:val="FootnoteText"/>
        <w:ind w:left="284" w:hanging="284"/>
        <w:rPr>
          <w:lang w:val="en-GB"/>
        </w:rPr>
      </w:pPr>
      <w:r>
        <w:rPr>
          <w:rStyle w:val="FootnoteReference"/>
        </w:rPr>
        <w:footnoteRef/>
      </w:r>
      <w:r>
        <w:t xml:space="preserve"> </w:t>
      </w:r>
      <w:r>
        <w:tab/>
      </w:r>
      <w:r w:rsidR="004A0736" w:rsidRPr="00F23B2A">
        <w:rPr>
          <w:i/>
          <w:iCs/>
        </w:rPr>
        <w:t>Ex parte Steenkamp &amp; Steenkamp</w:t>
      </w:r>
      <w:r w:rsidR="004A0736">
        <w:t xml:space="preserve"> 1952 1 SA 744 (T):748G; </w:t>
      </w:r>
      <w:r>
        <w:rPr>
          <w:lang w:val="en-GB"/>
        </w:rPr>
        <w:t>De Waal &amp; Zimmerman 2011:172.</w:t>
      </w:r>
    </w:p>
  </w:footnote>
  <w:footnote w:id="65">
    <w:p w14:paraId="48B59D26" w14:textId="587D5CE6" w:rsidR="004A0736" w:rsidRPr="00CF770D" w:rsidRDefault="004A0736" w:rsidP="00A416EC">
      <w:pPr>
        <w:pStyle w:val="FootnoteText"/>
        <w:ind w:left="284" w:hanging="284"/>
        <w:rPr>
          <w:lang w:val="en-GB"/>
        </w:rPr>
      </w:pPr>
      <w:r>
        <w:rPr>
          <w:rStyle w:val="FootnoteReference"/>
        </w:rPr>
        <w:footnoteRef/>
      </w:r>
      <w:r>
        <w:t xml:space="preserve"> </w:t>
      </w:r>
      <w:r>
        <w:tab/>
        <w:t>Hofmeyr &amp; Paleker 2023:14</w:t>
      </w:r>
      <w:r w:rsidR="00477BFA">
        <w:t>1</w:t>
      </w:r>
      <w:r>
        <w:t xml:space="preserve">; </w:t>
      </w:r>
      <w:r w:rsidR="00A416EC">
        <w:t xml:space="preserve">Van der Walt &amp; Sonnekus 1981:38; </w:t>
      </w:r>
      <w:r>
        <w:t>Malherbe 2016:26.</w:t>
      </w:r>
    </w:p>
  </w:footnote>
  <w:footnote w:id="66">
    <w:p w14:paraId="6C826298" w14:textId="090E32C6" w:rsidR="00AF102F" w:rsidRDefault="00AF102F" w:rsidP="00A416EC">
      <w:pPr>
        <w:pStyle w:val="FootnoteText"/>
        <w:ind w:left="284" w:hanging="284"/>
      </w:pPr>
      <w:r>
        <w:rPr>
          <w:rStyle w:val="FootnoteReference"/>
        </w:rPr>
        <w:footnoteRef/>
      </w:r>
      <w:r>
        <w:t xml:space="preserve"> </w:t>
      </w:r>
      <w:r>
        <w:tab/>
      </w:r>
      <w:r w:rsidRPr="00F93079">
        <w:t xml:space="preserve">Hofmeyr &amp; Paleker 2023:148-149; </w:t>
      </w:r>
      <w:r>
        <w:rPr>
          <w:lang w:val="en-GB"/>
        </w:rPr>
        <w:t xml:space="preserve">Jamneck &amp; Rautenbach 2023:126; </w:t>
      </w:r>
      <w:r w:rsidR="00A416EC">
        <w:t xml:space="preserve">Schoeman-Malan 2013:116; </w:t>
      </w:r>
      <w:r>
        <w:t>Sonnekus &amp; Van der Walt 1992:153.</w:t>
      </w:r>
    </w:p>
  </w:footnote>
  <w:footnote w:id="67">
    <w:p w14:paraId="72F8B854" w14:textId="77777777" w:rsidR="00A1055D" w:rsidRPr="00F93079" w:rsidRDefault="00A1055D" w:rsidP="00A1055D">
      <w:pPr>
        <w:pStyle w:val="FootnoteText"/>
        <w:ind w:left="284" w:hanging="284"/>
      </w:pPr>
      <w:r>
        <w:rPr>
          <w:rStyle w:val="FootnoteReference"/>
        </w:rPr>
        <w:footnoteRef/>
      </w:r>
      <w:r>
        <w:t xml:space="preserve"> </w:t>
      </w:r>
      <w:r>
        <w:tab/>
      </w:r>
      <w:r w:rsidRPr="00F93079">
        <w:t>Hofmeyr &amp; Paleker 2023:148-149; Malherbe 2016:4</w:t>
      </w:r>
      <w:r>
        <w:t>.</w:t>
      </w:r>
    </w:p>
  </w:footnote>
  <w:footnote w:id="68">
    <w:p w14:paraId="486F7F88" w14:textId="77777777" w:rsidR="004A0736" w:rsidRDefault="004A0736" w:rsidP="004A0736">
      <w:pPr>
        <w:pStyle w:val="FootnoteText"/>
        <w:tabs>
          <w:tab w:val="left" w:pos="284"/>
        </w:tabs>
        <w:ind w:left="284" w:hanging="284"/>
      </w:pPr>
      <w:r w:rsidRPr="00F93079">
        <w:rPr>
          <w:rStyle w:val="FootnoteReference"/>
        </w:rPr>
        <w:footnoteRef/>
      </w:r>
      <w:r w:rsidRPr="00F93079">
        <w:t xml:space="preserve"> </w:t>
      </w:r>
      <w:r w:rsidRPr="00F93079">
        <w:tab/>
        <w:t>Hofmeyr &amp;</w:t>
      </w:r>
      <w:r>
        <w:t xml:space="preserve"> Paleker 2023:147-148.</w:t>
      </w:r>
    </w:p>
  </w:footnote>
  <w:footnote w:id="69">
    <w:p w14:paraId="015FAAFE" w14:textId="77777777" w:rsidR="0028186F" w:rsidRPr="00F34DFF" w:rsidRDefault="0028186F" w:rsidP="0028186F">
      <w:pPr>
        <w:pStyle w:val="FootnoteText"/>
        <w:ind w:left="284" w:hanging="284"/>
        <w:rPr>
          <w:lang w:val="en-GB"/>
        </w:rPr>
      </w:pPr>
      <w:r>
        <w:rPr>
          <w:rStyle w:val="FootnoteReference"/>
        </w:rPr>
        <w:footnoteRef/>
      </w:r>
      <w:r>
        <w:t xml:space="preserve"> </w:t>
      </w:r>
      <w:r>
        <w:tab/>
      </w:r>
      <w:r>
        <w:rPr>
          <w:lang w:val="en-GB"/>
        </w:rPr>
        <w:t>Steyn 2016:27.</w:t>
      </w:r>
    </w:p>
  </w:footnote>
  <w:footnote w:id="70">
    <w:p w14:paraId="4E2F8EBD" w14:textId="5A315BAB" w:rsidR="0028186F" w:rsidRPr="00442353" w:rsidRDefault="0028186F" w:rsidP="0028186F">
      <w:pPr>
        <w:pStyle w:val="FootnoteText"/>
        <w:ind w:left="284" w:hanging="284"/>
        <w:rPr>
          <w:lang w:val="en-GB"/>
        </w:rPr>
      </w:pPr>
      <w:r w:rsidRPr="00442353">
        <w:rPr>
          <w:rStyle w:val="FootnoteReference"/>
        </w:rPr>
        <w:footnoteRef/>
      </w:r>
      <w:r w:rsidRPr="00442353">
        <w:t xml:space="preserve"> </w:t>
      </w:r>
      <w:r w:rsidRPr="00442353">
        <w:tab/>
        <w:t>Hofmeyr &amp; Paleker 2023:14</w:t>
      </w:r>
      <w:r w:rsidR="00477BFA">
        <w:t>3</w:t>
      </w:r>
      <w:r>
        <w:t>; Jamneck &amp; Rautenbach 2023:126-127; Malherbe 2016:24,</w:t>
      </w:r>
      <w:r w:rsidR="00477BFA">
        <w:t xml:space="preserve"> </w:t>
      </w:r>
      <w:r>
        <w:t>26</w:t>
      </w:r>
      <w:r w:rsidR="00941E42">
        <w:t xml:space="preserve">; </w:t>
      </w:r>
      <w:r w:rsidR="00941E42">
        <w:rPr>
          <w:i/>
          <w:iCs/>
        </w:rPr>
        <w:t xml:space="preserve">Groenewald NO &amp; Another v Swanepoel </w:t>
      </w:r>
      <w:r w:rsidR="00941E42" w:rsidRPr="00244880">
        <w:t>2002 6 SA 724 (E):7</w:t>
      </w:r>
      <w:r w:rsidR="00941E42">
        <w:t>24E.</w:t>
      </w:r>
    </w:p>
  </w:footnote>
  <w:footnote w:id="71">
    <w:p w14:paraId="3589F325" w14:textId="28C12B6C" w:rsidR="0028186F" w:rsidRDefault="0028186F" w:rsidP="0028186F">
      <w:pPr>
        <w:pStyle w:val="FootnoteText"/>
        <w:ind w:left="284" w:hanging="284"/>
      </w:pPr>
      <w:r>
        <w:rPr>
          <w:rStyle w:val="FootnoteReference"/>
        </w:rPr>
        <w:footnoteRef/>
      </w:r>
      <w:r>
        <w:t xml:space="preserve"> </w:t>
      </w:r>
      <w:r>
        <w:tab/>
      </w:r>
      <w:r>
        <w:rPr>
          <w:i/>
          <w:iCs/>
        </w:rPr>
        <w:t>Casey NO v The Master &amp; Others</w:t>
      </w:r>
      <w:r>
        <w:t xml:space="preserve"> 1992 4 SA 505 (N):511C-D; Jamneck &amp; Rautenbach 2023:127; </w:t>
      </w:r>
      <w:r>
        <w:rPr>
          <w:lang w:val="en-GB"/>
        </w:rPr>
        <w:t>Schoeman-Malan 2013:126.</w:t>
      </w:r>
    </w:p>
  </w:footnote>
  <w:footnote w:id="72">
    <w:p w14:paraId="59C3201B" w14:textId="77777777" w:rsidR="0028186F" w:rsidRPr="00442353" w:rsidRDefault="0028186F" w:rsidP="0028186F">
      <w:pPr>
        <w:pStyle w:val="FootnoteText"/>
        <w:ind w:left="284" w:hanging="284"/>
      </w:pPr>
      <w:r w:rsidRPr="00442353">
        <w:rPr>
          <w:rStyle w:val="FootnoteReference"/>
        </w:rPr>
        <w:footnoteRef/>
      </w:r>
      <w:r w:rsidRPr="00442353">
        <w:t xml:space="preserve"> </w:t>
      </w:r>
      <w:r w:rsidRPr="00442353">
        <w:tab/>
        <w:t>De Waal &amp; Schoeman-Malan 2015:118</w:t>
      </w:r>
      <w:r>
        <w:t>; Lategan 2010:2.</w:t>
      </w:r>
    </w:p>
  </w:footnote>
  <w:footnote w:id="73">
    <w:p w14:paraId="2DB38067" w14:textId="77777777" w:rsidR="0028186F" w:rsidRPr="00F23A60" w:rsidRDefault="0028186F" w:rsidP="0028186F">
      <w:pPr>
        <w:pStyle w:val="FootnoteText"/>
        <w:ind w:left="284" w:hanging="284"/>
      </w:pPr>
      <w:r>
        <w:rPr>
          <w:rStyle w:val="FootnoteReference"/>
        </w:rPr>
        <w:footnoteRef/>
      </w:r>
      <w:r>
        <w:t xml:space="preserve"> </w:t>
      </w:r>
      <w:r>
        <w:tab/>
      </w:r>
      <w:r>
        <w:rPr>
          <w:i/>
          <w:iCs/>
        </w:rPr>
        <w:t xml:space="preserve">Taylor v Pim </w:t>
      </w:r>
      <w:r w:rsidRPr="00244880">
        <w:t>1903 (24) NLR 484:493</w:t>
      </w:r>
      <w:r>
        <w:t>; Van Niekerk 2009:128.</w:t>
      </w:r>
    </w:p>
  </w:footnote>
  <w:footnote w:id="74">
    <w:p w14:paraId="5A51CC07" w14:textId="5D6415D8" w:rsidR="0028186F" w:rsidRPr="00132FCD" w:rsidRDefault="0028186F" w:rsidP="0028186F">
      <w:pPr>
        <w:pStyle w:val="FootnoteText"/>
        <w:ind w:left="284" w:hanging="284"/>
      </w:pPr>
      <w:r w:rsidRPr="00132FCD">
        <w:rPr>
          <w:rStyle w:val="FootnoteReference"/>
        </w:rPr>
        <w:footnoteRef/>
      </w:r>
      <w:r w:rsidRPr="00132FCD">
        <w:t xml:space="preserve"> </w:t>
      </w:r>
      <w:r w:rsidRPr="00132FCD">
        <w:tab/>
      </w:r>
      <w:r w:rsidRPr="00E91EB8">
        <w:rPr>
          <w:rFonts w:cs="Arial"/>
          <w:i/>
          <w:iCs/>
          <w:szCs w:val="24"/>
        </w:rPr>
        <w:t>Taylor v Pim</w:t>
      </w:r>
      <w:r>
        <w:rPr>
          <w:rFonts w:cs="Arial"/>
          <w:i/>
          <w:iCs/>
          <w:szCs w:val="24"/>
        </w:rPr>
        <w:t xml:space="preserve"> </w:t>
      </w:r>
      <w:r>
        <w:rPr>
          <w:rFonts w:cs="Arial"/>
          <w:szCs w:val="24"/>
        </w:rPr>
        <w:t xml:space="preserve">1903 24 NLR 484:493; </w:t>
      </w:r>
      <w:r>
        <w:t xml:space="preserve">Malherbe 2016:23; </w:t>
      </w:r>
      <w:r w:rsidRPr="00132FCD">
        <w:t>Van Niekerk 2009:129</w:t>
      </w:r>
      <w:r>
        <w:t>.</w:t>
      </w:r>
      <w:r w:rsidR="00477BFA">
        <w:t xml:space="preserve"> </w:t>
      </w:r>
      <w:r w:rsidR="00477BFA" w:rsidRPr="00CF41D1">
        <w:rPr>
          <w:rFonts w:cs="Arial"/>
          <w:szCs w:val="24"/>
        </w:rPr>
        <w:t xml:space="preserve">Logic dictates that the intentional and unlawful killing of the testator must be followed by a declaration of unworthiness, and this aspect is addressed in various sources. Although the sources dealing with unworthiness based on negligent killing </w:t>
      </w:r>
      <w:r w:rsidR="00A400F0">
        <w:rPr>
          <w:rFonts w:cs="Arial"/>
          <w:szCs w:val="24"/>
        </w:rPr>
        <w:t xml:space="preserve"> are</w:t>
      </w:r>
      <w:r w:rsidR="00477BFA" w:rsidRPr="00CF41D1">
        <w:rPr>
          <w:rFonts w:cs="Arial"/>
          <w:szCs w:val="24"/>
        </w:rPr>
        <w:t xml:space="preserve"> limited</w:t>
      </w:r>
      <w:r w:rsidR="00477BFA">
        <w:rPr>
          <w:rFonts w:cs="Arial"/>
          <w:szCs w:val="24"/>
        </w:rPr>
        <w:t xml:space="preserve"> (Thirion 2013:48)</w:t>
      </w:r>
      <w:r w:rsidR="00AB10FF">
        <w:rPr>
          <w:rFonts w:cs="Arial"/>
          <w:szCs w:val="24"/>
        </w:rPr>
        <w:t>,</w:t>
      </w:r>
      <w:r w:rsidR="00477BFA" w:rsidRPr="00CF41D1">
        <w:rPr>
          <w:rFonts w:cs="Arial"/>
          <w:szCs w:val="24"/>
        </w:rPr>
        <w:t xml:space="preserve"> there </w:t>
      </w:r>
      <w:r w:rsidR="00A400F0">
        <w:rPr>
          <w:rFonts w:cs="Arial"/>
          <w:szCs w:val="24"/>
        </w:rPr>
        <w:t xml:space="preserve"> are a</w:t>
      </w:r>
      <w:r w:rsidR="00477BFA" w:rsidRPr="00CF41D1">
        <w:rPr>
          <w:rFonts w:cs="Arial"/>
          <w:szCs w:val="24"/>
        </w:rPr>
        <w:t xml:space="preserve"> few well-known cases dealing with this aspect. Negligence was first recognised as a ground of unworthiness in </w:t>
      </w:r>
      <w:r w:rsidR="00477BFA" w:rsidRPr="00CF41D1">
        <w:rPr>
          <w:rFonts w:cs="Arial"/>
          <w:i/>
          <w:iCs/>
          <w:szCs w:val="24"/>
        </w:rPr>
        <w:t>Taylor v Pim</w:t>
      </w:r>
      <w:r w:rsidR="00477BFA">
        <w:rPr>
          <w:rFonts w:cs="Arial"/>
          <w:i/>
          <w:iCs/>
          <w:szCs w:val="24"/>
        </w:rPr>
        <w:t xml:space="preserve"> </w:t>
      </w:r>
      <w:r w:rsidR="00477BFA">
        <w:rPr>
          <w:rFonts w:cs="Arial"/>
          <w:szCs w:val="24"/>
        </w:rPr>
        <w:t>(1903 24 NLR 484:494)</w:t>
      </w:r>
      <w:r w:rsidR="00477BFA" w:rsidRPr="00CF41D1">
        <w:rPr>
          <w:rFonts w:cs="Arial"/>
          <w:szCs w:val="24"/>
        </w:rPr>
        <w:t xml:space="preserve"> in which case the Court extended the application thereof to an heir that in the event of imminent danger to the testat</w:t>
      </w:r>
      <w:r w:rsidR="00AB10FF">
        <w:rPr>
          <w:rFonts w:cs="Arial"/>
          <w:szCs w:val="24"/>
        </w:rPr>
        <w:t>rix</w:t>
      </w:r>
      <w:r w:rsidR="00477BFA" w:rsidRPr="00CF41D1">
        <w:rPr>
          <w:rFonts w:cs="Arial"/>
          <w:szCs w:val="24"/>
        </w:rPr>
        <w:t xml:space="preserve">, neglected to give the necessary aid or assistance. Thirion’s opinion that the judgement of </w:t>
      </w:r>
      <w:r w:rsidR="00477BFA" w:rsidRPr="00CF41D1">
        <w:rPr>
          <w:rFonts w:cs="Arial"/>
          <w:i/>
          <w:iCs/>
          <w:szCs w:val="24"/>
        </w:rPr>
        <w:t>Casey NO v The Master &amp; Others</w:t>
      </w:r>
      <w:r w:rsidR="00477BFA" w:rsidRPr="00CF41D1">
        <w:rPr>
          <w:i/>
          <w:iCs/>
        </w:rPr>
        <w:t xml:space="preserve"> </w:t>
      </w:r>
      <w:r w:rsidR="00477BFA">
        <w:t>1992 4 SA 505 (N)</w:t>
      </w:r>
      <w:r w:rsidR="00477BFA" w:rsidRPr="00CF41D1">
        <w:rPr>
          <w:rFonts w:cs="Arial"/>
          <w:szCs w:val="24"/>
        </w:rPr>
        <w:t xml:space="preserve"> deserves “almost universal” disapproval can accordingly not be supported</w:t>
      </w:r>
      <w:r w:rsidR="00477BFA">
        <w:rPr>
          <w:rFonts w:cs="Arial"/>
          <w:szCs w:val="24"/>
        </w:rPr>
        <w:t xml:space="preserve"> (Thirion 2013:48).</w:t>
      </w:r>
    </w:p>
  </w:footnote>
  <w:footnote w:id="75">
    <w:p w14:paraId="36303F37" w14:textId="634604A0" w:rsidR="00BA3954" w:rsidRPr="00A416EC" w:rsidRDefault="00BA3954" w:rsidP="002E7091">
      <w:pPr>
        <w:pStyle w:val="FootnoteText"/>
        <w:ind w:left="284" w:hanging="284"/>
      </w:pPr>
      <w:r>
        <w:rPr>
          <w:rStyle w:val="FootnoteReference"/>
        </w:rPr>
        <w:footnoteRef/>
      </w:r>
      <w:r>
        <w:t xml:space="preserve"> </w:t>
      </w:r>
      <w:r w:rsidR="002E7091">
        <w:tab/>
      </w:r>
      <w:r w:rsidRPr="00A416EC">
        <w:rPr>
          <w:i/>
          <w:iCs/>
          <w:lang w:val="en-GB"/>
        </w:rPr>
        <w:t>Wills Act</w:t>
      </w:r>
      <w:r w:rsidRPr="00A416EC">
        <w:rPr>
          <w:lang w:val="en-GB"/>
        </w:rPr>
        <w:t>:sec. 4A</w:t>
      </w:r>
      <w:r w:rsidR="00952BA0" w:rsidRPr="00A416EC">
        <w:rPr>
          <w:lang w:val="en-GB"/>
        </w:rPr>
        <w:t>(2)(a).</w:t>
      </w:r>
    </w:p>
  </w:footnote>
  <w:footnote w:id="76">
    <w:p w14:paraId="54994026" w14:textId="77777777" w:rsidR="00A6134D" w:rsidRPr="00680FF7" w:rsidRDefault="00A6134D" w:rsidP="00A6134D">
      <w:pPr>
        <w:pStyle w:val="FootnoteText"/>
        <w:ind w:left="284" w:hanging="284"/>
        <w:rPr>
          <w:lang w:val="en-GB"/>
        </w:rPr>
      </w:pPr>
      <w:r w:rsidRPr="00A416EC">
        <w:rPr>
          <w:rStyle w:val="FootnoteReference"/>
        </w:rPr>
        <w:footnoteRef/>
      </w:r>
      <w:r w:rsidRPr="00A416EC">
        <w:t xml:space="preserve"> </w:t>
      </w:r>
      <w:r w:rsidRPr="00A416EC">
        <w:rPr>
          <w:lang w:val="en-GB"/>
        </w:rPr>
        <w:tab/>
        <w:t>Snyman 2002:8.</w:t>
      </w:r>
    </w:p>
  </w:footnote>
  <w:footnote w:id="77">
    <w:p w14:paraId="1E954C44" w14:textId="77777777" w:rsidR="00A6134D" w:rsidRDefault="00A6134D" w:rsidP="00A6134D">
      <w:pPr>
        <w:pStyle w:val="FootnoteText"/>
        <w:ind w:left="284" w:hanging="284"/>
      </w:pPr>
      <w:r>
        <w:rPr>
          <w:rStyle w:val="FootnoteReference"/>
        </w:rPr>
        <w:footnoteRef/>
      </w:r>
      <w:r>
        <w:t xml:space="preserve"> </w:t>
      </w:r>
      <w:r>
        <w:tab/>
        <w:t>Malherbe 2016:6.</w:t>
      </w:r>
    </w:p>
  </w:footnote>
  <w:footnote w:id="78">
    <w:p w14:paraId="4B212891" w14:textId="732B6C26" w:rsidR="00A6134D" w:rsidRDefault="00A6134D" w:rsidP="00804F6D">
      <w:pPr>
        <w:pStyle w:val="FootnoteText"/>
        <w:ind w:left="284" w:hanging="284"/>
      </w:pPr>
      <w:r>
        <w:rPr>
          <w:rStyle w:val="FootnoteReference"/>
        </w:rPr>
        <w:footnoteRef/>
      </w:r>
      <w:r>
        <w:t xml:space="preserve"> </w:t>
      </w:r>
      <w:r w:rsidR="00804F6D">
        <w:tab/>
      </w:r>
      <w:r>
        <w:t>Sonnekus 2023:187.</w:t>
      </w:r>
    </w:p>
  </w:footnote>
  <w:footnote w:id="79">
    <w:p w14:paraId="609B96BB" w14:textId="77777777" w:rsidR="00A6134D" w:rsidRDefault="00A6134D" w:rsidP="00A6134D">
      <w:pPr>
        <w:pStyle w:val="FootnoteText"/>
        <w:ind w:left="284" w:hanging="284"/>
      </w:pPr>
      <w:r>
        <w:rPr>
          <w:rStyle w:val="FootnoteReference"/>
        </w:rPr>
        <w:footnoteRef/>
      </w:r>
      <w:r>
        <w:t xml:space="preserve"> </w:t>
      </w:r>
      <w:r>
        <w:tab/>
        <w:t>Steyn 2016:9.</w:t>
      </w:r>
    </w:p>
  </w:footnote>
  <w:footnote w:id="80">
    <w:p w14:paraId="2EAAA815" w14:textId="77777777" w:rsidR="00A6134D" w:rsidRDefault="00A6134D" w:rsidP="00A6134D">
      <w:pPr>
        <w:pStyle w:val="FootnoteText"/>
        <w:ind w:left="284" w:hanging="284"/>
      </w:pPr>
      <w:r>
        <w:rPr>
          <w:rStyle w:val="FootnoteReference"/>
        </w:rPr>
        <w:footnoteRef/>
      </w:r>
      <w:r>
        <w:t xml:space="preserve"> </w:t>
      </w:r>
      <w:r>
        <w:tab/>
      </w:r>
      <w:r w:rsidRPr="00F23B2A">
        <w:rPr>
          <w:i/>
          <w:iCs/>
        </w:rPr>
        <w:t>Ex parte Steenkamp &amp; Steenkamp</w:t>
      </w:r>
      <w:r>
        <w:t xml:space="preserve"> 1952 1 SA 744 (T):748G.</w:t>
      </w:r>
    </w:p>
  </w:footnote>
  <w:footnote w:id="81">
    <w:p w14:paraId="1EEC7552" w14:textId="77777777" w:rsidR="009339CC" w:rsidRDefault="009339CC" w:rsidP="009339CC">
      <w:pPr>
        <w:pStyle w:val="FootnoteText"/>
        <w:ind w:left="284" w:hanging="284"/>
      </w:pPr>
      <w:r>
        <w:rPr>
          <w:rStyle w:val="FootnoteReference"/>
        </w:rPr>
        <w:footnoteRef/>
      </w:r>
      <w:r>
        <w:t xml:space="preserve"> </w:t>
      </w:r>
      <w:r>
        <w:tab/>
        <w:t>Malherbe 2016:7.</w:t>
      </w:r>
    </w:p>
  </w:footnote>
  <w:footnote w:id="82">
    <w:p w14:paraId="2BDD1866" w14:textId="0F0B83D8" w:rsidR="00F24E88" w:rsidRDefault="00F24E88" w:rsidP="002E7091">
      <w:pPr>
        <w:pStyle w:val="FootnoteText"/>
        <w:ind w:left="284" w:hanging="284"/>
      </w:pPr>
      <w:r>
        <w:rPr>
          <w:rStyle w:val="FootnoteReference"/>
        </w:rPr>
        <w:footnoteRef/>
      </w:r>
      <w:r>
        <w:t xml:space="preserve"> </w:t>
      </w:r>
      <w:r w:rsidR="002E7091">
        <w:tab/>
      </w:r>
      <w:r w:rsidR="00BE6570">
        <w:t>De Waal &amp; Zimmerman 2011:172.</w:t>
      </w:r>
    </w:p>
  </w:footnote>
  <w:footnote w:id="83">
    <w:p w14:paraId="412A81DB" w14:textId="59FC35A0" w:rsidR="00925294" w:rsidRPr="00CC08DA" w:rsidRDefault="00925294" w:rsidP="00925294">
      <w:pPr>
        <w:pStyle w:val="FootnoteText"/>
        <w:ind w:left="284" w:hanging="284"/>
      </w:pPr>
      <w:r>
        <w:rPr>
          <w:rStyle w:val="FootnoteReference"/>
        </w:rPr>
        <w:footnoteRef/>
      </w:r>
      <w:r>
        <w:t xml:space="preserve"> </w:t>
      </w:r>
      <w:r>
        <w:tab/>
      </w:r>
      <w:r w:rsidR="00556386">
        <w:t xml:space="preserve">De Waal &amp; Zimmerman 2011:172; </w:t>
      </w:r>
      <w:r w:rsidR="00CC08DA">
        <w:rPr>
          <w:i/>
          <w:iCs/>
        </w:rPr>
        <w:t>Leeb &amp; Another v Leeb &amp; Another</w:t>
      </w:r>
      <w:r w:rsidR="00CC08DA">
        <w:t xml:space="preserve"> 1999 2 All SA 588 (N):591.</w:t>
      </w:r>
    </w:p>
  </w:footnote>
  <w:footnote w:id="84">
    <w:p w14:paraId="6959517C" w14:textId="7C8E5561" w:rsidR="00E46D63" w:rsidRPr="00BB628E" w:rsidRDefault="00E46D63" w:rsidP="002E7091">
      <w:pPr>
        <w:pStyle w:val="FootnoteText"/>
        <w:ind w:left="284" w:hanging="284"/>
      </w:pPr>
      <w:r>
        <w:rPr>
          <w:rStyle w:val="FootnoteReference"/>
        </w:rPr>
        <w:footnoteRef/>
      </w:r>
      <w:r>
        <w:t xml:space="preserve"> </w:t>
      </w:r>
      <w:r w:rsidR="002E7091">
        <w:tab/>
      </w:r>
      <w:r>
        <w:rPr>
          <w:i/>
          <w:iCs/>
        </w:rPr>
        <w:t>Taylor v Pim</w:t>
      </w:r>
      <w:r>
        <w:t xml:space="preserve"> 1903 1903 24 (NLR) 484:491-49</w:t>
      </w:r>
      <w:r w:rsidR="000F3B29">
        <w:t>4</w:t>
      </w:r>
      <w:r>
        <w:t>.</w:t>
      </w:r>
    </w:p>
  </w:footnote>
  <w:footnote w:id="85">
    <w:p w14:paraId="6DD45AF6" w14:textId="7B6E5562" w:rsidR="00066BC2" w:rsidRPr="0023632B" w:rsidRDefault="00066BC2" w:rsidP="002E7091">
      <w:pPr>
        <w:pStyle w:val="FootnoteText"/>
        <w:ind w:left="284" w:hanging="284"/>
        <w:rPr>
          <w:lang w:val="en-GB"/>
        </w:rPr>
      </w:pPr>
      <w:r>
        <w:rPr>
          <w:rStyle w:val="FootnoteReference"/>
        </w:rPr>
        <w:footnoteRef/>
      </w:r>
      <w:r>
        <w:t xml:space="preserve"> </w:t>
      </w:r>
      <w:r w:rsidR="002E7091">
        <w:tab/>
      </w:r>
      <w:r w:rsidR="00E53297">
        <w:rPr>
          <w:lang w:val="en-GB"/>
        </w:rPr>
        <w:t>Steyn</w:t>
      </w:r>
      <w:r>
        <w:rPr>
          <w:lang w:val="en-GB"/>
        </w:rPr>
        <w:t xml:space="preserve"> 2016:32, 39.</w:t>
      </w:r>
    </w:p>
  </w:footnote>
  <w:footnote w:id="86">
    <w:p w14:paraId="349BAD1A" w14:textId="47046949" w:rsidR="002977D8" w:rsidRPr="0096631F" w:rsidRDefault="002977D8" w:rsidP="002E7091">
      <w:pPr>
        <w:pStyle w:val="FootnoteText"/>
        <w:tabs>
          <w:tab w:val="left" w:pos="284"/>
        </w:tabs>
        <w:ind w:left="284" w:hanging="284"/>
      </w:pPr>
      <w:r w:rsidRPr="0096631F">
        <w:rPr>
          <w:rStyle w:val="FootnoteReference"/>
        </w:rPr>
        <w:footnoteRef/>
      </w:r>
      <w:r w:rsidRPr="0096631F">
        <w:t xml:space="preserve"> </w:t>
      </w:r>
      <w:r w:rsidRPr="0096631F">
        <w:tab/>
        <w:t>Sonnekus 2023:1</w:t>
      </w:r>
      <w:r>
        <w:t>75</w:t>
      </w:r>
      <w:r w:rsidR="00477BFA">
        <w:t>;</w:t>
      </w:r>
      <w:r w:rsidR="005D0F37">
        <w:t xml:space="preserve"> Malherbe 2016:4</w:t>
      </w:r>
      <w:r w:rsidR="00006419">
        <w:t>.</w:t>
      </w:r>
    </w:p>
  </w:footnote>
  <w:footnote w:id="87">
    <w:p w14:paraId="3DAD002B" w14:textId="3CEB4BB4" w:rsidR="000C03AF" w:rsidRDefault="000C03AF" w:rsidP="000C03AF">
      <w:pPr>
        <w:pStyle w:val="FootnoteText"/>
        <w:ind w:left="284" w:hanging="284"/>
      </w:pPr>
      <w:r>
        <w:rPr>
          <w:rStyle w:val="FootnoteReference"/>
        </w:rPr>
        <w:footnoteRef/>
      </w:r>
      <w:r>
        <w:t xml:space="preserve"> </w:t>
      </w:r>
      <w:r>
        <w:tab/>
      </w:r>
      <w:r w:rsidR="001D7255">
        <w:t xml:space="preserve">Courts treat the wrongdoer as if they had died, by passing their inheritance either to the remaining beneficiaries or </w:t>
      </w:r>
      <w:r w:rsidR="00A416EC">
        <w:t xml:space="preserve">to </w:t>
      </w:r>
      <w:r w:rsidR="001D7255">
        <w:t xml:space="preserve">their own heirs. See </w:t>
      </w:r>
      <w:r>
        <w:t>Schoeman-Malan 2013:138.</w:t>
      </w:r>
    </w:p>
  </w:footnote>
  <w:footnote w:id="88">
    <w:p w14:paraId="4B3FCF94" w14:textId="29C41FDE" w:rsidR="00224644" w:rsidRDefault="00224644" w:rsidP="002E7091">
      <w:pPr>
        <w:pStyle w:val="FootnoteText"/>
        <w:ind w:left="284" w:hanging="284"/>
      </w:pPr>
      <w:r>
        <w:rPr>
          <w:rStyle w:val="FootnoteReference"/>
        </w:rPr>
        <w:footnoteRef/>
      </w:r>
      <w:r>
        <w:t xml:space="preserve"> </w:t>
      </w:r>
      <w:r w:rsidR="002E7091">
        <w:tab/>
      </w:r>
      <w:r>
        <w:t>Malherbe 2016:29</w:t>
      </w:r>
      <w:r w:rsidR="00A416EC">
        <w:t>.</w:t>
      </w:r>
    </w:p>
  </w:footnote>
  <w:footnote w:id="89">
    <w:p w14:paraId="7882D020" w14:textId="77777777" w:rsidR="001D7255" w:rsidRDefault="001D7255" w:rsidP="001D7255">
      <w:pPr>
        <w:pStyle w:val="FootnoteText"/>
        <w:ind w:left="284" w:hanging="284"/>
      </w:pPr>
      <w:r>
        <w:rPr>
          <w:rStyle w:val="FootnoteReference"/>
        </w:rPr>
        <w:footnoteRef/>
      </w:r>
      <w:r>
        <w:t xml:space="preserve"> </w:t>
      </w:r>
      <w:r>
        <w:tab/>
      </w:r>
      <w:r>
        <w:rPr>
          <w:i/>
          <w:iCs/>
        </w:rPr>
        <w:t xml:space="preserve">Casey NO v The Master &amp; Others </w:t>
      </w:r>
      <w:r w:rsidRPr="006871F3">
        <w:t>1992 4 SA 505 (N):</w:t>
      </w:r>
      <w:r>
        <w:t xml:space="preserve">509A; </w:t>
      </w:r>
      <w:r>
        <w:rPr>
          <w:i/>
          <w:iCs/>
        </w:rPr>
        <w:t>Leeb &amp; Another v Leeb &amp; Another</w:t>
      </w:r>
      <w:r>
        <w:t xml:space="preserve"> 1999 2 All SA 588 (N):594, 595.</w:t>
      </w:r>
    </w:p>
  </w:footnote>
  <w:footnote w:id="90">
    <w:p w14:paraId="3EFB88E2" w14:textId="3B29BBE8" w:rsidR="00FD1C38" w:rsidRDefault="00FD1C38" w:rsidP="00FD1C38">
      <w:pPr>
        <w:pStyle w:val="FootnoteText"/>
        <w:ind w:left="284" w:hanging="284"/>
      </w:pPr>
      <w:r>
        <w:rPr>
          <w:rStyle w:val="FootnoteReference"/>
        </w:rPr>
        <w:footnoteRef/>
      </w:r>
      <w:r>
        <w:t xml:space="preserve"> </w:t>
      </w:r>
      <w:r>
        <w:tab/>
        <w:t xml:space="preserve">Unknown 2024 </w:t>
      </w:r>
      <w:r w:rsidRPr="00804F6D">
        <w:t>https://en.wikipedia.org/wiki/Public_policy</w:t>
      </w:r>
      <w:r>
        <w:t xml:space="preserve"> (accessed on 16</w:t>
      </w:r>
      <w:r w:rsidR="00804F6D">
        <w:t xml:space="preserve"> November </w:t>
      </w:r>
      <w:r>
        <w:t>2024).</w:t>
      </w:r>
    </w:p>
  </w:footnote>
  <w:footnote w:id="91">
    <w:p w14:paraId="6DD58148" w14:textId="77777777" w:rsidR="00200250" w:rsidRPr="000631C9" w:rsidRDefault="00200250" w:rsidP="00200250">
      <w:pPr>
        <w:pStyle w:val="FootnoteText"/>
        <w:ind w:left="284" w:hanging="284"/>
        <w:rPr>
          <w:lang w:val="en-GB"/>
        </w:rPr>
      </w:pPr>
      <w:r>
        <w:rPr>
          <w:rStyle w:val="FootnoteReference"/>
        </w:rPr>
        <w:footnoteRef/>
      </w:r>
      <w:r>
        <w:t xml:space="preserve"> </w:t>
      </w:r>
      <w:r>
        <w:tab/>
      </w:r>
      <w:r>
        <w:rPr>
          <w:lang w:val="en-GB"/>
        </w:rPr>
        <w:t>Steyn 2016:68.</w:t>
      </w:r>
    </w:p>
  </w:footnote>
  <w:footnote w:id="92">
    <w:p w14:paraId="0DADDF97" w14:textId="77777777" w:rsidR="00200250" w:rsidRPr="00FF35CB" w:rsidRDefault="00200250" w:rsidP="00200250">
      <w:pPr>
        <w:pStyle w:val="FootnoteText"/>
        <w:ind w:left="284" w:hanging="284"/>
      </w:pPr>
      <w:r w:rsidRPr="00FF35CB">
        <w:rPr>
          <w:rStyle w:val="FootnoteReference"/>
        </w:rPr>
        <w:footnoteRef/>
      </w:r>
      <w:r w:rsidRPr="00FF35CB">
        <w:t xml:space="preserve"> </w:t>
      </w:r>
      <w:r w:rsidRPr="00FF35CB">
        <w:tab/>
      </w:r>
      <w:r w:rsidRPr="00FF35CB">
        <w:rPr>
          <w:i/>
          <w:iCs/>
        </w:rPr>
        <w:t xml:space="preserve">Danielz NO v De Wet and Another </w:t>
      </w:r>
      <w:r w:rsidRPr="00410C95">
        <w:t>2009 6 SA 42 C:50C-D</w:t>
      </w:r>
      <w:r>
        <w:t>.</w:t>
      </w:r>
    </w:p>
  </w:footnote>
  <w:footnote w:id="93">
    <w:p w14:paraId="22C08F86" w14:textId="77777777" w:rsidR="00E85D03" w:rsidRDefault="00E85D03" w:rsidP="00E85D03">
      <w:pPr>
        <w:pStyle w:val="FootnoteText"/>
        <w:ind w:left="284" w:hanging="284"/>
      </w:pPr>
      <w:r>
        <w:rPr>
          <w:rStyle w:val="FootnoteReference"/>
        </w:rPr>
        <w:footnoteRef/>
      </w:r>
      <w:r>
        <w:t xml:space="preserve"> </w:t>
      </w:r>
      <w:r>
        <w:tab/>
        <w:t>Du Toit 2012:138-139.</w:t>
      </w:r>
    </w:p>
  </w:footnote>
  <w:footnote w:id="94">
    <w:p w14:paraId="504EC6C5" w14:textId="77777777" w:rsidR="00E85D03" w:rsidRDefault="00E85D03" w:rsidP="00E85D03">
      <w:pPr>
        <w:pStyle w:val="FootnoteText"/>
        <w:ind w:left="284" w:hanging="284"/>
      </w:pPr>
      <w:r>
        <w:rPr>
          <w:rStyle w:val="FootnoteReference"/>
        </w:rPr>
        <w:footnoteRef/>
      </w:r>
      <w:r>
        <w:t xml:space="preserve"> </w:t>
      </w:r>
      <w:r>
        <w:tab/>
        <w:t>Du Toit 2012:139.</w:t>
      </w:r>
    </w:p>
  </w:footnote>
  <w:footnote w:id="95">
    <w:p w14:paraId="792C4B28" w14:textId="77777777" w:rsidR="00E85D03" w:rsidRDefault="00E85D03" w:rsidP="00E85D03">
      <w:pPr>
        <w:pStyle w:val="FootnoteText"/>
        <w:ind w:left="284" w:hanging="284"/>
      </w:pPr>
      <w:r>
        <w:rPr>
          <w:rStyle w:val="FootnoteReference"/>
        </w:rPr>
        <w:footnoteRef/>
      </w:r>
      <w:r>
        <w:t xml:space="preserve"> </w:t>
      </w:r>
      <w:r>
        <w:tab/>
        <w:t>Jamneck &amp; Rautenbach 2023:131.</w:t>
      </w:r>
    </w:p>
  </w:footnote>
  <w:footnote w:id="96">
    <w:p w14:paraId="334C2455" w14:textId="77777777" w:rsidR="00E85D03" w:rsidRPr="00732825" w:rsidRDefault="00E85D03" w:rsidP="00E85D03">
      <w:pPr>
        <w:pStyle w:val="FootnoteText"/>
        <w:ind w:left="284" w:hanging="284"/>
        <w:rPr>
          <w:lang w:val="en-GB"/>
        </w:rPr>
      </w:pPr>
      <w:r>
        <w:rPr>
          <w:rStyle w:val="FootnoteReference"/>
        </w:rPr>
        <w:footnoteRef/>
      </w:r>
      <w:r>
        <w:t xml:space="preserve"> </w:t>
      </w:r>
      <w:r>
        <w:tab/>
      </w:r>
      <w:r>
        <w:rPr>
          <w:lang w:val="en-GB"/>
        </w:rPr>
        <w:t>De Waal &amp; Zimmermann 2011:173.</w:t>
      </w:r>
    </w:p>
  </w:footnote>
  <w:footnote w:id="97">
    <w:p w14:paraId="278AFE1F" w14:textId="77777777" w:rsidR="00E85D03" w:rsidRDefault="00E85D03" w:rsidP="00E85D03">
      <w:pPr>
        <w:pStyle w:val="FootnoteText"/>
        <w:ind w:left="284" w:hanging="284"/>
      </w:pPr>
      <w:r>
        <w:rPr>
          <w:rStyle w:val="FootnoteReference"/>
        </w:rPr>
        <w:footnoteRef/>
      </w:r>
      <w:r>
        <w:t xml:space="preserve"> </w:t>
      </w:r>
      <w:r>
        <w:tab/>
        <w:t>Hofmeyr &amp; Paleker 2023:140.</w:t>
      </w:r>
    </w:p>
  </w:footnote>
  <w:footnote w:id="98">
    <w:p w14:paraId="34AF968B" w14:textId="64075B91" w:rsidR="00CB66DA" w:rsidRDefault="00CB66DA" w:rsidP="00CB66DA">
      <w:pPr>
        <w:pStyle w:val="FootnoteText"/>
        <w:tabs>
          <w:tab w:val="left" w:pos="284"/>
        </w:tabs>
      </w:pPr>
      <w:r>
        <w:rPr>
          <w:rStyle w:val="FootnoteReference"/>
        </w:rPr>
        <w:footnoteRef/>
      </w:r>
      <w:r>
        <w:t xml:space="preserve"> </w:t>
      </w:r>
      <w:r>
        <w:tab/>
        <w:t>Example</w:t>
      </w:r>
      <w:r w:rsidR="00782DB2">
        <w:t>s</w:t>
      </w:r>
      <w:r>
        <w:t xml:space="preserve"> adapted from Barns &amp; Thompson (2014:130).</w:t>
      </w:r>
    </w:p>
  </w:footnote>
  <w:footnote w:id="99">
    <w:p w14:paraId="427C4EA1" w14:textId="63562FB0" w:rsidR="00C64FDA" w:rsidRPr="004D7D5D" w:rsidRDefault="00C64FDA" w:rsidP="00C64FDA">
      <w:pPr>
        <w:pStyle w:val="FootnoteText"/>
        <w:ind w:left="284" w:hanging="284"/>
      </w:pPr>
      <w:r w:rsidRPr="00A416EC">
        <w:rPr>
          <w:rStyle w:val="FootnoteReference"/>
        </w:rPr>
        <w:footnoteRef/>
      </w:r>
      <w:r w:rsidRPr="00A416EC">
        <w:t xml:space="preserve"> </w:t>
      </w:r>
      <w:r w:rsidRPr="00A416EC">
        <w:tab/>
      </w:r>
      <w:r w:rsidR="0092149D" w:rsidRPr="00A416EC">
        <w:t>See 2.2 above</w:t>
      </w:r>
      <w:r w:rsidRPr="00A416EC">
        <w:t>.</w:t>
      </w:r>
    </w:p>
  </w:footnote>
  <w:footnote w:id="100">
    <w:p w14:paraId="35E13C8C" w14:textId="68E5089C" w:rsidR="00C64FDA" w:rsidRPr="002252BB" w:rsidRDefault="00C64FDA" w:rsidP="00C64FDA">
      <w:pPr>
        <w:pStyle w:val="FootnoteText"/>
        <w:ind w:left="284" w:hanging="284"/>
      </w:pPr>
      <w:r w:rsidRPr="002252BB">
        <w:rPr>
          <w:rStyle w:val="FootnoteReference"/>
        </w:rPr>
        <w:footnoteRef/>
      </w:r>
      <w:r w:rsidRPr="002252BB">
        <w:t xml:space="preserve"> </w:t>
      </w:r>
      <w:r w:rsidR="00FA3C7A" w:rsidRPr="002252BB">
        <w:tab/>
      </w:r>
      <w:r w:rsidR="002252BB">
        <w:t xml:space="preserve">Jamneck </w:t>
      </w:r>
      <w:r w:rsidR="002252BB">
        <w:rPr>
          <w:i/>
          <w:iCs/>
        </w:rPr>
        <w:t>et al.</w:t>
      </w:r>
      <w:r w:rsidR="002252BB">
        <w:t xml:space="preserve"> 2023:125; </w:t>
      </w:r>
      <w:r w:rsidR="00A129E7">
        <w:t xml:space="preserve">Jamneck </w:t>
      </w:r>
      <w:r w:rsidR="00A129E7">
        <w:rPr>
          <w:i/>
          <w:iCs/>
        </w:rPr>
        <w:t>et al.</w:t>
      </w:r>
      <w:r w:rsidR="00A129E7">
        <w:t xml:space="preserve"> 2017:181; </w:t>
      </w:r>
      <w:r w:rsidR="00717F59" w:rsidRPr="002252BB">
        <w:t>De</w:t>
      </w:r>
      <w:r w:rsidR="00717F59">
        <w:t xml:space="preserve"> Waal &amp; Schoeman-</w:t>
      </w:r>
      <w:r w:rsidR="00717F59" w:rsidRPr="002252BB">
        <w:t xml:space="preserve">Malan 2015:116; </w:t>
      </w:r>
      <w:r w:rsidR="00FA3C7A" w:rsidRPr="002252BB">
        <w:rPr>
          <w:lang w:val="en-GB"/>
        </w:rPr>
        <w:t>De Waal &amp; Zimmerman 2011:169, 190</w:t>
      </w:r>
    </w:p>
  </w:footnote>
  <w:footnote w:id="101">
    <w:p w14:paraId="1CDC9A55" w14:textId="77777777" w:rsidR="00C64FDA" w:rsidRPr="002252BB" w:rsidRDefault="00C64FDA" w:rsidP="00C64FDA">
      <w:pPr>
        <w:pStyle w:val="FootnoteText"/>
        <w:ind w:left="284" w:hanging="284"/>
        <w:rPr>
          <w:lang w:val="en-GB"/>
        </w:rPr>
      </w:pPr>
      <w:r w:rsidRPr="002252BB">
        <w:rPr>
          <w:rStyle w:val="FootnoteReference"/>
        </w:rPr>
        <w:footnoteRef/>
      </w:r>
      <w:r w:rsidRPr="002252BB">
        <w:t xml:space="preserve"> </w:t>
      </w:r>
      <w:r w:rsidRPr="002252BB">
        <w:tab/>
        <w:t>De Waal &amp; Zimmerman 2011:172-173.</w:t>
      </w:r>
    </w:p>
  </w:footnote>
  <w:footnote w:id="102">
    <w:p w14:paraId="56196FB1" w14:textId="77777777" w:rsidR="00C64FDA" w:rsidRPr="002252BB" w:rsidRDefault="00C64FDA" w:rsidP="00C64FDA">
      <w:pPr>
        <w:pStyle w:val="FootnoteText"/>
        <w:ind w:left="284" w:hanging="284"/>
        <w:rPr>
          <w:lang w:val="en-GB"/>
        </w:rPr>
      </w:pPr>
      <w:r w:rsidRPr="002252BB">
        <w:rPr>
          <w:rStyle w:val="FootnoteReference"/>
        </w:rPr>
        <w:footnoteRef/>
      </w:r>
      <w:r w:rsidRPr="002252BB">
        <w:t xml:space="preserve"> </w:t>
      </w:r>
      <w:r w:rsidRPr="002252BB">
        <w:tab/>
        <w:t xml:space="preserve">Jamneck </w:t>
      </w:r>
      <w:r w:rsidRPr="002252BB">
        <w:rPr>
          <w:i/>
          <w:iCs/>
        </w:rPr>
        <w:t>et al</w:t>
      </w:r>
      <w:r w:rsidRPr="002252BB">
        <w:t>. 2023:125; Malherbe 2016:26.</w:t>
      </w:r>
    </w:p>
  </w:footnote>
  <w:footnote w:id="103">
    <w:p w14:paraId="28DEB7B6" w14:textId="77777777" w:rsidR="00C64FDA" w:rsidRDefault="00C64FDA" w:rsidP="00C64FDA">
      <w:pPr>
        <w:pStyle w:val="FootnoteText"/>
        <w:tabs>
          <w:tab w:val="left" w:pos="284"/>
        </w:tabs>
        <w:ind w:left="284" w:hanging="284"/>
      </w:pPr>
      <w:r w:rsidRPr="002252BB">
        <w:rPr>
          <w:rStyle w:val="FootnoteReference"/>
        </w:rPr>
        <w:footnoteRef/>
      </w:r>
      <w:r w:rsidRPr="002252BB">
        <w:t xml:space="preserve"> </w:t>
      </w:r>
      <w:r w:rsidRPr="002252BB">
        <w:tab/>
        <w:t>Sonnekus 2023:182.</w:t>
      </w:r>
    </w:p>
  </w:footnote>
  <w:footnote w:id="104">
    <w:p w14:paraId="033A95DD" w14:textId="77777777" w:rsidR="00C64FDA" w:rsidRPr="00CC1453" w:rsidRDefault="00C64FDA" w:rsidP="00C64FDA">
      <w:pPr>
        <w:pStyle w:val="FootnoteText"/>
        <w:ind w:left="284" w:hanging="284"/>
      </w:pPr>
      <w:r>
        <w:rPr>
          <w:rStyle w:val="FootnoteReference"/>
        </w:rPr>
        <w:footnoteRef/>
      </w:r>
      <w:r>
        <w:t>.</w:t>
      </w:r>
      <w:r>
        <w:tab/>
        <w:t>Steyn 2016:12; Malherbe 2016:21.</w:t>
      </w:r>
    </w:p>
  </w:footnote>
  <w:footnote w:id="105">
    <w:p w14:paraId="79940377" w14:textId="22D6F129" w:rsidR="00C64FDA" w:rsidRPr="00C64FDA" w:rsidRDefault="00C64FDA" w:rsidP="00C64FDA">
      <w:pPr>
        <w:pStyle w:val="FootnoteText"/>
        <w:ind w:left="284" w:hanging="284"/>
      </w:pPr>
      <w:r>
        <w:rPr>
          <w:rStyle w:val="FootnoteReference"/>
        </w:rPr>
        <w:footnoteRef/>
      </w:r>
      <w:r>
        <w:t xml:space="preserve"> </w:t>
      </w:r>
      <w:r>
        <w:tab/>
      </w:r>
      <w:r w:rsidRPr="00F23B2A">
        <w:rPr>
          <w:i/>
          <w:iCs/>
        </w:rPr>
        <w:t>Ex parte Steenkamp &amp; Steenkamp</w:t>
      </w:r>
      <w:r>
        <w:t xml:space="preserve"> 1952 1 SA 744 (T):745C; </w:t>
      </w:r>
      <w:r>
        <w:rPr>
          <w:i/>
          <w:iCs/>
        </w:rPr>
        <w:t>Casey NO v The Master</w:t>
      </w:r>
      <w:r w:rsidR="00C838A2">
        <w:rPr>
          <w:i/>
          <w:iCs/>
        </w:rPr>
        <w:t xml:space="preserve"> &amp; Others</w:t>
      </w:r>
      <w:r>
        <w:rPr>
          <w:i/>
          <w:iCs/>
        </w:rPr>
        <w:t xml:space="preserve"> </w:t>
      </w:r>
      <w:r>
        <w:t>19</w:t>
      </w:r>
      <w:r w:rsidR="00477BFA">
        <w:t>9</w:t>
      </w:r>
      <w:r>
        <w:t>2 4 SA 505 (N):508F.</w:t>
      </w:r>
    </w:p>
  </w:footnote>
  <w:footnote w:id="106">
    <w:p w14:paraId="3E55F7AD" w14:textId="77777777" w:rsidR="00C64FDA" w:rsidRDefault="00C64FDA" w:rsidP="00C64FDA">
      <w:pPr>
        <w:pStyle w:val="FootnoteText"/>
        <w:ind w:left="284" w:hanging="284"/>
      </w:pPr>
      <w:r>
        <w:rPr>
          <w:rStyle w:val="FootnoteReference"/>
        </w:rPr>
        <w:footnoteRef/>
      </w:r>
      <w:r>
        <w:t xml:space="preserve"> </w:t>
      </w:r>
      <w:r>
        <w:tab/>
      </w:r>
      <w:r w:rsidRPr="00F23B2A">
        <w:rPr>
          <w:i/>
          <w:iCs/>
        </w:rPr>
        <w:t>Ex parte Steenkamp &amp; Steenkamp</w:t>
      </w:r>
      <w:r>
        <w:t xml:space="preserve"> 1952 1 SA 744 (T)748B-C; 749D </w:t>
      </w:r>
    </w:p>
  </w:footnote>
  <w:footnote w:id="107">
    <w:p w14:paraId="030B739B" w14:textId="43C08F09" w:rsidR="00C64FDA" w:rsidRPr="00217E6C" w:rsidRDefault="00C64FDA" w:rsidP="00C64FDA">
      <w:pPr>
        <w:pStyle w:val="FootnoteText"/>
        <w:ind w:left="284" w:hanging="284"/>
        <w:rPr>
          <w:lang w:val="en-GB"/>
        </w:rPr>
      </w:pPr>
      <w:r>
        <w:rPr>
          <w:rStyle w:val="FootnoteReference"/>
        </w:rPr>
        <w:footnoteRef/>
      </w:r>
      <w:r>
        <w:t xml:space="preserve"> </w:t>
      </w:r>
      <w:r>
        <w:tab/>
        <w:t>Jamneck &amp; Rautenbach 2017:181; Malherbe 2016:21; Van der Walt &amp; Sonnekus 1981:</w:t>
      </w:r>
      <w:r w:rsidR="00D25979">
        <w:t>30</w:t>
      </w:r>
      <w:r w:rsidR="00C90F08">
        <w:t>.</w:t>
      </w:r>
    </w:p>
  </w:footnote>
  <w:footnote w:id="108">
    <w:p w14:paraId="695EA6EC" w14:textId="77777777" w:rsidR="00C64FDA" w:rsidRPr="00E81804" w:rsidRDefault="00C64FDA" w:rsidP="00C64FDA">
      <w:pPr>
        <w:pStyle w:val="FootnoteText"/>
        <w:ind w:left="284" w:hanging="284"/>
      </w:pPr>
      <w:r w:rsidRPr="00E81804">
        <w:rPr>
          <w:rStyle w:val="FootnoteReference"/>
        </w:rPr>
        <w:footnoteRef/>
      </w:r>
      <w:r w:rsidRPr="00E81804">
        <w:t xml:space="preserve"> </w:t>
      </w:r>
      <w:r w:rsidRPr="00E81804">
        <w:tab/>
        <w:t>Wood-Bodley 2010:30.</w:t>
      </w:r>
    </w:p>
  </w:footnote>
  <w:footnote w:id="109">
    <w:p w14:paraId="15BA37AB" w14:textId="7377225F" w:rsidR="002A60BD" w:rsidRDefault="002A60BD">
      <w:pPr>
        <w:pStyle w:val="FootnoteText"/>
      </w:pPr>
      <w:r>
        <w:rPr>
          <w:rStyle w:val="FootnoteReference"/>
        </w:rPr>
        <w:footnoteRef/>
      </w:r>
      <w:r>
        <w:t xml:space="preserve"> De Waal &amp; Zimmerman 2011:174.</w:t>
      </w:r>
    </w:p>
  </w:footnote>
  <w:footnote w:id="110">
    <w:p w14:paraId="6F368C9E" w14:textId="5A031E9B" w:rsidR="00C64FDA" w:rsidRDefault="00C64FDA" w:rsidP="00C64FDA">
      <w:pPr>
        <w:pStyle w:val="FootnoteText"/>
        <w:ind w:left="284" w:hanging="284"/>
      </w:pPr>
      <w:r>
        <w:rPr>
          <w:rStyle w:val="FootnoteReference"/>
        </w:rPr>
        <w:footnoteRef/>
      </w:r>
      <w:r>
        <w:t xml:space="preserve"> </w:t>
      </w:r>
      <w:r>
        <w:tab/>
        <w:t>Jamneck &amp; Rautenbach 2023:125;</w:t>
      </w:r>
      <w:r w:rsidR="0074341B">
        <w:t xml:space="preserve"> De Waal &amp; Zimmerman 2011:175;</w:t>
      </w:r>
      <w:r>
        <w:t xml:space="preserve"> </w:t>
      </w:r>
      <w:r w:rsidRPr="00F23B2A">
        <w:rPr>
          <w:i/>
          <w:iCs/>
        </w:rPr>
        <w:t>Ex parte Steenkamp &amp; Steenkamp</w:t>
      </w:r>
      <w:r>
        <w:t xml:space="preserve"> 1952 1 SA 744 (T):750.</w:t>
      </w:r>
    </w:p>
  </w:footnote>
  <w:footnote w:id="111">
    <w:p w14:paraId="1ABD74EC" w14:textId="3E098EB9" w:rsidR="00C64FDA" w:rsidRDefault="00C64FDA" w:rsidP="00C64FDA">
      <w:pPr>
        <w:pStyle w:val="FootnoteText"/>
        <w:ind w:left="284" w:hanging="284"/>
      </w:pPr>
      <w:r>
        <w:rPr>
          <w:rStyle w:val="FootnoteReference"/>
        </w:rPr>
        <w:footnoteRef/>
      </w:r>
      <w:r>
        <w:t xml:space="preserve"> </w:t>
      </w:r>
      <w:r w:rsidRPr="00F23B2A">
        <w:rPr>
          <w:i/>
          <w:iCs/>
        </w:rPr>
        <w:t>Ex parte Steenkamp &amp; Steenkamp</w:t>
      </w:r>
      <w:r>
        <w:t xml:space="preserve"> 1952 1 SA 744 (T):752A-B; Jamneck &amp; Rautenbach 2023:128; Hofmeyr &amp; Paleker 2023:143</w:t>
      </w:r>
      <w:r w:rsidR="008169F8">
        <w:t>.</w:t>
      </w:r>
    </w:p>
  </w:footnote>
  <w:footnote w:id="112">
    <w:p w14:paraId="713B4E62" w14:textId="77777777" w:rsidR="00C64FDA" w:rsidRDefault="00C64FDA" w:rsidP="00C64FDA">
      <w:pPr>
        <w:pStyle w:val="FootnoteText"/>
        <w:ind w:left="284" w:hanging="284"/>
      </w:pPr>
      <w:r>
        <w:rPr>
          <w:rStyle w:val="FootnoteReference"/>
        </w:rPr>
        <w:footnoteRef/>
      </w:r>
      <w:r>
        <w:t xml:space="preserve"> </w:t>
      </w:r>
      <w:r w:rsidRPr="00F23B2A">
        <w:rPr>
          <w:i/>
          <w:iCs/>
        </w:rPr>
        <w:t>Ex parte Steenkamp &amp; Steenkamp</w:t>
      </w:r>
      <w:r>
        <w:t xml:space="preserve"> 1952 1 SA 744 (T):750.</w:t>
      </w:r>
    </w:p>
  </w:footnote>
  <w:footnote w:id="113">
    <w:p w14:paraId="714F2DAF" w14:textId="714DB70F" w:rsidR="00C64FDA" w:rsidRDefault="00C64FDA" w:rsidP="00780726">
      <w:pPr>
        <w:pStyle w:val="FootnoteText"/>
        <w:ind w:left="284" w:hanging="284"/>
      </w:pPr>
      <w:r>
        <w:rPr>
          <w:rStyle w:val="FootnoteReference"/>
        </w:rPr>
        <w:footnoteRef/>
      </w:r>
      <w:r>
        <w:t xml:space="preserve"> </w:t>
      </w:r>
      <w:r>
        <w:tab/>
      </w:r>
      <w:r w:rsidR="00477BFA">
        <w:t>Jamneck &amp; Rautenbach 2023:125; Hofmeyr &amp; Paleker 2023:141, 143; Malherbe 2016:21, 22;</w:t>
      </w:r>
      <w:r w:rsidR="00477BFA" w:rsidRPr="004A279C">
        <w:t xml:space="preserve"> </w:t>
      </w:r>
      <w:r w:rsidR="00477BFA" w:rsidRPr="00FC19F4">
        <w:t xml:space="preserve">Sonnekus </w:t>
      </w:r>
      <w:r w:rsidR="00477BFA">
        <w:t>2010:175.</w:t>
      </w:r>
    </w:p>
  </w:footnote>
  <w:footnote w:id="114">
    <w:p w14:paraId="05987988" w14:textId="7A8AB409" w:rsidR="00C64FDA" w:rsidRPr="00302841" w:rsidRDefault="00C64FDA" w:rsidP="00780726">
      <w:pPr>
        <w:pStyle w:val="FootnoteText"/>
        <w:ind w:left="284" w:hanging="284"/>
        <w:rPr>
          <w:lang w:val="en-GB"/>
        </w:rPr>
      </w:pPr>
      <w:r>
        <w:rPr>
          <w:rStyle w:val="FootnoteReference"/>
        </w:rPr>
        <w:footnoteRef/>
      </w:r>
      <w:r>
        <w:t xml:space="preserve"> Steyn</w:t>
      </w:r>
      <w:r>
        <w:rPr>
          <w:lang w:val="en-GB"/>
        </w:rPr>
        <w:t xml:space="preserve"> 2016:50</w:t>
      </w:r>
      <w:r w:rsidR="00557D90">
        <w:rPr>
          <w:lang w:val="en-GB"/>
        </w:rPr>
        <w:t xml:space="preserve">; </w:t>
      </w:r>
      <w:r w:rsidR="00557D90">
        <w:t>Schoeman-Malan 2013:121.</w:t>
      </w:r>
    </w:p>
  </w:footnote>
  <w:footnote w:id="115">
    <w:p w14:paraId="2A0FCC52" w14:textId="686E7112" w:rsidR="00CE3D34" w:rsidRDefault="00CE3D34" w:rsidP="00780726">
      <w:pPr>
        <w:pStyle w:val="FootnoteText"/>
        <w:ind w:left="284" w:hanging="284"/>
      </w:pPr>
      <w:r>
        <w:rPr>
          <w:rStyle w:val="FootnoteReference"/>
        </w:rPr>
        <w:footnoteRef/>
      </w:r>
      <w:r>
        <w:t xml:space="preserve"> De Waal &amp; Schoeman-Malan 2015:237.</w:t>
      </w:r>
    </w:p>
  </w:footnote>
  <w:footnote w:id="116">
    <w:p w14:paraId="2D1524D6" w14:textId="77777777" w:rsidR="00FD22D7" w:rsidRDefault="00FD22D7" w:rsidP="00780726">
      <w:pPr>
        <w:pStyle w:val="FootnoteText"/>
        <w:ind w:left="284" w:hanging="284"/>
      </w:pPr>
      <w:r>
        <w:rPr>
          <w:rStyle w:val="FootnoteReference"/>
        </w:rPr>
        <w:footnoteRef/>
      </w:r>
      <w:r>
        <w:t xml:space="preserve"> Schoeman-Malan 2015:139.</w:t>
      </w:r>
    </w:p>
  </w:footnote>
  <w:footnote w:id="117">
    <w:p w14:paraId="1F3302BB" w14:textId="7211BD4F" w:rsidR="00FD22D7" w:rsidRPr="005533AE" w:rsidRDefault="00FD22D7" w:rsidP="00780726">
      <w:pPr>
        <w:pStyle w:val="FootnoteText"/>
        <w:ind w:left="284" w:hanging="284"/>
      </w:pPr>
      <w:r>
        <w:rPr>
          <w:rStyle w:val="FootnoteReference"/>
        </w:rPr>
        <w:footnoteRef/>
      </w:r>
      <w:r>
        <w:t xml:space="preserve"> </w:t>
      </w:r>
      <w:r>
        <w:tab/>
        <w:t xml:space="preserve">Unknown </w:t>
      </w:r>
      <w:r w:rsidR="00804F6D">
        <w:t>“</w:t>
      </w:r>
      <w:r w:rsidRPr="00804F6D">
        <w:t xml:space="preserve">Deceased </w:t>
      </w:r>
      <w:r w:rsidR="00804F6D">
        <w:t>e</w:t>
      </w:r>
      <w:r w:rsidRPr="00804F6D">
        <w:t>states</w:t>
      </w:r>
      <w:r w:rsidR="00804F6D">
        <w:t>”,</w:t>
      </w:r>
      <w:r>
        <w:t xml:space="preserve"> </w:t>
      </w:r>
      <w:r w:rsidRPr="00804F6D">
        <w:t>https://www.justice.gov.za/master/deceased.html</w:t>
      </w:r>
      <w:r>
        <w:t xml:space="preserve"> </w:t>
      </w:r>
      <w:r w:rsidR="00804F6D">
        <w:t>(</w:t>
      </w:r>
      <w:r>
        <w:t>accessed on 26 November 2024</w:t>
      </w:r>
      <w:r w:rsidR="00804F6D">
        <w:t>)</w:t>
      </w:r>
      <w:r>
        <w:t>; Schoeman-Malan 2013:139.</w:t>
      </w:r>
    </w:p>
  </w:footnote>
  <w:footnote w:id="118">
    <w:p w14:paraId="1E53975B" w14:textId="77777777" w:rsidR="000B67EE" w:rsidRDefault="000B67EE" w:rsidP="000B67EE">
      <w:pPr>
        <w:pStyle w:val="FootnoteText"/>
        <w:ind w:left="284" w:hanging="284"/>
      </w:pPr>
      <w:r>
        <w:rPr>
          <w:rStyle w:val="FootnoteReference"/>
        </w:rPr>
        <w:footnoteRef/>
      </w:r>
      <w:r>
        <w:t xml:space="preserve"> Schoeman-Malan 2013:139.</w:t>
      </w:r>
    </w:p>
  </w:footnote>
  <w:footnote w:id="119">
    <w:p w14:paraId="782CCA07" w14:textId="77777777" w:rsidR="00FD22D7" w:rsidRDefault="00FD22D7" w:rsidP="00780726">
      <w:pPr>
        <w:pStyle w:val="FootnoteText"/>
        <w:ind w:left="284" w:hanging="284"/>
      </w:pPr>
      <w:r>
        <w:rPr>
          <w:rStyle w:val="FootnoteReference"/>
        </w:rPr>
        <w:footnoteRef/>
      </w:r>
      <w:r>
        <w:t xml:space="preserve"> Schoeman-Malan 2013:139-140.</w:t>
      </w:r>
    </w:p>
  </w:footnote>
  <w:footnote w:id="120">
    <w:p w14:paraId="78EEE348" w14:textId="77777777" w:rsidR="00FD22D7" w:rsidRDefault="00FD22D7" w:rsidP="00780726">
      <w:pPr>
        <w:pStyle w:val="FootnoteText"/>
        <w:ind w:left="284" w:hanging="284"/>
      </w:pPr>
      <w:r>
        <w:rPr>
          <w:rStyle w:val="FootnoteReference"/>
        </w:rPr>
        <w:footnoteRef/>
      </w:r>
      <w:r>
        <w:t xml:space="preserve"> Schoeman-Malan 2013:140.</w:t>
      </w:r>
    </w:p>
  </w:footnote>
  <w:footnote w:id="121">
    <w:p w14:paraId="046FFC73" w14:textId="77777777" w:rsidR="00435D02" w:rsidRPr="000D2CFD" w:rsidRDefault="00435D02" w:rsidP="00435D02">
      <w:pPr>
        <w:pStyle w:val="FootnoteText"/>
        <w:ind w:left="284" w:hanging="284"/>
        <w:rPr>
          <w:lang w:val="en-GB"/>
        </w:rPr>
      </w:pPr>
      <w:r>
        <w:rPr>
          <w:rStyle w:val="FootnoteReference"/>
        </w:rPr>
        <w:footnoteRef/>
      </w:r>
      <w:r>
        <w:t xml:space="preserve"> </w:t>
      </w:r>
      <w:r>
        <w:tab/>
      </w:r>
      <w:r>
        <w:rPr>
          <w:i/>
          <w:iCs/>
          <w:lang w:val="en-GB"/>
        </w:rPr>
        <w:t xml:space="preserve">Pu &amp; Others v Ranchod NO &amp; Another </w:t>
      </w:r>
      <w:r w:rsidRPr="000D2CFD">
        <w:rPr>
          <w:lang w:val="en-GB"/>
        </w:rPr>
        <w:t>2005 JOL</w:t>
      </w:r>
      <w:r>
        <w:rPr>
          <w:i/>
          <w:iCs/>
          <w:lang w:val="en-GB"/>
        </w:rPr>
        <w:t xml:space="preserve"> </w:t>
      </w:r>
      <w:r>
        <w:rPr>
          <w:lang w:val="en-GB"/>
        </w:rPr>
        <w:t>15767 (ZH):3.</w:t>
      </w:r>
    </w:p>
  </w:footnote>
  <w:footnote w:id="122">
    <w:p w14:paraId="218A2E3F" w14:textId="77777777" w:rsidR="00435D02" w:rsidRDefault="00435D02" w:rsidP="00435D02">
      <w:pPr>
        <w:pStyle w:val="FootnoteText"/>
      </w:pPr>
      <w:r>
        <w:rPr>
          <w:rStyle w:val="FootnoteReference"/>
        </w:rPr>
        <w:footnoteRef/>
      </w:r>
      <w:r>
        <w:t xml:space="preserve"> Schoeman-Malan 2013:126.</w:t>
      </w:r>
    </w:p>
  </w:footnote>
  <w:footnote w:id="123">
    <w:p w14:paraId="00FDB4B0" w14:textId="77777777" w:rsidR="00435D02" w:rsidRDefault="00435D02" w:rsidP="00435D02">
      <w:pPr>
        <w:pStyle w:val="FootnoteText"/>
        <w:ind w:left="284" w:hanging="284"/>
      </w:pPr>
      <w:r>
        <w:rPr>
          <w:rStyle w:val="FootnoteReference"/>
        </w:rPr>
        <w:footnoteRef/>
      </w:r>
      <w:r>
        <w:t xml:space="preserve"> </w:t>
      </w:r>
      <w:r>
        <w:tab/>
        <w:t>Lategan 2010:33.</w:t>
      </w:r>
    </w:p>
  </w:footnote>
  <w:footnote w:id="124">
    <w:p w14:paraId="4811C97D" w14:textId="77777777" w:rsidR="00FD22D7" w:rsidRPr="002B5410" w:rsidRDefault="00FD22D7" w:rsidP="00780726">
      <w:pPr>
        <w:pStyle w:val="FootnoteText"/>
        <w:tabs>
          <w:tab w:val="left" w:pos="284"/>
          <w:tab w:val="left" w:pos="851"/>
        </w:tabs>
        <w:ind w:left="284" w:hanging="284"/>
      </w:pPr>
      <w:r>
        <w:rPr>
          <w:rStyle w:val="FootnoteReference"/>
        </w:rPr>
        <w:footnoteRef/>
      </w:r>
      <w:r>
        <w:t xml:space="preserve"> </w:t>
      </w:r>
      <w:r>
        <w:tab/>
      </w:r>
      <w:r>
        <w:rPr>
          <w:i/>
          <w:iCs/>
        </w:rPr>
        <w:t xml:space="preserve">Leeb &amp; Another v Leeb &amp; Another </w:t>
      </w:r>
      <w:r w:rsidRPr="00244880">
        <w:t>1999 2 All SA 588 (N):592</w:t>
      </w:r>
      <w:r>
        <w:t>.</w:t>
      </w:r>
    </w:p>
  </w:footnote>
  <w:footnote w:id="125">
    <w:p w14:paraId="18FE0A77" w14:textId="77777777" w:rsidR="00F943AE" w:rsidRPr="006849D2" w:rsidRDefault="00F943AE" w:rsidP="002E7091">
      <w:pPr>
        <w:pStyle w:val="FootnoteText"/>
        <w:ind w:left="284" w:hanging="284"/>
      </w:pPr>
      <w:r>
        <w:rPr>
          <w:rStyle w:val="FootnoteReference"/>
        </w:rPr>
        <w:footnoteRef/>
      </w:r>
      <w:r>
        <w:t xml:space="preserve"> </w:t>
      </w:r>
      <w:r>
        <w:rPr>
          <w:i/>
          <w:iCs/>
        </w:rPr>
        <w:t>Taylor v Pim</w:t>
      </w:r>
      <w:r>
        <w:t xml:space="preserve"> 1903 24 NLR 484:487.</w:t>
      </w:r>
    </w:p>
  </w:footnote>
  <w:footnote w:id="126">
    <w:p w14:paraId="64E4374B" w14:textId="77777777" w:rsidR="00F943AE" w:rsidRDefault="00F943AE" w:rsidP="002E7091">
      <w:pPr>
        <w:pStyle w:val="FootnoteText"/>
        <w:tabs>
          <w:tab w:val="left" w:pos="284"/>
        </w:tabs>
        <w:ind w:left="284" w:hanging="284"/>
      </w:pPr>
      <w:r>
        <w:rPr>
          <w:rStyle w:val="FootnoteReference"/>
        </w:rPr>
        <w:footnoteRef/>
      </w:r>
      <w:r>
        <w:t xml:space="preserve"> </w:t>
      </w:r>
      <w:r>
        <w:tab/>
      </w:r>
      <w:r w:rsidRPr="00E91EB8">
        <w:rPr>
          <w:rFonts w:cs="Arial"/>
          <w:i/>
          <w:iCs/>
          <w:szCs w:val="24"/>
        </w:rPr>
        <w:t>Taylor v Pim</w:t>
      </w:r>
      <w:r>
        <w:rPr>
          <w:rFonts w:cs="Arial"/>
          <w:i/>
          <w:iCs/>
          <w:szCs w:val="24"/>
        </w:rPr>
        <w:t xml:space="preserve"> </w:t>
      </w:r>
      <w:r>
        <w:rPr>
          <w:rFonts w:cs="Arial"/>
          <w:szCs w:val="24"/>
        </w:rPr>
        <w:t>1903 24 NLR 484:484-485.</w:t>
      </w:r>
    </w:p>
  </w:footnote>
  <w:footnote w:id="127">
    <w:p w14:paraId="222A1DB3" w14:textId="25C8A48C" w:rsidR="00F943AE" w:rsidRDefault="00F943AE" w:rsidP="002E7091">
      <w:pPr>
        <w:pStyle w:val="FootnoteText"/>
        <w:ind w:left="284" w:hanging="284"/>
      </w:pPr>
      <w:r>
        <w:rPr>
          <w:rStyle w:val="FootnoteReference"/>
        </w:rPr>
        <w:footnoteRef/>
      </w:r>
      <w:r>
        <w:t xml:space="preserve"> </w:t>
      </w:r>
      <w:r w:rsidRPr="00E91EB8">
        <w:rPr>
          <w:rFonts w:cs="Arial"/>
          <w:i/>
          <w:iCs/>
          <w:szCs w:val="24"/>
        </w:rPr>
        <w:t>Taylor v Pim</w:t>
      </w:r>
      <w:r>
        <w:rPr>
          <w:rFonts w:cs="Arial"/>
          <w:i/>
          <w:iCs/>
          <w:szCs w:val="24"/>
        </w:rPr>
        <w:t xml:space="preserve"> </w:t>
      </w:r>
      <w:r>
        <w:rPr>
          <w:rFonts w:cs="Arial"/>
          <w:szCs w:val="24"/>
        </w:rPr>
        <w:t>1903 24 NLR 484:486,</w:t>
      </w:r>
      <w:r w:rsidR="0025188D">
        <w:rPr>
          <w:rFonts w:cs="Arial"/>
          <w:szCs w:val="24"/>
        </w:rPr>
        <w:t xml:space="preserve"> </w:t>
      </w:r>
      <w:r>
        <w:rPr>
          <w:rFonts w:cs="Arial"/>
          <w:szCs w:val="24"/>
        </w:rPr>
        <w:t>491.</w:t>
      </w:r>
    </w:p>
  </w:footnote>
  <w:footnote w:id="128">
    <w:p w14:paraId="44C2339E" w14:textId="77777777" w:rsidR="00F943AE" w:rsidRDefault="00F943AE" w:rsidP="002E7091">
      <w:pPr>
        <w:pStyle w:val="FootnoteText"/>
        <w:ind w:left="284" w:hanging="284"/>
      </w:pPr>
      <w:r>
        <w:rPr>
          <w:rStyle w:val="FootnoteReference"/>
        </w:rPr>
        <w:footnoteRef/>
      </w:r>
      <w:r>
        <w:t xml:space="preserve"> </w:t>
      </w:r>
      <w:r w:rsidRPr="00E91EB8">
        <w:rPr>
          <w:rFonts w:cs="Arial"/>
          <w:i/>
          <w:iCs/>
          <w:szCs w:val="24"/>
        </w:rPr>
        <w:t>Taylor v Pim</w:t>
      </w:r>
      <w:r>
        <w:rPr>
          <w:rFonts w:cs="Arial"/>
          <w:i/>
          <w:iCs/>
          <w:szCs w:val="24"/>
        </w:rPr>
        <w:t xml:space="preserve"> </w:t>
      </w:r>
      <w:r>
        <w:rPr>
          <w:rFonts w:cs="Arial"/>
          <w:szCs w:val="24"/>
        </w:rPr>
        <w:t>1903 24 NLR 484:495-497.</w:t>
      </w:r>
    </w:p>
  </w:footnote>
  <w:footnote w:id="129">
    <w:p w14:paraId="06D7F26A" w14:textId="6A6EE1CF" w:rsidR="00300900" w:rsidRPr="00300900" w:rsidRDefault="00300900" w:rsidP="002E7091">
      <w:pPr>
        <w:pStyle w:val="FootnoteText"/>
        <w:ind w:left="284" w:hanging="284"/>
      </w:pPr>
      <w:r>
        <w:rPr>
          <w:rStyle w:val="FootnoteReference"/>
        </w:rPr>
        <w:footnoteRef/>
      </w:r>
      <w:r>
        <w:t xml:space="preserve"> </w:t>
      </w:r>
      <w:r>
        <w:rPr>
          <w:i/>
          <w:iCs/>
        </w:rPr>
        <w:t>Taylor v Pim</w:t>
      </w:r>
      <w:r>
        <w:t xml:space="preserve"> 1903 24 NLR 484:498.</w:t>
      </w:r>
    </w:p>
  </w:footnote>
  <w:footnote w:id="130">
    <w:p w14:paraId="69431B33" w14:textId="77777777" w:rsidR="00F943AE" w:rsidRPr="00197A21" w:rsidRDefault="00F943AE" w:rsidP="002E7091">
      <w:pPr>
        <w:pStyle w:val="FootnoteText"/>
        <w:ind w:left="284" w:hanging="284"/>
        <w:rPr>
          <w:lang w:val="en-GB"/>
        </w:rPr>
      </w:pPr>
      <w:r>
        <w:rPr>
          <w:rStyle w:val="FootnoteReference"/>
        </w:rPr>
        <w:footnoteRef/>
      </w:r>
      <w:r>
        <w:t xml:space="preserve"> </w:t>
      </w:r>
      <w:r>
        <w:rPr>
          <w:lang w:val="en-GB"/>
        </w:rPr>
        <w:t>Thirion 2013:45-46.</w:t>
      </w:r>
    </w:p>
  </w:footnote>
  <w:footnote w:id="131">
    <w:p w14:paraId="34FEC482" w14:textId="77777777" w:rsidR="00EE11FD" w:rsidRDefault="00EE11FD" w:rsidP="002E7091">
      <w:pPr>
        <w:pStyle w:val="FootnoteText"/>
        <w:ind w:left="284" w:hanging="284"/>
      </w:pPr>
      <w:r>
        <w:rPr>
          <w:rStyle w:val="FootnoteReference"/>
        </w:rPr>
        <w:footnoteRef/>
      </w:r>
      <w:r>
        <w:t xml:space="preserve"> </w:t>
      </w:r>
      <w:r>
        <w:tab/>
      </w:r>
      <w:r w:rsidRPr="00E91EB8">
        <w:rPr>
          <w:rFonts w:cs="Arial"/>
          <w:i/>
          <w:iCs/>
          <w:szCs w:val="24"/>
        </w:rPr>
        <w:t>Taylor v Pim</w:t>
      </w:r>
      <w:r>
        <w:rPr>
          <w:rFonts w:cs="Arial"/>
          <w:i/>
          <w:iCs/>
          <w:szCs w:val="24"/>
        </w:rPr>
        <w:t xml:space="preserve"> </w:t>
      </w:r>
      <w:r>
        <w:rPr>
          <w:rFonts w:cs="Arial"/>
          <w:szCs w:val="24"/>
        </w:rPr>
        <w:t>1903 24 NLR 484:493.</w:t>
      </w:r>
    </w:p>
  </w:footnote>
  <w:footnote w:id="132">
    <w:p w14:paraId="0F3A8FEA" w14:textId="4ACFC05A" w:rsidR="006F3B2C" w:rsidRDefault="006F3B2C" w:rsidP="006F3B2C">
      <w:pPr>
        <w:pStyle w:val="FootnoteText"/>
      </w:pPr>
      <w:r>
        <w:rPr>
          <w:rStyle w:val="FootnoteReference"/>
        </w:rPr>
        <w:footnoteRef/>
      </w:r>
      <w:r>
        <w:t xml:space="preserve"> </w:t>
      </w:r>
      <w:r w:rsidR="000F7482">
        <w:t xml:space="preserve">De Waal &amp; Zimmerman 2011:183; </w:t>
      </w:r>
      <w:r>
        <w:t>Sonnekus &amp; Van der Walt 1992:148</w:t>
      </w:r>
      <w:r w:rsidR="000F7482">
        <w:t>.</w:t>
      </w:r>
    </w:p>
  </w:footnote>
  <w:footnote w:id="133">
    <w:p w14:paraId="7F4CA3FC" w14:textId="1D5D4F13" w:rsidR="004E00A3" w:rsidRPr="007606F2" w:rsidRDefault="004E00A3" w:rsidP="002E7091">
      <w:pPr>
        <w:pStyle w:val="FootnoteText"/>
        <w:ind w:left="284" w:hanging="284"/>
      </w:pPr>
      <w:r>
        <w:rPr>
          <w:rStyle w:val="FootnoteReference"/>
        </w:rPr>
        <w:footnoteRef/>
      </w:r>
      <w:r>
        <w:t xml:space="preserve"> Lategan 2010:</w:t>
      </w:r>
      <w:r w:rsidR="00536B6C">
        <w:t>24,</w:t>
      </w:r>
      <w:r w:rsidR="0025188D">
        <w:t xml:space="preserve"> </w:t>
      </w:r>
      <w:r>
        <w:t>35</w:t>
      </w:r>
      <w:r w:rsidR="007606F2">
        <w:t xml:space="preserve">; </w:t>
      </w:r>
      <w:r w:rsidR="007606F2">
        <w:rPr>
          <w:i/>
          <w:iCs/>
        </w:rPr>
        <w:t xml:space="preserve">Danielz NO v De Wet </w:t>
      </w:r>
      <w:r w:rsidR="007606F2">
        <w:t>2009 6 SA 42 (C):50E.</w:t>
      </w:r>
    </w:p>
  </w:footnote>
  <w:footnote w:id="134">
    <w:p w14:paraId="796D86D5" w14:textId="0A17A782" w:rsidR="002E222B" w:rsidRPr="002E222B" w:rsidRDefault="002E222B" w:rsidP="002E7091">
      <w:pPr>
        <w:pStyle w:val="FootnoteText"/>
        <w:ind w:left="284" w:hanging="284"/>
      </w:pPr>
      <w:r>
        <w:rPr>
          <w:rStyle w:val="FootnoteReference"/>
        </w:rPr>
        <w:footnoteRef/>
      </w:r>
      <w:r>
        <w:t xml:space="preserve"> </w:t>
      </w:r>
      <w:r>
        <w:rPr>
          <w:i/>
          <w:iCs/>
        </w:rPr>
        <w:t xml:space="preserve">Gafin NO v Kavin </w:t>
      </w:r>
      <w:r>
        <w:t>1980 All SA 354 (W):355.</w:t>
      </w:r>
    </w:p>
  </w:footnote>
  <w:footnote w:id="135">
    <w:p w14:paraId="184E0612" w14:textId="6FF63BC4" w:rsidR="00A6551F" w:rsidRDefault="00A6551F" w:rsidP="00A6551F">
      <w:pPr>
        <w:pStyle w:val="FootnoteText"/>
        <w:ind w:left="284" w:hanging="284"/>
      </w:pPr>
      <w:r>
        <w:rPr>
          <w:rStyle w:val="FootnoteReference"/>
        </w:rPr>
        <w:footnoteRef/>
      </w:r>
      <w:r>
        <w:t xml:space="preserve"> </w:t>
      </w:r>
      <w:r>
        <w:tab/>
      </w:r>
      <w:r>
        <w:rPr>
          <w:i/>
          <w:iCs/>
        </w:rPr>
        <w:t>Casey NO v The Master &amp; Others</w:t>
      </w:r>
      <w:r>
        <w:t xml:space="preserve"> 1992 4 SA 505 (N):511C-D</w:t>
      </w:r>
      <w:r w:rsidR="00C62B54">
        <w:t xml:space="preserve">; </w:t>
      </w:r>
      <w:r w:rsidR="00733F0E">
        <w:t xml:space="preserve">De Waal &amp; Zimmerman 2011:187; </w:t>
      </w:r>
      <w:r w:rsidR="00C62B54">
        <w:t>De Waal 2008:1090.</w:t>
      </w:r>
    </w:p>
  </w:footnote>
  <w:footnote w:id="136">
    <w:p w14:paraId="215E7DD6" w14:textId="6D5DCB1F" w:rsidR="004A279C" w:rsidRDefault="004A279C" w:rsidP="002E7091">
      <w:pPr>
        <w:pStyle w:val="FootnoteText"/>
        <w:tabs>
          <w:tab w:val="left" w:pos="284"/>
        </w:tabs>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w:t>
      </w:r>
      <w:r w:rsidR="00127096">
        <w:rPr>
          <w:rFonts w:cs="Arial"/>
          <w:szCs w:val="24"/>
        </w:rPr>
        <w:t>9</w:t>
      </w:r>
      <w:r>
        <w:rPr>
          <w:rFonts w:cs="Arial"/>
          <w:szCs w:val="24"/>
        </w:rPr>
        <w:t>; Jamneck &amp; Rautenbach 2023:127.</w:t>
      </w:r>
    </w:p>
  </w:footnote>
  <w:footnote w:id="137">
    <w:p w14:paraId="4E4BF53E" w14:textId="5D4EDE6A" w:rsidR="0008698B" w:rsidRDefault="0008698B" w:rsidP="007E120A">
      <w:pPr>
        <w:pStyle w:val="FootnoteText"/>
        <w:ind w:left="284" w:hanging="284"/>
      </w:pPr>
      <w:r>
        <w:rPr>
          <w:rStyle w:val="FootnoteReference"/>
        </w:rPr>
        <w:footnoteRef/>
      </w:r>
      <w:r>
        <w:t xml:space="preserve"> The so-called </w:t>
      </w:r>
      <w:r>
        <w:rPr>
          <w:i/>
          <w:iCs/>
        </w:rPr>
        <w:t>Hollington</w:t>
      </w:r>
      <w:r>
        <w:t xml:space="preserve"> rule, as derived from the case of </w:t>
      </w:r>
      <w:r>
        <w:rPr>
          <w:i/>
          <w:iCs/>
        </w:rPr>
        <w:t>Hollington v F Hewthorn &amp; Company Limited</w:t>
      </w:r>
      <w:r>
        <w:t xml:space="preserve"> (1943 2 ALL ER 35:35) states that “[i]n a subsequent civil trial the </w:t>
      </w:r>
      <w:r w:rsidR="00C84801">
        <w:t>C</w:t>
      </w:r>
      <w:r>
        <w:t>ourt should come to a decision on the facts before it without regard to the proceedings before another tribunal”</w:t>
      </w:r>
      <w:r w:rsidR="00E52696">
        <w:t xml:space="preserve">. </w:t>
      </w:r>
      <w:r w:rsidR="00633513">
        <w:t>Despite Moorcroft AJ’s</w:t>
      </w:r>
      <w:r w:rsidR="00E52696">
        <w:t xml:space="preserve"> </w:t>
      </w:r>
      <w:r w:rsidR="00633513">
        <w:t>view that th</w:t>
      </w:r>
      <w:r w:rsidR="00E52696">
        <w:t xml:space="preserve">e rule deeming the judgement of another </w:t>
      </w:r>
      <w:r w:rsidR="00F2109E">
        <w:t>c</w:t>
      </w:r>
      <w:r w:rsidR="00E52696">
        <w:t xml:space="preserve">ourt as “an irrelevant opinion” </w:t>
      </w:r>
      <w:r w:rsidR="00633513">
        <w:t>is</w:t>
      </w:r>
      <w:r w:rsidR="00E52696">
        <w:t xml:space="preserve"> </w:t>
      </w:r>
      <w:r w:rsidR="00633513">
        <w:t xml:space="preserve">flawed, this decision by the </w:t>
      </w:r>
      <w:r>
        <w:t>Appellate Division</w:t>
      </w:r>
      <w:r w:rsidR="00633513">
        <w:t xml:space="preserve"> will </w:t>
      </w:r>
      <w:r>
        <w:t xml:space="preserve">remain binding until overturned by a </w:t>
      </w:r>
      <w:r w:rsidR="00F2109E">
        <w:t>c</w:t>
      </w:r>
      <w:r>
        <w:t>ourt of equal jurisdiction.</w:t>
      </w:r>
      <w:r w:rsidR="00396483">
        <w:t xml:space="preserve"> </w:t>
      </w:r>
      <w:r w:rsidR="00E07C2D">
        <w:t>It has, however, been suggested that this hinderance can be overcome by referring the matter for oral evidence.</w:t>
      </w:r>
      <w:r w:rsidR="00396483">
        <w:t xml:space="preserve"> See in this regard Sonnekus 2023:20</w:t>
      </w:r>
      <w:r w:rsidR="00E07C2D">
        <w:t>2</w:t>
      </w:r>
      <w:r w:rsidR="00396483">
        <w:t>.</w:t>
      </w:r>
    </w:p>
  </w:footnote>
  <w:footnote w:id="138">
    <w:p w14:paraId="410E3107" w14:textId="0346B7B7" w:rsidR="004A279C" w:rsidRDefault="004A279C" w:rsidP="002E7091">
      <w:pPr>
        <w:pStyle w:val="FootnoteText"/>
        <w:ind w:left="284" w:hanging="284"/>
      </w:pPr>
      <w:r>
        <w:rPr>
          <w:rStyle w:val="FootnoteReference"/>
        </w:rPr>
        <w:footnoteRef/>
      </w:r>
      <w:r>
        <w:t xml:space="preserve"> </w:t>
      </w:r>
      <w:r w:rsidR="00F93A83">
        <w:rPr>
          <w:i/>
          <w:iCs/>
        </w:rPr>
        <w:t xml:space="preserve">Maqubela &amp; Another v The Master </w:t>
      </w:r>
      <w:r w:rsidR="000E16E3">
        <w:rPr>
          <w:i/>
          <w:iCs/>
        </w:rPr>
        <w:t xml:space="preserve">&amp; </w:t>
      </w:r>
      <w:r w:rsidR="00F93A83">
        <w:rPr>
          <w:i/>
          <w:iCs/>
        </w:rPr>
        <w:t>Others</w:t>
      </w:r>
      <w:r w:rsidR="00F93A83">
        <w:t xml:space="preserve"> 2022 6 SA 408 (GJ):par.</w:t>
      </w:r>
      <w:r>
        <w:t xml:space="preserve"> </w:t>
      </w:r>
      <w:r w:rsidR="00F93A83">
        <w:t>46</w:t>
      </w:r>
      <w:r w:rsidR="00286213">
        <w:t>, 47</w:t>
      </w:r>
      <w:r w:rsidR="00FF1DFC">
        <w:t>.</w:t>
      </w:r>
    </w:p>
  </w:footnote>
  <w:footnote w:id="139">
    <w:p w14:paraId="349719D2" w14:textId="626A352D" w:rsidR="003E78EE" w:rsidRDefault="003E78EE" w:rsidP="00B07A7C">
      <w:pPr>
        <w:pStyle w:val="FootnoteText"/>
        <w:ind w:left="284" w:hanging="284"/>
      </w:pPr>
      <w:r>
        <w:rPr>
          <w:rStyle w:val="FootnoteReference"/>
        </w:rPr>
        <w:footnoteRef/>
      </w:r>
      <w:r>
        <w:t xml:space="preserve"> Considering the fact that the executor stands in a fiduciary position, </w:t>
      </w:r>
      <w:r w:rsidR="00B07A7C">
        <w:t>the question arises whether “discretion” is the correct term</w:t>
      </w:r>
      <w:r w:rsidR="00F2109E">
        <w:t>.</w:t>
      </w:r>
      <w:r w:rsidR="00B07A7C">
        <w:t xml:space="preserve"> </w:t>
      </w:r>
      <w:r w:rsidR="00F2109E">
        <w:t>W</w:t>
      </w:r>
      <w:r w:rsidR="00B07A7C">
        <w:t>ould it not be a duty instead?</w:t>
      </w:r>
      <w:r>
        <w:t xml:space="preserve"> </w:t>
      </w:r>
    </w:p>
  </w:footnote>
  <w:footnote w:id="140">
    <w:p w14:paraId="7F058008" w14:textId="0BB715A4" w:rsidR="004A279C" w:rsidRPr="00811808" w:rsidRDefault="004A279C" w:rsidP="002E7091">
      <w:pPr>
        <w:pStyle w:val="FootnoteText"/>
        <w:ind w:left="284" w:hanging="284"/>
        <w:rPr>
          <w:lang w:val="en-GB"/>
        </w:rPr>
      </w:pPr>
      <w:r>
        <w:rPr>
          <w:rStyle w:val="FootnoteReference"/>
        </w:rPr>
        <w:footnoteRef/>
      </w:r>
      <w:r>
        <w:t xml:space="preserve"> </w:t>
      </w:r>
      <w:r>
        <w:rPr>
          <w:lang w:val="en-GB"/>
        </w:rPr>
        <w:tab/>
        <w:t>Hofmeyr &amp; Paleker 2023:14</w:t>
      </w:r>
      <w:r w:rsidR="0025188D">
        <w:rPr>
          <w:lang w:val="en-GB"/>
        </w:rPr>
        <w:t>1</w:t>
      </w:r>
      <w:r>
        <w:rPr>
          <w:i/>
          <w:iCs/>
          <w:lang w:val="en-GB"/>
        </w:rPr>
        <w:t>.</w:t>
      </w:r>
    </w:p>
  </w:footnote>
  <w:footnote w:id="141">
    <w:p w14:paraId="265894E8" w14:textId="39995172" w:rsidR="006912C9" w:rsidRPr="00FA1306" w:rsidRDefault="006912C9" w:rsidP="00FA1306">
      <w:pPr>
        <w:pStyle w:val="FootnoteText"/>
        <w:tabs>
          <w:tab w:val="left" w:pos="284"/>
        </w:tabs>
      </w:pPr>
      <w:r>
        <w:rPr>
          <w:rStyle w:val="FootnoteReference"/>
        </w:rPr>
        <w:footnoteRef/>
      </w:r>
      <w:r>
        <w:t xml:space="preserve"> </w:t>
      </w:r>
      <w:r w:rsidR="00FA1306">
        <w:tab/>
      </w:r>
      <w:r w:rsidR="00FA1306">
        <w:rPr>
          <w:i/>
          <w:iCs/>
        </w:rPr>
        <w:t>Smit v The Master of the High Court, Western Cape &amp; Others</w:t>
      </w:r>
      <w:r w:rsidR="00FA1306">
        <w:t xml:space="preserve"> [2022] ZAWCHC 56 (26 April 2022):par. 143.</w:t>
      </w:r>
    </w:p>
  </w:footnote>
  <w:footnote w:id="142">
    <w:p w14:paraId="6EB1A2E8" w14:textId="57CDCB26" w:rsidR="00725983" w:rsidRPr="00725983" w:rsidRDefault="00725983" w:rsidP="002E7091">
      <w:pPr>
        <w:pStyle w:val="FootnoteText"/>
        <w:ind w:left="284" w:hanging="284"/>
        <w:rPr>
          <w:lang w:val="en-GB"/>
        </w:rPr>
      </w:pPr>
      <w:r>
        <w:rPr>
          <w:rStyle w:val="FootnoteReference"/>
        </w:rPr>
        <w:footnoteRef/>
      </w:r>
      <w:r>
        <w:t xml:space="preserve"> </w:t>
      </w:r>
      <w:r>
        <w:rPr>
          <w:lang w:val="en-GB"/>
        </w:rPr>
        <w:t>Hofmeyr &amp; Paleker 2023:149.</w:t>
      </w:r>
    </w:p>
  </w:footnote>
  <w:footnote w:id="143">
    <w:p w14:paraId="40795452" w14:textId="25F994C6" w:rsidR="00083C3B" w:rsidRPr="00E81804" w:rsidRDefault="00083C3B" w:rsidP="002E7091">
      <w:pPr>
        <w:pStyle w:val="FootnoteText"/>
        <w:ind w:left="284" w:hanging="284"/>
      </w:pPr>
      <w:r w:rsidRPr="00E81804">
        <w:rPr>
          <w:rStyle w:val="FootnoteReference"/>
        </w:rPr>
        <w:footnoteRef/>
      </w:r>
      <w:r w:rsidRPr="00E81804">
        <w:t xml:space="preserve"> </w:t>
      </w:r>
      <w:r w:rsidRPr="00E81804">
        <w:tab/>
        <w:t xml:space="preserve">Jamneck </w:t>
      </w:r>
      <w:r>
        <w:t>&amp;</w:t>
      </w:r>
      <w:r w:rsidRPr="00E81804">
        <w:t xml:space="preserve"> Rautenbach 2017:181</w:t>
      </w:r>
      <w:r>
        <w:t xml:space="preserve">; </w:t>
      </w:r>
      <w:r w:rsidR="0025188D">
        <w:t xml:space="preserve">Hofmeyr &amp; Paleker 2023:141; </w:t>
      </w:r>
      <w:r w:rsidR="001D0B73">
        <w:t>Steyn</w:t>
      </w:r>
      <w:r>
        <w:t xml:space="preserve"> 2016:1.</w:t>
      </w:r>
    </w:p>
  </w:footnote>
  <w:footnote w:id="144">
    <w:p w14:paraId="531FD7B1" w14:textId="2BCCB8C3" w:rsidR="00A563E1" w:rsidRDefault="00A563E1" w:rsidP="002E7091">
      <w:pPr>
        <w:pStyle w:val="FootnoteText"/>
        <w:ind w:left="284" w:hanging="284"/>
      </w:pPr>
      <w:r>
        <w:rPr>
          <w:rStyle w:val="FootnoteReference"/>
        </w:rPr>
        <w:footnoteRef/>
      </w:r>
      <w:r>
        <w:t xml:space="preserve"> </w:t>
      </w:r>
      <w:r>
        <w:rPr>
          <w:i/>
          <w:iCs/>
        </w:rPr>
        <w:t>Caldwell v Erasmus NO &amp; Another</w:t>
      </w:r>
      <w:r>
        <w:t xml:space="preserve"> 1952 4 All SA 161 (T):162.</w:t>
      </w:r>
    </w:p>
  </w:footnote>
  <w:footnote w:id="145">
    <w:p w14:paraId="04586FD4" w14:textId="77777777" w:rsidR="00AB6E01" w:rsidRPr="00062694" w:rsidRDefault="00AB6E01" w:rsidP="002E7091">
      <w:pPr>
        <w:pStyle w:val="FootnoteText"/>
        <w:ind w:left="284" w:hanging="284"/>
        <w:rPr>
          <w:lang w:val="en-US"/>
        </w:rPr>
      </w:pPr>
      <w:r>
        <w:rPr>
          <w:rStyle w:val="FootnoteReference"/>
        </w:rPr>
        <w:footnoteRef/>
      </w:r>
      <w:r>
        <w:t xml:space="preserve"> </w:t>
      </w:r>
      <w:r>
        <w:tab/>
      </w:r>
      <w:r>
        <w:rPr>
          <w:i/>
          <w:iCs/>
          <w:lang w:val="en-US"/>
        </w:rPr>
        <w:t xml:space="preserve">Van Jaarsveld v Bridges </w:t>
      </w:r>
      <w:r w:rsidRPr="00DF0B09">
        <w:rPr>
          <w:lang w:val="en-US"/>
        </w:rPr>
        <w:t>2010 4 SA 558 (SCA):560E-F.</w:t>
      </w:r>
    </w:p>
  </w:footnote>
  <w:footnote w:id="146">
    <w:p w14:paraId="771A61CA" w14:textId="15CFF4EB" w:rsidR="00752996" w:rsidRPr="00564E5F" w:rsidRDefault="00752996" w:rsidP="002E7091">
      <w:pPr>
        <w:pStyle w:val="FootnoteText"/>
        <w:tabs>
          <w:tab w:val="left" w:pos="284"/>
        </w:tabs>
        <w:ind w:left="284" w:hanging="284"/>
      </w:pPr>
      <w:r w:rsidRPr="00DB29C7">
        <w:rPr>
          <w:rStyle w:val="FootnoteReference"/>
        </w:rPr>
        <w:footnoteRef/>
      </w:r>
      <w:r w:rsidRPr="00DB29C7">
        <w:t xml:space="preserve"> </w:t>
      </w:r>
      <w:r w:rsidRPr="00DB29C7">
        <w:tab/>
      </w:r>
      <w:r w:rsidRPr="00DB29C7">
        <w:rPr>
          <w:i/>
          <w:iCs/>
        </w:rPr>
        <w:t xml:space="preserve">Leeb </w:t>
      </w:r>
      <w:r>
        <w:rPr>
          <w:i/>
          <w:iCs/>
        </w:rPr>
        <w:t>&amp;</w:t>
      </w:r>
      <w:r w:rsidRPr="00DB29C7">
        <w:rPr>
          <w:i/>
          <w:iCs/>
        </w:rPr>
        <w:t xml:space="preserve"> </w:t>
      </w:r>
      <w:r>
        <w:rPr>
          <w:i/>
          <w:iCs/>
        </w:rPr>
        <w:t>A</w:t>
      </w:r>
      <w:r w:rsidRPr="00DB29C7">
        <w:rPr>
          <w:i/>
          <w:iCs/>
        </w:rPr>
        <w:t xml:space="preserve">nother v Leeb </w:t>
      </w:r>
      <w:r>
        <w:rPr>
          <w:i/>
          <w:iCs/>
        </w:rPr>
        <w:t>&amp; A</w:t>
      </w:r>
      <w:r w:rsidRPr="00DB29C7">
        <w:rPr>
          <w:i/>
          <w:iCs/>
        </w:rPr>
        <w:t xml:space="preserve">nother </w:t>
      </w:r>
      <w:r w:rsidRPr="00244880">
        <w:t>1999 2 All SA 588 (N):596</w:t>
      </w:r>
      <w:r>
        <w:t xml:space="preserve">; </w:t>
      </w:r>
      <w:r>
        <w:rPr>
          <w:lang w:val="en-US"/>
        </w:rPr>
        <w:t>Malherbe 2016:33.</w:t>
      </w:r>
    </w:p>
  </w:footnote>
  <w:footnote w:id="147">
    <w:p w14:paraId="4A266729" w14:textId="77777777" w:rsidR="00752996" w:rsidRDefault="00752996" w:rsidP="002E7091">
      <w:pPr>
        <w:pStyle w:val="FootnoteText"/>
        <w:tabs>
          <w:tab w:val="left" w:pos="284"/>
        </w:tabs>
        <w:ind w:left="284" w:hanging="284"/>
      </w:pPr>
      <w:r>
        <w:rPr>
          <w:rStyle w:val="FootnoteReference"/>
        </w:rPr>
        <w:footnoteRef/>
      </w:r>
      <w:r>
        <w:t xml:space="preserve"> </w:t>
      </w:r>
      <w:r>
        <w:tab/>
        <w:t>De Waal &amp; Zimmerman 2011:176.</w:t>
      </w:r>
    </w:p>
  </w:footnote>
  <w:footnote w:id="148">
    <w:p w14:paraId="73C645FD" w14:textId="77777777" w:rsidR="00BE32F7" w:rsidRPr="00CA2D4B" w:rsidRDefault="00BE32F7" w:rsidP="002E7091">
      <w:pPr>
        <w:pStyle w:val="FootnoteText"/>
        <w:ind w:left="284" w:hanging="284"/>
        <w:rPr>
          <w:lang w:val="en-GB"/>
        </w:rPr>
      </w:pPr>
      <w:r>
        <w:rPr>
          <w:rStyle w:val="FootnoteReference"/>
        </w:rPr>
        <w:footnoteRef/>
      </w:r>
      <w:r>
        <w:t xml:space="preserve"> </w:t>
      </w:r>
      <w:r>
        <w:tab/>
      </w:r>
      <w:r>
        <w:rPr>
          <w:lang w:val="en-GB"/>
        </w:rPr>
        <w:t>De Waal 2008:1088.</w:t>
      </w:r>
    </w:p>
  </w:footnote>
  <w:footnote w:id="149">
    <w:p w14:paraId="54D9A502" w14:textId="08F9C838" w:rsidR="00083C3B" w:rsidRPr="009A5F3D" w:rsidRDefault="00083C3B" w:rsidP="002E7091">
      <w:pPr>
        <w:pStyle w:val="FootnoteText"/>
        <w:ind w:left="284" w:hanging="284"/>
        <w:rPr>
          <w:lang w:val="en-GB"/>
        </w:rPr>
      </w:pPr>
      <w:r>
        <w:rPr>
          <w:rStyle w:val="FootnoteReference"/>
        </w:rPr>
        <w:footnoteRef/>
      </w:r>
      <w:r>
        <w:t xml:space="preserve"> </w:t>
      </w:r>
      <w:r>
        <w:rPr>
          <w:lang w:val="en-GB"/>
        </w:rPr>
        <w:t>Hofmeyr &amp; Paleker 2023:150</w:t>
      </w:r>
      <w:r w:rsidR="00B0669E">
        <w:rPr>
          <w:lang w:val="en-GB"/>
        </w:rPr>
        <w:t>; Barns &amp; Thompson 2014:128.</w:t>
      </w:r>
    </w:p>
  </w:footnote>
  <w:footnote w:id="150">
    <w:p w14:paraId="356C53AE" w14:textId="48E5E83A" w:rsidR="003C2772" w:rsidRDefault="003C2772">
      <w:pPr>
        <w:pStyle w:val="FootnoteText"/>
      </w:pPr>
      <w:r>
        <w:rPr>
          <w:rStyle w:val="FootnoteReference"/>
        </w:rPr>
        <w:footnoteRef/>
      </w:r>
      <w:r>
        <w:t xml:space="preserve"> Wood-Bodley 2010:33.</w:t>
      </w:r>
    </w:p>
  </w:footnote>
  <w:footnote w:id="151">
    <w:p w14:paraId="73AD8F18" w14:textId="591C6AA9" w:rsidR="00FA2804" w:rsidRDefault="00FA2804">
      <w:pPr>
        <w:pStyle w:val="FootnoteText"/>
      </w:pPr>
      <w:r>
        <w:rPr>
          <w:rStyle w:val="FootnoteReference"/>
        </w:rPr>
        <w:footnoteRef/>
      </w:r>
      <w:r>
        <w:t xml:space="preserve"> </w:t>
      </w:r>
      <w:r w:rsidR="00B463B8">
        <w:t xml:space="preserve">Schoeman-Malan 2013:121; </w:t>
      </w:r>
      <w:r>
        <w:t>De Waal &amp; Zimmerman 2011:176.</w:t>
      </w:r>
    </w:p>
  </w:footnote>
  <w:footnote w:id="152">
    <w:p w14:paraId="7327FF94" w14:textId="19D9F021" w:rsidR="00D87AF9" w:rsidRPr="00EB14A1" w:rsidRDefault="00D87AF9" w:rsidP="002E7091">
      <w:pPr>
        <w:pStyle w:val="FootnoteText"/>
        <w:ind w:left="284" w:hanging="284"/>
        <w:rPr>
          <w:lang w:val="en-GB"/>
        </w:rPr>
      </w:pPr>
      <w:r w:rsidRPr="00EB14A1">
        <w:rPr>
          <w:rStyle w:val="FootnoteReference"/>
        </w:rPr>
        <w:footnoteRef/>
      </w:r>
      <w:r w:rsidRPr="00EB14A1">
        <w:t xml:space="preserve"> </w:t>
      </w:r>
      <w:r w:rsidRPr="00EB14A1">
        <w:rPr>
          <w:lang w:val="en-GB"/>
        </w:rPr>
        <w:t>See 3.4 below.</w:t>
      </w:r>
    </w:p>
  </w:footnote>
  <w:footnote w:id="153">
    <w:p w14:paraId="7414D7A3" w14:textId="77777777" w:rsidR="002977D8" w:rsidRDefault="002977D8" w:rsidP="002E7091">
      <w:pPr>
        <w:pStyle w:val="FootnoteText"/>
        <w:ind w:left="284" w:hanging="284"/>
      </w:pPr>
      <w:r w:rsidRPr="00EB14A1">
        <w:rPr>
          <w:rStyle w:val="FootnoteReference"/>
        </w:rPr>
        <w:footnoteRef/>
      </w:r>
      <w:r w:rsidRPr="00EB14A1">
        <w:t xml:space="preserve"> </w:t>
      </w:r>
      <w:r w:rsidRPr="00EB14A1">
        <w:tab/>
      </w:r>
      <w:r w:rsidRPr="00EB14A1">
        <w:rPr>
          <w:rFonts w:cs="Arial"/>
          <w:i/>
          <w:iCs/>
          <w:szCs w:val="24"/>
        </w:rPr>
        <w:t>Ex parte Steenkamp</w:t>
      </w:r>
      <w:r>
        <w:rPr>
          <w:rFonts w:cs="Arial"/>
          <w:i/>
          <w:iCs/>
          <w:szCs w:val="24"/>
        </w:rPr>
        <w:t xml:space="preserve"> &amp; Steenkamp</w:t>
      </w:r>
      <w:r>
        <w:rPr>
          <w:rFonts w:cs="Arial"/>
          <w:szCs w:val="24"/>
        </w:rPr>
        <w:t xml:space="preserve"> 1952 1 SA 744 (T):747B-C.</w:t>
      </w:r>
    </w:p>
  </w:footnote>
  <w:footnote w:id="154">
    <w:p w14:paraId="6F3FCF77" w14:textId="4C5BA089" w:rsidR="00072BEE" w:rsidRDefault="00072BEE" w:rsidP="002E7091">
      <w:pPr>
        <w:pStyle w:val="FootnoteText"/>
        <w:ind w:left="284" w:hanging="284"/>
      </w:pPr>
      <w:r>
        <w:rPr>
          <w:rStyle w:val="FootnoteReference"/>
        </w:rPr>
        <w:footnoteRef/>
      </w:r>
      <w:r>
        <w:t xml:space="preserve"> </w:t>
      </w:r>
      <w:r>
        <w:tab/>
      </w:r>
      <w:r>
        <w:rPr>
          <w:rFonts w:cs="Arial"/>
          <w:i/>
          <w:iCs/>
          <w:szCs w:val="24"/>
        </w:rPr>
        <w:t>Ex parte Steenkamp &amp; Steenkamp</w:t>
      </w:r>
      <w:r>
        <w:rPr>
          <w:rFonts w:cs="Arial"/>
          <w:szCs w:val="24"/>
        </w:rPr>
        <w:t xml:space="preserve"> 1952 1 SA 744 (T)</w:t>
      </w:r>
      <w:r w:rsidR="00D13124">
        <w:rPr>
          <w:rFonts w:cs="Arial"/>
          <w:szCs w:val="24"/>
        </w:rPr>
        <w:t>:</w:t>
      </w:r>
      <w:r>
        <w:rPr>
          <w:rFonts w:cs="Arial"/>
          <w:szCs w:val="24"/>
        </w:rPr>
        <w:t>7</w:t>
      </w:r>
      <w:r w:rsidR="00C57971">
        <w:rPr>
          <w:rFonts w:cs="Arial"/>
          <w:szCs w:val="24"/>
        </w:rPr>
        <w:t>52B</w:t>
      </w:r>
      <w:r w:rsidR="00087AA8">
        <w:rPr>
          <w:rFonts w:cs="Arial"/>
          <w:szCs w:val="24"/>
        </w:rPr>
        <w:t>.</w:t>
      </w:r>
    </w:p>
  </w:footnote>
  <w:footnote w:id="155">
    <w:p w14:paraId="5EA18292" w14:textId="371E8737" w:rsidR="002977D8" w:rsidRDefault="002977D8" w:rsidP="002E7091">
      <w:pPr>
        <w:pStyle w:val="FootnoteText"/>
        <w:ind w:left="284" w:hanging="284"/>
      </w:pPr>
      <w:r>
        <w:rPr>
          <w:rStyle w:val="FootnoteReference"/>
        </w:rPr>
        <w:footnoteRef/>
      </w:r>
      <w:r>
        <w:t xml:space="preserve"> </w:t>
      </w:r>
      <w:r>
        <w:tab/>
      </w:r>
      <w:r>
        <w:rPr>
          <w:rFonts w:cs="Arial"/>
          <w:i/>
          <w:iCs/>
          <w:szCs w:val="24"/>
        </w:rPr>
        <w:t>Ex parte Steenkamp &amp; Steenkamp</w:t>
      </w:r>
      <w:r>
        <w:rPr>
          <w:rFonts w:cs="Arial"/>
          <w:szCs w:val="24"/>
        </w:rPr>
        <w:t xml:space="preserve"> 1952 1 SA 744 (T):747E.</w:t>
      </w:r>
    </w:p>
  </w:footnote>
  <w:footnote w:id="156">
    <w:p w14:paraId="3DA36AD7" w14:textId="25239643" w:rsidR="002F355E" w:rsidRDefault="002F355E"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(T):B-C.</w:t>
      </w:r>
    </w:p>
  </w:footnote>
  <w:footnote w:id="157">
    <w:p w14:paraId="5E2F3E76" w14:textId="77777777" w:rsidR="00F16EA7" w:rsidRPr="00772D1E" w:rsidRDefault="00F16EA7" w:rsidP="002E7091">
      <w:pPr>
        <w:pStyle w:val="FootnoteText"/>
        <w:ind w:left="284" w:hanging="284"/>
      </w:pPr>
      <w:r>
        <w:rPr>
          <w:rStyle w:val="FootnoteReference"/>
        </w:rPr>
        <w:footnoteRef/>
      </w:r>
      <w:r>
        <w:t xml:space="preserve"> </w:t>
      </w:r>
      <w:r>
        <w:rPr>
          <w:i/>
          <w:iCs/>
        </w:rPr>
        <w:t>Intestate Succession Act</w:t>
      </w:r>
      <w:r>
        <w:t xml:space="preserve"> 81/1987:sec. 1(1)(d)(i).</w:t>
      </w:r>
    </w:p>
  </w:footnote>
  <w:footnote w:id="158">
    <w:p w14:paraId="21F7FB0C" w14:textId="674C737C" w:rsidR="0079466D" w:rsidRDefault="0079466D" w:rsidP="002E7091">
      <w:pPr>
        <w:pStyle w:val="FootnoteText"/>
        <w:ind w:left="284" w:hanging="284"/>
      </w:pPr>
      <w:r>
        <w:rPr>
          <w:rStyle w:val="FootnoteReference"/>
        </w:rPr>
        <w:footnoteRef/>
      </w:r>
      <w:r>
        <w:t xml:space="preserve"> </w:t>
      </w:r>
      <w:r w:rsidR="00F16EA7" w:rsidRPr="00F23B2A">
        <w:rPr>
          <w:i/>
          <w:iCs/>
        </w:rPr>
        <w:t>Ex parte Steenkamp &amp; Steenkamp</w:t>
      </w:r>
      <w:r w:rsidR="00F16EA7">
        <w:t xml:space="preserve"> 1952 1 SA 744 (T):747H; </w:t>
      </w:r>
      <w:r>
        <w:t>Jamneck &amp; Rautenbach 2023:127.</w:t>
      </w:r>
    </w:p>
  </w:footnote>
  <w:footnote w:id="159">
    <w:p w14:paraId="1166B4A7" w14:textId="05F5421E" w:rsidR="004E5DD0" w:rsidRDefault="004E5DD0"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w:t>
      </w:r>
      <w:r w:rsidR="00854C8E">
        <w:t>748D.</w:t>
      </w:r>
    </w:p>
  </w:footnote>
  <w:footnote w:id="160">
    <w:p w14:paraId="4CE47213" w14:textId="4DC0A60F" w:rsidR="00DE206A" w:rsidRDefault="00DE206A"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(T):749C.</w:t>
      </w:r>
    </w:p>
  </w:footnote>
  <w:footnote w:id="161">
    <w:p w14:paraId="03E5E0A9" w14:textId="3C8928FB" w:rsidR="00CB75C6" w:rsidRDefault="00CB75C6"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(T):749D</w:t>
      </w:r>
      <w:r w:rsidR="006377C7">
        <w:t>-E</w:t>
      </w:r>
      <w:r>
        <w:t>.</w:t>
      </w:r>
    </w:p>
  </w:footnote>
  <w:footnote w:id="162">
    <w:p w14:paraId="72E0CD68" w14:textId="54AF3D42" w:rsidR="00087AA8" w:rsidRDefault="00087AA8" w:rsidP="002E7091">
      <w:pPr>
        <w:pStyle w:val="FootnoteText"/>
        <w:ind w:left="284" w:hanging="284"/>
      </w:pPr>
      <w:r>
        <w:rPr>
          <w:rStyle w:val="FootnoteReference"/>
        </w:rPr>
        <w:footnoteRef/>
      </w:r>
      <w:r>
        <w:t xml:space="preserve"> </w:t>
      </w:r>
      <w:r w:rsidR="0079061A" w:rsidRPr="00F23B2A">
        <w:rPr>
          <w:i/>
          <w:iCs/>
        </w:rPr>
        <w:t>Ex parte Steenkamp &amp; Steenkamp</w:t>
      </w:r>
      <w:r w:rsidR="0079061A">
        <w:t xml:space="preserve"> 1952 1 SA 744 (T):745A</w:t>
      </w:r>
      <w:r w:rsidR="00317F10">
        <w:t>.</w:t>
      </w:r>
    </w:p>
  </w:footnote>
  <w:footnote w:id="163">
    <w:p w14:paraId="5AB096E3" w14:textId="3A74DAB5" w:rsidR="00317F10" w:rsidRDefault="00317F10"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(T):745A.</w:t>
      </w:r>
    </w:p>
  </w:footnote>
  <w:footnote w:id="164">
    <w:p w14:paraId="0F1B19EB" w14:textId="4CAC4BA3" w:rsidR="0079061A" w:rsidRDefault="0079061A" w:rsidP="002E7091">
      <w:pPr>
        <w:pStyle w:val="FootnoteText"/>
        <w:ind w:left="284" w:hanging="284"/>
      </w:pPr>
      <w:r>
        <w:rPr>
          <w:rStyle w:val="FootnoteReference"/>
        </w:rPr>
        <w:footnoteRef/>
      </w:r>
      <w:r>
        <w:t xml:space="preserve"> </w:t>
      </w:r>
      <w:r w:rsidRPr="00F23B2A">
        <w:rPr>
          <w:i/>
          <w:iCs/>
        </w:rPr>
        <w:t>Ex parte Steenkamp &amp; Steenkamp</w:t>
      </w:r>
      <w:r>
        <w:t xml:space="preserve"> 1952 1 SA 744 (T):7</w:t>
      </w:r>
      <w:r w:rsidR="00DF0893">
        <w:t>45B</w:t>
      </w:r>
      <w:r>
        <w:t>.</w:t>
      </w:r>
    </w:p>
  </w:footnote>
  <w:footnote w:id="165">
    <w:p w14:paraId="3A4A192D" w14:textId="722A978F" w:rsidR="00006C7E" w:rsidRDefault="00006C7E" w:rsidP="002E7091">
      <w:pPr>
        <w:pStyle w:val="FootnoteText"/>
        <w:ind w:left="284" w:hanging="284"/>
      </w:pPr>
      <w:r>
        <w:rPr>
          <w:rStyle w:val="FootnoteReference"/>
        </w:rPr>
        <w:footnoteRef/>
      </w:r>
      <w:r>
        <w:t xml:space="preserve"> </w:t>
      </w:r>
      <w:r>
        <w:tab/>
      </w:r>
      <w:r w:rsidRPr="00FC219B">
        <w:rPr>
          <w:rFonts w:cs="Arial"/>
          <w:i/>
          <w:iCs/>
          <w:szCs w:val="24"/>
        </w:rPr>
        <w:t>Caldwell</w:t>
      </w:r>
      <w:r>
        <w:rPr>
          <w:rFonts w:cs="Arial"/>
          <w:i/>
          <w:iCs/>
          <w:szCs w:val="24"/>
        </w:rPr>
        <w:t xml:space="preserve"> v Erasmus NO &amp; Another</w:t>
      </w:r>
      <w:r>
        <w:rPr>
          <w:rFonts w:cs="Arial"/>
          <w:szCs w:val="24"/>
        </w:rPr>
        <w:t xml:space="preserve"> 1952 4 All SA 161 (T):162,</w:t>
      </w:r>
      <w:r w:rsidR="00D13124">
        <w:rPr>
          <w:rFonts w:cs="Arial"/>
          <w:szCs w:val="24"/>
        </w:rPr>
        <w:t xml:space="preserve"> </w:t>
      </w:r>
      <w:r>
        <w:rPr>
          <w:rFonts w:cs="Arial"/>
          <w:szCs w:val="24"/>
        </w:rPr>
        <w:t>163.</w:t>
      </w:r>
    </w:p>
  </w:footnote>
  <w:footnote w:id="166">
    <w:p w14:paraId="387D7B8C" w14:textId="67054973" w:rsidR="00006C7E" w:rsidRDefault="00006C7E" w:rsidP="002E7091">
      <w:pPr>
        <w:pStyle w:val="FootnoteText"/>
        <w:ind w:left="284" w:hanging="284"/>
      </w:pPr>
      <w:r>
        <w:rPr>
          <w:rStyle w:val="FootnoteReference"/>
        </w:rPr>
        <w:footnoteRef/>
      </w:r>
      <w:r>
        <w:t xml:space="preserve"> </w:t>
      </w:r>
      <w:r>
        <w:rPr>
          <w:i/>
          <w:iCs/>
        </w:rPr>
        <w:t>Caldwell v Erasmus NO &amp; Another</w:t>
      </w:r>
      <w:r>
        <w:t xml:space="preserve"> 1952 4 All SA 161 (T):162,</w:t>
      </w:r>
      <w:r w:rsidR="00D13124">
        <w:t xml:space="preserve"> </w:t>
      </w:r>
      <w:r>
        <w:t>167</w:t>
      </w:r>
      <w:r w:rsidR="00543B80">
        <w:t>.</w:t>
      </w:r>
    </w:p>
  </w:footnote>
  <w:footnote w:id="167">
    <w:p w14:paraId="2E3F92B5" w14:textId="77777777" w:rsidR="00215915" w:rsidRDefault="00215915" w:rsidP="002E7091">
      <w:pPr>
        <w:pStyle w:val="FootnoteText"/>
        <w:ind w:left="284" w:hanging="284"/>
      </w:pPr>
      <w:r>
        <w:rPr>
          <w:rStyle w:val="FootnoteReference"/>
        </w:rPr>
        <w:footnoteRef/>
      </w:r>
      <w:r>
        <w:t xml:space="preserve"> </w:t>
      </w:r>
      <w:r>
        <w:tab/>
      </w:r>
      <w:r w:rsidRPr="00FC219B">
        <w:rPr>
          <w:rFonts w:cs="Arial"/>
          <w:i/>
          <w:iCs/>
          <w:szCs w:val="24"/>
        </w:rPr>
        <w:t>Caldwell</w:t>
      </w:r>
      <w:r>
        <w:rPr>
          <w:rFonts w:cs="Arial"/>
          <w:i/>
          <w:iCs/>
          <w:szCs w:val="24"/>
        </w:rPr>
        <w:t xml:space="preserve"> v Erasmus NO &amp; Another</w:t>
      </w:r>
      <w:r>
        <w:rPr>
          <w:rFonts w:cs="Arial"/>
          <w:szCs w:val="24"/>
        </w:rPr>
        <w:t xml:space="preserve"> 1952 4 All SA 161 (T):163.</w:t>
      </w:r>
    </w:p>
  </w:footnote>
  <w:footnote w:id="168">
    <w:p w14:paraId="6B1547AF" w14:textId="5A19D471" w:rsidR="00FC5476" w:rsidRDefault="00FC5476" w:rsidP="002E7091">
      <w:pPr>
        <w:pStyle w:val="FootnoteText"/>
        <w:ind w:left="284" w:hanging="284"/>
      </w:pPr>
      <w:r>
        <w:rPr>
          <w:rStyle w:val="FootnoteReference"/>
        </w:rPr>
        <w:footnoteRef/>
      </w:r>
      <w:r>
        <w:t xml:space="preserve"> </w:t>
      </w:r>
      <w:r>
        <w:rPr>
          <w:i/>
          <w:iCs/>
        </w:rPr>
        <w:t>Caldwell v Erasmus NO &amp; Another</w:t>
      </w:r>
      <w:r>
        <w:t xml:space="preserve"> 1952 4 All SA 161 (T):168.</w:t>
      </w:r>
    </w:p>
  </w:footnote>
  <w:footnote w:id="169">
    <w:p w14:paraId="3F378A90" w14:textId="54301A30" w:rsidR="00923F10" w:rsidRDefault="00923F10" w:rsidP="002E7091">
      <w:pPr>
        <w:pStyle w:val="FootnoteText"/>
        <w:ind w:left="284" w:hanging="284"/>
      </w:pPr>
      <w:r>
        <w:rPr>
          <w:rStyle w:val="FootnoteReference"/>
        </w:rPr>
        <w:footnoteRef/>
      </w:r>
      <w:r>
        <w:t xml:space="preserve"> </w:t>
      </w:r>
      <w:r>
        <w:rPr>
          <w:i/>
          <w:iCs/>
        </w:rPr>
        <w:t>Caldwell v Erasmus NO &amp; Another</w:t>
      </w:r>
      <w:r>
        <w:t xml:space="preserve"> 1952 4 All SA 161 (T):170.</w:t>
      </w:r>
    </w:p>
  </w:footnote>
  <w:footnote w:id="170">
    <w:p w14:paraId="087489D1" w14:textId="150ACC11" w:rsidR="00723E96" w:rsidRDefault="00723E96" w:rsidP="002E7091">
      <w:pPr>
        <w:pStyle w:val="FootnoteText"/>
        <w:ind w:left="284" w:hanging="284"/>
      </w:pPr>
      <w:r>
        <w:rPr>
          <w:rStyle w:val="FootnoteReference"/>
        </w:rPr>
        <w:footnoteRef/>
      </w:r>
      <w:r>
        <w:t xml:space="preserve"> </w:t>
      </w:r>
      <w:r>
        <w:rPr>
          <w:i/>
          <w:iCs/>
        </w:rPr>
        <w:t>Caldwell v Erasmus NO &amp; Another</w:t>
      </w:r>
      <w:r>
        <w:t xml:space="preserve"> 1952 4 All SA 161 (T):167</w:t>
      </w:r>
      <w:r w:rsidR="0028173B">
        <w:t>,</w:t>
      </w:r>
      <w:r w:rsidR="00D13124">
        <w:t xml:space="preserve"> </w:t>
      </w:r>
      <w:r w:rsidR="0028173B">
        <w:t>169</w:t>
      </w:r>
      <w:r>
        <w:t>.</w:t>
      </w:r>
    </w:p>
  </w:footnote>
  <w:footnote w:id="171">
    <w:p w14:paraId="36A2D6E7" w14:textId="3A95EC2C" w:rsidR="002864EB" w:rsidRDefault="002864EB" w:rsidP="002E7091">
      <w:pPr>
        <w:pStyle w:val="FootnoteText"/>
        <w:ind w:left="284" w:hanging="284"/>
      </w:pPr>
      <w:r>
        <w:rPr>
          <w:rStyle w:val="FootnoteReference"/>
        </w:rPr>
        <w:footnoteRef/>
      </w:r>
      <w:r>
        <w:t xml:space="preserve"> </w:t>
      </w:r>
      <w:r>
        <w:rPr>
          <w:i/>
          <w:iCs/>
        </w:rPr>
        <w:t>Caldwell v Erasmus NO &amp; Another</w:t>
      </w:r>
      <w:r>
        <w:t xml:space="preserve"> 1952 4 All SA 161 (T):</w:t>
      </w:r>
      <w:r w:rsidR="00C9596F">
        <w:t>169-</w:t>
      </w:r>
      <w:r>
        <w:t>170.</w:t>
      </w:r>
    </w:p>
  </w:footnote>
  <w:footnote w:id="172">
    <w:p w14:paraId="141B018E" w14:textId="21E17AAC" w:rsidR="002977D8" w:rsidRDefault="002977D8" w:rsidP="002E7091">
      <w:pPr>
        <w:pStyle w:val="FootnoteText"/>
        <w:ind w:left="284" w:hanging="284"/>
      </w:pPr>
      <w:r>
        <w:rPr>
          <w:rStyle w:val="FootnoteReference"/>
        </w:rPr>
        <w:footnoteRef/>
      </w:r>
      <w:r>
        <w:t xml:space="preserve"> </w:t>
      </w:r>
      <w:r>
        <w:tab/>
      </w:r>
      <w:r w:rsidRPr="00FC219B">
        <w:rPr>
          <w:rFonts w:cs="Arial"/>
          <w:i/>
          <w:iCs/>
          <w:szCs w:val="24"/>
        </w:rPr>
        <w:t>Caldwell</w:t>
      </w:r>
      <w:r>
        <w:rPr>
          <w:rFonts w:cs="Arial"/>
          <w:i/>
          <w:iCs/>
          <w:szCs w:val="24"/>
        </w:rPr>
        <w:t xml:space="preserve"> v Erasmus NO &amp; Another</w:t>
      </w:r>
      <w:r>
        <w:rPr>
          <w:rFonts w:cs="Arial"/>
          <w:szCs w:val="24"/>
        </w:rPr>
        <w:t xml:space="preserve"> 1952 4 All SA 161 (T):169</w:t>
      </w:r>
      <w:r w:rsidR="00A26E2D">
        <w:rPr>
          <w:rFonts w:cs="Arial"/>
          <w:szCs w:val="24"/>
        </w:rPr>
        <w:t>-</w:t>
      </w:r>
      <w:r>
        <w:rPr>
          <w:rFonts w:cs="Arial"/>
          <w:szCs w:val="24"/>
        </w:rPr>
        <w:t>170.</w:t>
      </w:r>
    </w:p>
  </w:footnote>
  <w:footnote w:id="173">
    <w:p w14:paraId="13F5527C" w14:textId="100923EA" w:rsidR="00575A4A" w:rsidRPr="00BF7168" w:rsidRDefault="00575A4A" w:rsidP="002E7091">
      <w:pPr>
        <w:pStyle w:val="FootnoteText"/>
        <w:ind w:left="284" w:hanging="284"/>
        <w:rPr>
          <w:lang w:val="en-US"/>
        </w:rPr>
      </w:pPr>
      <w:r w:rsidRPr="00BF7168">
        <w:rPr>
          <w:rStyle w:val="FootnoteReference"/>
        </w:rPr>
        <w:footnoteRef/>
      </w:r>
      <w:r w:rsidRPr="00BF7168">
        <w:t xml:space="preserve"> There appears to be confusing regarding the dates. For the purposes of this </w:t>
      </w:r>
      <w:r w:rsidR="00BF7168" w:rsidRPr="00BF7168">
        <w:t>dissertation</w:t>
      </w:r>
      <w:r w:rsidRPr="00BF7168">
        <w:t xml:space="preserve"> the date on page </w:t>
      </w:r>
      <w:r w:rsidR="00BF7168" w:rsidRPr="00BF7168">
        <w:t>50</w:t>
      </w:r>
      <w:r w:rsidRPr="00BF7168">
        <w:t xml:space="preserve"> </w:t>
      </w:r>
      <w:r w:rsidR="00BF7168" w:rsidRPr="00BF7168">
        <w:t>is</w:t>
      </w:r>
      <w:r w:rsidRPr="00BF7168">
        <w:t xml:space="preserve"> disregarded.</w:t>
      </w:r>
    </w:p>
  </w:footnote>
  <w:footnote w:id="174">
    <w:p w14:paraId="53096FAF" w14:textId="77777777" w:rsidR="00002077" w:rsidRDefault="00002077" w:rsidP="00002077">
      <w:pPr>
        <w:pStyle w:val="FootnoteText"/>
        <w:ind w:left="284" w:hanging="284"/>
      </w:pPr>
      <w:r w:rsidRPr="00BF7168">
        <w:rPr>
          <w:rStyle w:val="FootnoteReference"/>
        </w:rPr>
        <w:footnoteRef/>
      </w:r>
      <w:r w:rsidRPr="00BF7168">
        <w:t xml:space="preserve"> </w:t>
      </w:r>
      <w:r w:rsidRPr="00BF7168">
        <w:tab/>
      </w:r>
      <w:r w:rsidRPr="00BF7168">
        <w:rPr>
          <w:rFonts w:cs="Arial"/>
          <w:i/>
          <w:iCs/>
          <w:szCs w:val="24"/>
        </w:rPr>
        <w:t xml:space="preserve">Ex parte Vonzell </w:t>
      </w:r>
      <w:r w:rsidRPr="00BF7168">
        <w:rPr>
          <w:rFonts w:cs="Arial"/>
          <w:szCs w:val="24"/>
        </w:rPr>
        <w:t>1953 1 All SA 46 (C):47.</w:t>
      </w:r>
    </w:p>
  </w:footnote>
  <w:footnote w:id="175">
    <w:p w14:paraId="3C006E83" w14:textId="77777777" w:rsidR="000F069B" w:rsidRDefault="000F069B" w:rsidP="000F069B">
      <w:pPr>
        <w:pStyle w:val="FootnoteText"/>
        <w:ind w:left="284" w:hanging="284"/>
      </w:pPr>
      <w:r>
        <w:rPr>
          <w:rStyle w:val="FootnoteReference"/>
        </w:rPr>
        <w:footnoteRef/>
      </w:r>
      <w:r>
        <w:t xml:space="preserve"> </w:t>
      </w:r>
      <w:r>
        <w:tab/>
      </w:r>
      <w:r>
        <w:rPr>
          <w:rFonts w:cs="Arial"/>
          <w:i/>
          <w:iCs/>
          <w:szCs w:val="24"/>
        </w:rPr>
        <w:t xml:space="preserve">Ex parte Vonzell </w:t>
      </w:r>
      <w:r>
        <w:rPr>
          <w:rFonts w:cs="Arial"/>
          <w:szCs w:val="24"/>
        </w:rPr>
        <w:t>1953 1 All SA 46 (C):47-48.</w:t>
      </w:r>
    </w:p>
  </w:footnote>
  <w:footnote w:id="176">
    <w:p w14:paraId="619E4FC0" w14:textId="512A4205" w:rsidR="000F069B" w:rsidRDefault="000F069B">
      <w:pPr>
        <w:pStyle w:val="FootnoteText"/>
      </w:pPr>
      <w:r>
        <w:rPr>
          <w:rStyle w:val="FootnoteReference"/>
        </w:rPr>
        <w:footnoteRef/>
      </w:r>
      <w:r>
        <w:t xml:space="preserve"> Sonnekus 2023:203.</w:t>
      </w:r>
    </w:p>
  </w:footnote>
  <w:footnote w:id="177">
    <w:p w14:paraId="4482E526" w14:textId="77777777" w:rsidR="00F704B7" w:rsidRDefault="00F704B7" w:rsidP="00F704B7">
      <w:pPr>
        <w:pStyle w:val="FootnoteText"/>
      </w:pPr>
      <w:r>
        <w:rPr>
          <w:rStyle w:val="FootnoteReference"/>
        </w:rPr>
        <w:footnoteRef/>
      </w:r>
      <w:r>
        <w:t xml:space="preserve"> </w:t>
      </w:r>
      <w:r>
        <w:rPr>
          <w:rFonts w:cs="Arial"/>
          <w:i/>
          <w:iCs/>
          <w:szCs w:val="24"/>
        </w:rPr>
        <w:t xml:space="preserve">Ex parte Vonzell </w:t>
      </w:r>
      <w:r>
        <w:rPr>
          <w:rFonts w:cs="Arial"/>
          <w:szCs w:val="24"/>
        </w:rPr>
        <w:t>1953 1 All SA 46 (C):48.</w:t>
      </w:r>
    </w:p>
  </w:footnote>
  <w:footnote w:id="178">
    <w:p w14:paraId="26752BEE" w14:textId="6C5437BC" w:rsidR="00F524A1" w:rsidRDefault="00F524A1">
      <w:pPr>
        <w:pStyle w:val="FootnoteText"/>
      </w:pPr>
      <w:r>
        <w:rPr>
          <w:rStyle w:val="FootnoteReference"/>
        </w:rPr>
        <w:footnoteRef/>
      </w:r>
      <w:r>
        <w:t xml:space="preserve"> </w:t>
      </w:r>
      <w:r>
        <w:rPr>
          <w:rFonts w:cs="Arial"/>
          <w:i/>
          <w:iCs/>
          <w:szCs w:val="24"/>
        </w:rPr>
        <w:t xml:space="preserve">Ex parte Vonzell </w:t>
      </w:r>
      <w:r>
        <w:rPr>
          <w:rFonts w:cs="Arial"/>
          <w:szCs w:val="24"/>
        </w:rPr>
        <w:t>1953 1 All SA 46 (C):</w:t>
      </w:r>
      <w:r w:rsidR="00E815CE">
        <w:rPr>
          <w:rFonts w:cs="Arial"/>
          <w:szCs w:val="24"/>
        </w:rPr>
        <w:t>48</w:t>
      </w:r>
      <w:r>
        <w:rPr>
          <w:rFonts w:cs="Arial"/>
          <w:szCs w:val="24"/>
        </w:rPr>
        <w:t>.</w:t>
      </w:r>
    </w:p>
  </w:footnote>
  <w:footnote w:id="179">
    <w:p w14:paraId="30263D8A" w14:textId="77777777" w:rsidR="002977D8" w:rsidRDefault="002977D8" w:rsidP="00F6619E">
      <w:pPr>
        <w:pStyle w:val="FootnoteText"/>
        <w:ind w:left="284" w:hanging="284"/>
      </w:pPr>
      <w:r>
        <w:rPr>
          <w:rStyle w:val="FootnoteReference"/>
        </w:rPr>
        <w:footnoteRef/>
      </w:r>
      <w:r>
        <w:t xml:space="preserve"> </w:t>
      </w:r>
      <w:r>
        <w:tab/>
      </w:r>
      <w:r>
        <w:rPr>
          <w:rFonts w:cs="Arial"/>
          <w:i/>
          <w:iCs/>
          <w:szCs w:val="24"/>
        </w:rPr>
        <w:t xml:space="preserve">Ex parte Vonzell </w:t>
      </w:r>
      <w:r>
        <w:rPr>
          <w:rFonts w:cs="Arial"/>
          <w:szCs w:val="24"/>
        </w:rPr>
        <w:t>1953 1 All SA 46 (C):50.</w:t>
      </w:r>
    </w:p>
  </w:footnote>
  <w:footnote w:id="180">
    <w:p w14:paraId="441BC97E" w14:textId="6F66B49E" w:rsidR="009E3B7F" w:rsidRDefault="009E3B7F">
      <w:pPr>
        <w:pStyle w:val="FootnoteText"/>
      </w:pPr>
      <w:r>
        <w:rPr>
          <w:rStyle w:val="FootnoteReference"/>
        </w:rPr>
        <w:footnoteRef/>
      </w:r>
      <w:r>
        <w:t xml:space="preserve"> De Waal &amp; Zimmerman 2011:182.</w:t>
      </w:r>
    </w:p>
  </w:footnote>
  <w:footnote w:id="181">
    <w:p w14:paraId="025AD0E1" w14:textId="69A5B13B" w:rsidR="008614B6" w:rsidRPr="008614B6" w:rsidRDefault="008614B6">
      <w:pPr>
        <w:pStyle w:val="FootnoteText"/>
        <w:rPr>
          <w:lang w:val="en-GB"/>
        </w:rPr>
      </w:pPr>
      <w:r>
        <w:rPr>
          <w:rStyle w:val="FootnoteReference"/>
        </w:rPr>
        <w:footnoteRef/>
      </w:r>
      <w:r>
        <w:t xml:space="preserve"> </w:t>
      </w:r>
      <w:r w:rsidR="001D0B73">
        <w:rPr>
          <w:lang w:val="en-GB"/>
        </w:rPr>
        <w:t>Steyn</w:t>
      </w:r>
      <w:r>
        <w:rPr>
          <w:lang w:val="en-GB"/>
        </w:rPr>
        <w:t xml:space="preserve"> 2016:52</w:t>
      </w:r>
      <w:r w:rsidR="00CB5F11">
        <w:rPr>
          <w:lang w:val="en-GB"/>
        </w:rPr>
        <w:t>.</w:t>
      </w:r>
    </w:p>
  </w:footnote>
  <w:footnote w:id="182">
    <w:p w14:paraId="60065AFA" w14:textId="6DA765C4" w:rsidR="00974F22" w:rsidRPr="00943CE9" w:rsidRDefault="00974F22" w:rsidP="002E7091">
      <w:pPr>
        <w:pStyle w:val="FootnoteText"/>
        <w:ind w:left="284" w:hanging="284"/>
        <w:rPr>
          <w:lang w:val="en-US"/>
        </w:rPr>
      </w:pPr>
      <w:r>
        <w:rPr>
          <w:rStyle w:val="FootnoteReference"/>
        </w:rPr>
        <w:footnoteRef/>
      </w:r>
      <w:r>
        <w:t xml:space="preserve"> </w:t>
      </w:r>
      <w:r w:rsidR="00CB5F11" w:rsidRPr="00DE6CF6">
        <w:rPr>
          <w:rFonts w:cs="Arial"/>
          <w:i/>
          <w:iCs/>
          <w:szCs w:val="24"/>
        </w:rPr>
        <w:t>Nell</w:t>
      </w:r>
      <w:r w:rsidR="00CB5F11">
        <w:rPr>
          <w:rFonts w:cs="Arial"/>
          <w:i/>
          <w:iCs/>
          <w:szCs w:val="24"/>
        </w:rPr>
        <w:t xml:space="preserve"> v Nell </w:t>
      </w:r>
      <w:r w:rsidR="00EB14A1">
        <w:rPr>
          <w:rFonts w:cs="Arial"/>
          <w:i/>
          <w:iCs/>
          <w:szCs w:val="24"/>
        </w:rPr>
        <w:t>&amp;</w:t>
      </w:r>
      <w:r w:rsidR="00CB5F11">
        <w:rPr>
          <w:rFonts w:cs="Arial"/>
          <w:i/>
          <w:iCs/>
          <w:szCs w:val="24"/>
        </w:rPr>
        <w:t xml:space="preserve"> ‘n Ander </w:t>
      </w:r>
      <w:r w:rsidR="00CB5F11" w:rsidRPr="00DE6CF6">
        <w:rPr>
          <w:rFonts w:cs="Arial"/>
          <w:szCs w:val="24"/>
        </w:rPr>
        <w:t>197</w:t>
      </w:r>
      <w:r w:rsidR="00CB5F11">
        <w:rPr>
          <w:rFonts w:cs="Arial"/>
          <w:szCs w:val="24"/>
        </w:rPr>
        <w:t>6 3 SA 700 (T):700E-701B.</w:t>
      </w:r>
    </w:p>
  </w:footnote>
  <w:footnote w:id="183">
    <w:p w14:paraId="70E0DF59" w14:textId="4B6C652F" w:rsidR="002977D8" w:rsidRDefault="002977D8" w:rsidP="002E7091">
      <w:pPr>
        <w:pStyle w:val="FootnoteText"/>
        <w:ind w:left="284" w:hanging="284"/>
      </w:pPr>
      <w:r>
        <w:rPr>
          <w:rStyle w:val="FootnoteReference"/>
        </w:rPr>
        <w:footnoteRef/>
      </w:r>
      <w:r>
        <w:t xml:space="preserve"> </w:t>
      </w:r>
      <w:r w:rsidR="00BE015E" w:rsidRPr="00DE6CF6">
        <w:rPr>
          <w:rFonts w:cs="Arial"/>
          <w:i/>
          <w:iCs/>
          <w:szCs w:val="24"/>
        </w:rPr>
        <w:t>Nell</w:t>
      </w:r>
      <w:r w:rsidR="00BE015E">
        <w:rPr>
          <w:rFonts w:cs="Arial"/>
          <w:i/>
          <w:iCs/>
          <w:szCs w:val="24"/>
        </w:rPr>
        <w:t xml:space="preserve"> v Nell </w:t>
      </w:r>
      <w:r w:rsidR="00EB14A1">
        <w:rPr>
          <w:rFonts w:cs="Arial"/>
          <w:i/>
          <w:iCs/>
          <w:szCs w:val="24"/>
        </w:rPr>
        <w:t>&amp;</w:t>
      </w:r>
      <w:r w:rsidR="00BE015E">
        <w:rPr>
          <w:rFonts w:cs="Arial"/>
          <w:i/>
          <w:iCs/>
          <w:szCs w:val="24"/>
        </w:rPr>
        <w:t xml:space="preserve"> ‘n Ander </w:t>
      </w:r>
      <w:r w:rsidR="00BE015E" w:rsidRPr="00DE6CF6">
        <w:rPr>
          <w:rFonts w:cs="Arial"/>
          <w:szCs w:val="24"/>
        </w:rPr>
        <w:t>197</w:t>
      </w:r>
      <w:r w:rsidR="00BE015E">
        <w:rPr>
          <w:rFonts w:cs="Arial"/>
          <w:szCs w:val="24"/>
        </w:rPr>
        <w:t>6 3 SA 700 (T):701C-G.</w:t>
      </w:r>
    </w:p>
  </w:footnote>
  <w:footnote w:id="184">
    <w:p w14:paraId="30DF8C6F" w14:textId="7CCEBC1E" w:rsidR="008B4AD2" w:rsidRDefault="008B4AD2" w:rsidP="002E7091">
      <w:pPr>
        <w:pStyle w:val="FootnoteText"/>
        <w:ind w:left="284" w:hanging="284"/>
      </w:pPr>
      <w:r>
        <w:rPr>
          <w:rStyle w:val="FootnoteReference"/>
        </w:rPr>
        <w:footnoteRef/>
      </w:r>
      <w:r>
        <w:t xml:space="preserve"> </w:t>
      </w:r>
      <w:r w:rsidR="00BE015E" w:rsidRPr="00DE6CF6">
        <w:rPr>
          <w:rFonts w:cs="Arial"/>
          <w:i/>
          <w:iCs/>
          <w:szCs w:val="24"/>
        </w:rPr>
        <w:t>Nell</w:t>
      </w:r>
      <w:r w:rsidR="00BE015E">
        <w:rPr>
          <w:rFonts w:cs="Arial"/>
          <w:i/>
          <w:iCs/>
          <w:szCs w:val="24"/>
        </w:rPr>
        <w:t xml:space="preserve"> v Nell </w:t>
      </w:r>
      <w:r w:rsidR="00EB14A1">
        <w:rPr>
          <w:rFonts w:cs="Arial"/>
          <w:i/>
          <w:iCs/>
          <w:szCs w:val="24"/>
        </w:rPr>
        <w:t>&amp;</w:t>
      </w:r>
      <w:r w:rsidR="00BE015E">
        <w:rPr>
          <w:rFonts w:cs="Arial"/>
          <w:i/>
          <w:iCs/>
          <w:szCs w:val="24"/>
        </w:rPr>
        <w:t xml:space="preserve"> ‘n Ander </w:t>
      </w:r>
      <w:r w:rsidR="00BE015E" w:rsidRPr="00DE6CF6">
        <w:rPr>
          <w:rFonts w:cs="Arial"/>
          <w:szCs w:val="24"/>
        </w:rPr>
        <w:t>197</w:t>
      </w:r>
      <w:r w:rsidR="00BE015E">
        <w:rPr>
          <w:rFonts w:cs="Arial"/>
          <w:szCs w:val="24"/>
        </w:rPr>
        <w:t>6 3 SA 700 (T):702B.</w:t>
      </w:r>
    </w:p>
  </w:footnote>
  <w:footnote w:id="185">
    <w:p w14:paraId="6DF22E5C" w14:textId="6E0FC2D8" w:rsidR="0016205C" w:rsidRDefault="0016205C" w:rsidP="002E7091">
      <w:pPr>
        <w:pStyle w:val="FootnoteText"/>
        <w:ind w:left="284" w:hanging="284"/>
      </w:pPr>
      <w:r>
        <w:rPr>
          <w:rStyle w:val="FootnoteReference"/>
        </w:rPr>
        <w:footnoteRef/>
      </w:r>
      <w:r>
        <w:t xml:space="preserve"> </w:t>
      </w:r>
      <w:r w:rsidRPr="00DE6CF6">
        <w:rPr>
          <w:rFonts w:cs="Arial"/>
          <w:i/>
          <w:iCs/>
          <w:szCs w:val="24"/>
        </w:rPr>
        <w:t>Nell</w:t>
      </w:r>
      <w:r>
        <w:rPr>
          <w:rFonts w:cs="Arial"/>
          <w:i/>
          <w:iCs/>
          <w:szCs w:val="24"/>
        </w:rPr>
        <w:t xml:space="preserve"> v Nell </w:t>
      </w:r>
      <w:r w:rsidR="00EB14A1">
        <w:rPr>
          <w:rFonts w:cs="Arial"/>
          <w:i/>
          <w:iCs/>
          <w:szCs w:val="24"/>
        </w:rPr>
        <w:t>&amp;</w:t>
      </w:r>
      <w:r>
        <w:rPr>
          <w:rFonts w:cs="Arial"/>
          <w:i/>
          <w:iCs/>
          <w:szCs w:val="24"/>
        </w:rPr>
        <w:t xml:space="preserve"> ‘n Ander </w:t>
      </w:r>
      <w:r w:rsidRPr="00DE6CF6">
        <w:rPr>
          <w:rFonts w:cs="Arial"/>
          <w:szCs w:val="24"/>
        </w:rPr>
        <w:t>197</w:t>
      </w:r>
      <w:r>
        <w:rPr>
          <w:rFonts w:cs="Arial"/>
          <w:szCs w:val="24"/>
        </w:rPr>
        <w:t>6 3 SA 700 (T):704G-705A.</w:t>
      </w:r>
    </w:p>
  </w:footnote>
  <w:footnote w:id="186">
    <w:p w14:paraId="1E182D98" w14:textId="01153179" w:rsidR="007E22EF" w:rsidRDefault="007E22EF" w:rsidP="002E7091">
      <w:pPr>
        <w:pStyle w:val="FootnoteText"/>
        <w:ind w:left="284" w:hanging="284"/>
      </w:pPr>
      <w:r>
        <w:rPr>
          <w:rStyle w:val="FootnoteReference"/>
        </w:rPr>
        <w:footnoteRef/>
      </w:r>
      <w:r>
        <w:t xml:space="preserve"> </w:t>
      </w:r>
      <w:r w:rsidRPr="00DE6CF6">
        <w:rPr>
          <w:rFonts w:cs="Arial"/>
          <w:i/>
          <w:iCs/>
          <w:szCs w:val="24"/>
        </w:rPr>
        <w:t>Nell</w:t>
      </w:r>
      <w:r>
        <w:rPr>
          <w:rFonts w:cs="Arial"/>
          <w:i/>
          <w:iCs/>
          <w:szCs w:val="24"/>
        </w:rPr>
        <w:t xml:space="preserve"> v Nell </w:t>
      </w:r>
      <w:r w:rsidR="00EB14A1">
        <w:rPr>
          <w:rFonts w:cs="Arial"/>
          <w:i/>
          <w:iCs/>
          <w:szCs w:val="24"/>
        </w:rPr>
        <w:t>&amp;</w:t>
      </w:r>
      <w:r>
        <w:rPr>
          <w:rFonts w:cs="Arial"/>
          <w:i/>
          <w:iCs/>
          <w:szCs w:val="24"/>
        </w:rPr>
        <w:t xml:space="preserve"> ‘n Ander </w:t>
      </w:r>
      <w:r w:rsidRPr="00DE6CF6">
        <w:rPr>
          <w:rFonts w:cs="Arial"/>
          <w:szCs w:val="24"/>
        </w:rPr>
        <w:t>197</w:t>
      </w:r>
      <w:r>
        <w:rPr>
          <w:rFonts w:cs="Arial"/>
          <w:szCs w:val="24"/>
        </w:rPr>
        <w:t>6 3 SA 700 (T):705A.</w:t>
      </w:r>
    </w:p>
  </w:footnote>
  <w:footnote w:id="187">
    <w:p w14:paraId="18F27AE1" w14:textId="06E3B9FA" w:rsidR="00892C0D" w:rsidRDefault="00892C0D">
      <w:pPr>
        <w:pStyle w:val="FootnoteText"/>
      </w:pPr>
      <w:r>
        <w:rPr>
          <w:rStyle w:val="FootnoteReference"/>
        </w:rPr>
        <w:footnoteRef/>
      </w:r>
      <w:r>
        <w:t xml:space="preserve"> Sonnekus 2023:196.</w:t>
      </w:r>
    </w:p>
  </w:footnote>
  <w:footnote w:id="188">
    <w:p w14:paraId="6B0A49CA" w14:textId="7DF174F0" w:rsidR="002977D8" w:rsidRDefault="002977D8" w:rsidP="002E7091">
      <w:pPr>
        <w:pStyle w:val="FootnoteText"/>
        <w:ind w:left="284" w:hanging="284"/>
      </w:pPr>
      <w:r>
        <w:rPr>
          <w:rStyle w:val="FootnoteReference"/>
        </w:rPr>
        <w:footnoteRef/>
      </w:r>
      <w:r>
        <w:t xml:space="preserve"> </w:t>
      </w:r>
      <w:r>
        <w:tab/>
      </w:r>
      <w:r>
        <w:rPr>
          <w:rFonts w:cs="Arial"/>
          <w:i/>
          <w:iCs/>
          <w:szCs w:val="24"/>
        </w:rPr>
        <w:t>Ex parte Meier &amp; Andere</w:t>
      </w:r>
      <w:r>
        <w:rPr>
          <w:rFonts w:cs="Arial"/>
          <w:szCs w:val="24"/>
        </w:rPr>
        <w:t xml:space="preserve"> 1980 3 SA 154 (T):156A-156</w:t>
      </w:r>
      <w:r w:rsidR="00675ED7">
        <w:rPr>
          <w:rFonts w:cs="Arial"/>
          <w:szCs w:val="24"/>
        </w:rPr>
        <w:t>Ds</w:t>
      </w:r>
      <w:r>
        <w:rPr>
          <w:rFonts w:cs="Arial"/>
          <w:szCs w:val="24"/>
        </w:rPr>
        <w:t>.</w:t>
      </w:r>
    </w:p>
  </w:footnote>
  <w:footnote w:id="189">
    <w:p w14:paraId="55261835" w14:textId="39B7EE4A" w:rsidR="00A10C89" w:rsidRDefault="00A10C89" w:rsidP="002E7091">
      <w:pPr>
        <w:pStyle w:val="FootnoteText"/>
        <w:ind w:left="284" w:hanging="284"/>
      </w:pPr>
      <w:r>
        <w:rPr>
          <w:rStyle w:val="FootnoteReference"/>
        </w:rPr>
        <w:footnoteRef/>
      </w:r>
      <w:r>
        <w:t xml:space="preserve"> </w:t>
      </w:r>
      <w:r>
        <w:rPr>
          <w:rFonts w:cs="Arial"/>
          <w:i/>
          <w:iCs/>
          <w:szCs w:val="24"/>
        </w:rPr>
        <w:t>Ex parte Meier &amp; Andere</w:t>
      </w:r>
      <w:r>
        <w:rPr>
          <w:rFonts w:cs="Arial"/>
          <w:szCs w:val="24"/>
        </w:rPr>
        <w:t xml:space="preserve"> 1980 3 SA 154 (T):155H-156.</w:t>
      </w:r>
    </w:p>
  </w:footnote>
  <w:footnote w:id="190">
    <w:p w14:paraId="04BDCABD" w14:textId="77777777" w:rsidR="002977D8" w:rsidRDefault="002977D8" w:rsidP="002E7091">
      <w:pPr>
        <w:pStyle w:val="FootnoteText"/>
        <w:ind w:left="284" w:hanging="284"/>
      </w:pPr>
      <w:r>
        <w:rPr>
          <w:rStyle w:val="FootnoteReference"/>
        </w:rPr>
        <w:footnoteRef/>
      </w:r>
      <w:r>
        <w:t xml:space="preserve"> </w:t>
      </w:r>
      <w:r>
        <w:tab/>
      </w:r>
      <w:r>
        <w:rPr>
          <w:rFonts w:cs="Arial"/>
          <w:i/>
          <w:iCs/>
          <w:szCs w:val="24"/>
        </w:rPr>
        <w:t>Ex parte Meier &amp; Andere</w:t>
      </w:r>
      <w:r>
        <w:rPr>
          <w:rFonts w:cs="Arial"/>
          <w:szCs w:val="24"/>
        </w:rPr>
        <w:t xml:space="preserve"> 1980 3 SA 154 (T):156D-F.</w:t>
      </w:r>
    </w:p>
  </w:footnote>
  <w:footnote w:id="191">
    <w:p w14:paraId="00176DFC" w14:textId="77777777" w:rsidR="002977D8" w:rsidRDefault="002977D8" w:rsidP="002E7091">
      <w:pPr>
        <w:pStyle w:val="FootnoteText"/>
        <w:ind w:left="284" w:hanging="284"/>
      </w:pPr>
      <w:r>
        <w:rPr>
          <w:rStyle w:val="FootnoteReference"/>
        </w:rPr>
        <w:footnoteRef/>
      </w:r>
      <w:r>
        <w:t xml:space="preserve"> </w:t>
      </w:r>
      <w:r>
        <w:rPr>
          <w:rFonts w:cs="Arial"/>
          <w:i/>
          <w:iCs/>
          <w:szCs w:val="24"/>
        </w:rPr>
        <w:t>Ex parte Meier &amp; Andere</w:t>
      </w:r>
      <w:r>
        <w:rPr>
          <w:rFonts w:cs="Arial"/>
          <w:szCs w:val="24"/>
        </w:rPr>
        <w:t xml:space="preserve"> 1980 3 SA 154 (T):156H.</w:t>
      </w:r>
    </w:p>
  </w:footnote>
  <w:footnote w:id="192">
    <w:p w14:paraId="3A420BF0" w14:textId="796FC388" w:rsidR="00341849" w:rsidRPr="00341849" w:rsidRDefault="00341849" w:rsidP="002E7091">
      <w:pPr>
        <w:pStyle w:val="FootnoteText"/>
        <w:ind w:left="284" w:hanging="284"/>
        <w:rPr>
          <w:i/>
          <w:iCs/>
        </w:rPr>
      </w:pPr>
      <w:r>
        <w:rPr>
          <w:rStyle w:val="FootnoteReference"/>
        </w:rPr>
        <w:footnoteRef/>
      </w:r>
      <w:r>
        <w:t xml:space="preserve"> </w:t>
      </w:r>
      <w:r>
        <w:rPr>
          <w:i/>
          <w:iCs/>
        </w:rPr>
        <w:t>Gafin NO v Kavin</w:t>
      </w:r>
      <w:r w:rsidRPr="00341849">
        <w:t xml:space="preserve"> 1980 4 All SA 354 (W):</w:t>
      </w:r>
      <w:r>
        <w:t>354.</w:t>
      </w:r>
    </w:p>
  </w:footnote>
  <w:footnote w:id="193">
    <w:p w14:paraId="1DE30E4D" w14:textId="77777777" w:rsidR="002977D8" w:rsidRDefault="002977D8" w:rsidP="002E7091">
      <w:pPr>
        <w:pStyle w:val="FootnoteText"/>
        <w:tabs>
          <w:tab w:val="left" w:pos="284"/>
        </w:tabs>
        <w:ind w:left="284" w:hanging="284"/>
      </w:pPr>
      <w:r>
        <w:rPr>
          <w:rStyle w:val="FootnoteReference"/>
        </w:rPr>
        <w:footnoteRef/>
      </w:r>
      <w:r>
        <w:t xml:space="preserve"> </w:t>
      </w:r>
      <w:r>
        <w:tab/>
      </w:r>
      <w:r>
        <w:rPr>
          <w:rFonts w:cs="Arial"/>
          <w:i/>
          <w:iCs/>
          <w:szCs w:val="24"/>
        </w:rPr>
        <w:t>Gafin NO v Kavin</w:t>
      </w:r>
      <w:r>
        <w:rPr>
          <w:rFonts w:cs="Arial"/>
          <w:szCs w:val="24"/>
        </w:rPr>
        <w:t xml:space="preserve"> 1980 4 All SA 354 (W):355.</w:t>
      </w:r>
    </w:p>
  </w:footnote>
  <w:footnote w:id="194">
    <w:p w14:paraId="5E7518C7" w14:textId="77777777" w:rsidR="0058650E" w:rsidRPr="00575A4A" w:rsidRDefault="0058650E" w:rsidP="002E7091">
      <w:pPr>
        <w:pStyle w:val="FootnoteText"/>
        <w:ind w:left="284" w:hanging="284"/>
        <w:rPr>
          <w:lang w:val="en-US"/>
        </w:rPr>
      </w:pPr>
      <w:r>
        <w:rPr>
          <w:rStyle w:val="FootnoteReference"/>
        </w:rPr>
        <w:footnoteRef/>
      </w:r>
      <w:r>
        <w:t xml:space="preserve"> Findings by other Courts are generally held to be inadmissible in civil hearings. In this regard, see 126 above.</w:t>
      </w:r>
    </w:p>
  </w:footnote>
  <w:footnote w:id="195">
    <w:p w14:paraId="1A1719BD" w14:textId="0F5B7872" w:rsidR="002977D8" w:rsidRDefault="002977D8" w:rsidP="002E7091">
      <w:pPr>
        <w:pStyle w:val="FootnoteText"/>
        <w:tabs>
          <w:tab w:val="left" w:pos="284"/>
        </w:tabs>
        <w:ind w:left="284" w:hanging="284"/>
      </w:pPr>
      <w:r>
        <w:rPr>
          <w:rStyle w:val="FootnoteReference"/>
        </w:rPr>
        <w:footnoteRef/>
      </w:r>
      <w:r>
        <w:t xml:space="preserve"> </w:t>
      </w:r>
      <w:r>
        <w:tab/>
      </w:r>
      <w:r>
        <w:rPr>
          <w:rFonts w:cs="Arial"/>
          <w:i/>
          <w:iCs/>
          <w:szCs w:val="24"/>
        </w:rPr>
        <w:t>Gafin NO v Kavin</w:t>
      </w:r>
      <w:r>
        <w:rPr>
          <w:rFonts w:cs="Arial"/>
          <w:szCs w:val="24"/>
        </w:rPr>
        <w:t xml:space="preserve"> 1980 4 All SA 354 (W):35</w:t>
      </w:r>
      <w:r w:rsidR="00DB4F2A">
        <w:rPr>
          <w:rFonts w:cs="Arial"/>
          <w:szCs w:val="24"/>
        </w:rPr>
        <w:t>4</w:t>
      </w:r>
      <w:r w:rsidR="0023356C">
        <w:rPr>
          <w:rFonts w:cs="Arial"/>
          <w:szCs w:val="24"/>
        </w:rPr>
        <w:t>-355</w:t>
      </w:r>
      <w:r>
        <w:rPr>
          <w:rFonts w:cs="Arial"/>
          <w:szCs w:val="24"/>
        </w:rPr>
        <w:t>.</w:t>
      </w:r>
    </w:p>
  </w:footnote>
  <w:footnote w:id="196">
    <w:p w14:paraId="096E750D" w14:textId="77777777" w:rsidR="00C40DD8" w:rsidRPr="000D0533" w:rsidRDefault="00C40DD8" w:rsidP="002E7091">
      <w:pPr>
        <w:pStyle w:val="FootnoteText"/>
        <w:ind w:left="284" w:hanging="284"/>
        <w:rPr>
          <w:lang w:val="en-US"/>
        </w:rPr>
      </w:pPr>
      <w:r>
        <w:rPr>
          <w:rStyle w:val="FootnoteReference"/>
        </w:rPr>
        <w:footnoteRef/>
      </w:r>
      <w:r>
        <w:t xml:space="preserve"> </w:t>
      </w:r>
      <w:r>
        <w:rPr>
          <w:rFonts w:cs="Arial"/>
          <w:i/>
          <w:iCs/>
          <w:szCs w:val="24"/>
        </w:rPr>
        <w:t>Gafin NO v Kavin</w:t>
      </w:r>
      <w:r>
        <w:rPr>
          <w:rFonts w:cs="Arial"/>
          <w:szCs w:val="24"/>
        </w:rPr>
        <w:t xml:space="preserve"> 1980 4 All SA 354 (W):354.</w:t>
      </w:r>
    </w:p>
  </w:footnote>
  <w:footnote w:id="197">
    <w:p w14:paraId="62F3FFF2" w14:textId="1EDE7116" w:rsidR="008F1A99" w:rsidRPr="008F1A99" w:rsidRDefault="008F1A99" w:rsidP="002E7091">
      <w:pPr>
        <w:pStyle w:val="FootnoteText"/>
        <w:ind w:left="284" w:hanging="284"/>
        <w:rPr>
          <w:lang w:val="en-US"/>
        </w:rPr>
      </w:pPr>
      <w:r>
        <w:rPr>
          <w:rStyle w:val="FootnoteReference"/>
        </w:rPr>
        <w:footnoteRef/>
      </w:r>
      <w:r>
        <w:t xml:space="preserve"> </w:t>
      </w:r>
      <w:r>
        <w:rPr>
          <w:rFonts w:cs="Arial"/>
          <w:i/>
          <w:iCs/>
          <w:szCs w:val="24"/>
        </w:rPr>
        <w:t>Gafin NO v Kavin</w:t>
      </w:r>
      <w:r>
        <w:rPr>
          <w:rFonts w:cs="Arial"/>
          <w:szCs w:val="24"/>
        </w:rPr>
        <w:t xml:space="preserve"> 1980 4 All SA 354 (W):355.</w:t>
      </w:r>
    </w:p>
  </w:footnote>
  <w:footnote w:id="198">
    <w:p w14:paraId="104E0C42" w14:textId="1AA5E42C" w:rsidR="00ED0A51" w:rsidRPr="00ED0A51" w:rsidRDefault="00ED0A51" w:rsidP="002E7091">
      <w:pPr>
        <w:pStyle w:val="FootnoteText"/>
        <w:ind w:left="284" w:hanging="284"/>
        <w:rPr>
          <w:lang w:val="en-US"/>
        </w:rPr>
      </w:pPr>
      <w:r>
        <w:rPr>
          <w:rStyle w:val="FootnoteReference"/>
        </w:rPr>
        <w:footnoteRef/>
      </w:r>
      <w:r>
        <w:t xml:space="preserve"> </w:t>
      </w:r>
      <w:r>
        <w:rPr>
          <w:rFonts w:cs="Arial"/>
          <w:i/>
          <w:iCs/>
          <w:szCs w:val="24"/>
        </w:rPr>
        <w:t>Gafin NO v Kavin</w:t>
      </w:r>
      <w:r>
        <w:rPr>
          <w:rFonts w:cs="Arial"/>
          <w:szCs w:val="24"/>
        </w:rPr>
        <w:t xml:space="preserve"> 1980 4 All SA 354 (W):356.</w:t>
      </w:r>
    </w:p>
  </w:footnote>
  <w:footnote w:id="199">
    <w:p w14:paraId="76727C66" w14:textId="77777777" w:rsidR="00CA14D5" w:rsidRPr="00784DCC" w:rsidRDefault="00CA14D5" w:rsidP="002E7091">
      <w:pPr>
        <w:pStyle w:val="FootnoteText"/>
        <w:ind w:left="284" w:hanging="284"/>
        <w:rPr>
          <w:lang w:val="en-US"/>
        </w:rPr>
      </w:pPr>
      <w:r>
        <w:rPr>
          <w:rStyle w:val="FootnoteReference"/>
        </w:rPr>
        <w:footnoteRef/>
      </w:r>
      <w:r>
        <w:t xml:space="preserve"> </w:t>
      </w:r>
      <w:r>
        <w:rPr>
          <w:rFonts w:cs="Arial"/>
          <w:i/>
          <w:iCs/>
          <w:szCs w:val="24"/>
        </w:rPr>
        <w:t>Gafin NO v Kavin</w:t>
      </w:r>
      <w:r>
        <w:rPr>
          <w:rFonts w:cs="Arial"/>
          <w:szCs w:val="24"/>
        </w:rPr>
        <w:t xml:space="preserve"> 1980 4 All SA 354 (W):357.</w:t>
      </w:r>
    </w:p>
  </w:footnote>
  <w:footnote w:id="200">
    <w:p w14:paraId="6766A4B6" w14:textId="307B9DC5" w:rsidR="00391BDC" w:rsidRDefault="00391BDC">
      <w:pPr>
        <w:pStyle w:val="FootnoteText"/>
      </w:pPr>
      <w:r>
        <w:rPr>
          <w:rStyle w:val="FootnoteReference"/>
        </w:rPr>
        <w:footnoteRef/>
      </w:r>
      <w:r>
        <w:t xml:space="preserve"> </w:t>
      </w:r>
      <w:r>
        <w:rPr>
          <w:i/>
          <w:iCs/>
        </w:rPr>
        <w:t xml:space="preserve">Casey NO v The Master &amp; Others </w:t>
      </w:r>
      <w:r w:rsidRPr="006871F3">
        <w:t>1992 4 SA 505 (N):</w:t>
      </w:r>
      <w:r>
        <w:t>506B-C,G.</w:t>
      </w:r>
    </w:p>
  </w:footnote>
  <w:footnote w:id="201">
    <w:p w14:paraId="1ED938F8" w14:textId="741186D2" w:rsidR="00FE1D11" w:rsidRPr="006871F3" w:rsidRDefault="00FE1D11" w:rsidP="00FE1D11">
      <w:pPr>
        <w:pStyle w:val="FootnoteText"/>
        <w:rPr>
          <w:i/>
          <w:iCs/>
        </w:rPr>
      </w:pPr>
      <w:r>
        <w:rPr>
          <w:rStyle w:val="FootnoteReference"/>
        </w:rPr>
        <w:footnoteRef/>
      </w:r>
      <w:r>
        <w:t xml:space="preserve"> </w:t>
      </w:r>
      <w:r>
        <w:rPr>
          <w:i/>
          <w:iCs/>
        </w:rPr>
        <w:t xml:space="preserve">Casey NO v The Master &amp; Others </w:t>
      </w:r>
      <w:r w:rsidRPr="006871F3">
        <w:t>1992 4 SA 505 (N):</w:t>
      </w:r>
      <w:r>
        <w:t>506A-D,G.</w:t>
      </w:r>
    </w:p>
  </w:footnote>
  <w:footnote w:id="202">
    <w:p w14:paraId="7A1415C3" w14:textId="72E8169D" w:rsidR="002263E5" w:rsidRDefault="002263E5">
      <w:pPr>
        <w:pStyle w:val="FootnoteText"/>
      </w:pPr>
      <w:r>
        <w:rPr>
          <w:rStyle w:val="FootnoteReference"/>
        </w:rPr>
        <w:footnoteRef/>
      </w:r>
      <w:r>
        <w:t xml:space="preserve"> </w:t>
      </w:r>
      <w:r>
        <w:rPr>
          <w:i/>
          <w:iCs/>
        </w:rPr>
        <w:t xml:space="preserve">Casey NO v The Master &amp; Others </w:t>
      </w:r>
      <w:r w:rsidRPr="006871F3">
        <w:t>1992 4 SA 505 (N):</w:t>
      </w:r>
      <w:r>
        <w:t>506E-F.</w:t>
      </w:r>
    </w:p>
  </w:footnote>
  <w:footnote w:id="203">
    <w:p w14:paraId="160D74C0" w14:textId="33F17493" w:rsidR="00AB4586" w:rsidRDefault="00AB4586">
      <w:pPr>
        <w:pStyle w:val="FootnoteText"/>
      </w:pPr>
      <w:r>
        <w:rPr>
          <w:rStyle w:val="FootnoteReference"/>
        </w:rPr>
        <w:footnoteRef/>
      </w:r>
      <w:r>
        <w:t xml:space="preserve"> </w:t>
      </w:r>
      <w:r>
        <w:rPr>
          <w:i/>
          <w:iCs/>
        </w:rPr>
        <w:t xml:space="preserve">Casey NO v The Master &amp; Others </w:t>
      </w:r>
      <w:r w:rsidRPr="006871F3">
        <w:t>1992 4 SA 505 (N):</w:t>
      </w:r>
      <w:r>
        <w:t>50</w:t>
      </w:r>
      <w:r w:rsidR="001C5130">
        <w:t>6A</w:t>
      </w:r>
      <w:r>
        <w:t>.</w:t>
      </w:r>
    </w:p>
  </w:footnote>
  <w:footnote w:id="204">
    <w:p w14:paraId="2463FE2B" w14:textId="3D0CCD00" w:rsidR="00D16969" w:rsidRDefault="00D16969">
      <w:pPr>
        <w:pStyle w:val="FootnoteText"/>
      </w:pPr>
      <w:r>
        <w:rPr>
          <w:rStyle w:val="FootnoteReference"/>
        </w:rPr>
        <w:footnoteRef/>
      </w:r>
      <w:r>
        <w:t xml:space="preserve"> </w:t>
      </w:r>
      <w:r>
        <w:rPr>
          <w:i/>
          <w:iCs/>
        </w:rPr>
        <w:t xml:space="preserve">Casey NO v The Master &amp; Others </w:t>
      </w:r>
      <w:r w:rsidRPr="006871F3">
        <w:t>1992 4 SA 505 (N):</w:t>
      </w:r>
      <w:r>
        <w:t>506H.</w:t>
      </w:r>
    </w:p>
  </w:footnote>
  <w:footnote w:id="205">
    <w:p w14:paraId="2A4BDB65" w14:textId="3E9E2DF2" w:rsidR="002977D8" w:rsidRDefault="002977D8" w:rsidP="002E7091">
      <w:pPr>
        <w:pStyle w:val="FootnoteText"/>
        <w:ind w:left="284" w:hanging="284"/>
      </w:pPr>
      <w:r>
        <w:rPr>
          <w:rStyle w:val="FootnoteReference"/>
        </w:rPr>
        <w:footnoteRef/>
      </w:r>
      <w:r>
        <w:t xml:space="preserve"> </w:t>
      </w:r>
      <w:r>
        <w:tab/>
      </w:r>
      <w:r>
        <w:rPr>
          <w:i/>
          <w:iCs/>
        </w:rPr>
        <w:t>Casey NO v The Master &amp; Others</w:t>
      </w:r>
      <w:r>
        <w:t xml:space="preserve"> 1992 4 SA 505 (N):507C</w:t>
      </w:r>
      <w:r w:rsidR="00C52CFB">
        <w:t>; Jamneck &amp; Rautenbach 2023:126.</w:t>
      </w:r>
    </w:p>
  </w:footnote>
  <w:footnote w:id="206">
    <w:p w14:paraId="3B2C76ED" w14:textId="77777777" w:rsidR="002977D8" w:rsidRDefault="002977D8" w:rsidP="002E7091">
      <w:pPr>
        <w:pStyle w:val="FootnoteText"/>
        <w:ind w:left="284" w:hanging="284"/>
      </w:pPr>
      <w:r>
        <w:rPr>
          <w:rStyle w:val="FootnoteReference"/>
        </w:rPr>
        <w:footnoteRef/>
      </w:r>
      <w:r>
        <w:t xml:space="preserve"> </w:t>
      </w:r>
      <w:r>
        <w:tab/>
      </w:r>
      <w:r>
        <w:rPr>
          <w:i/>
          <w:iCs/>
        </w:rPr>
        <w:t>Casey NO v The Master &amp; Others</w:t>
      </w:r>
      <w:r>
        <w:t xml:space="preserve"> 1992 4 SA 505 (N):508B.</w:t>
      </w:r>
    </w:p>
  </w:footnote>
  <w:footnote w:id="207">
    <w:p w14:paraId="33DB35A5" w14:textId="79B1E855" w:rsidR="002977D8" w:rsidRDefault="002977D8" w:rsidP="002E7091">
      <w:pPr>
        <w:pStyle w:val="FootnoteText"/>
        <w:ind w:left="284" w:hanging="284"/>
      </w:pPr>
      <w:r>
        <w:rPr>
          <w:rStyle w:val="FootnoteReference"/>
        </w:rPr>
        <w:footnoteRef/>
      </w:r>
      <w:r>
        <w:t xml:space="preserve"> </w:t>
      </w:r>
      <w:r>
        <w:tab/>
      </w:r>
      <w:r>
        <w:rPr>
          <w:i/>
          <w:iCs/>
        </w:rPr>
        <w:t>Casey NO v The Master &amp; Others</w:t>
      </w:r>
      <w:r>
        <w:t xml:space="preserve"> 1992 4 SA 505 (N):508B,</w:t>
      </w:r>
      <w:r w:rsidR="002A0E14">
        <w:t xml:space="preserve"> </w:t>
      </w:r>
      <w:r>
        <w:t>I.</w:t>
      </w:r>
    </w:p>
  </w:footnote>
  <w:footnote w:id="208">
    <w:p w14:paraId="7BA5C2B8" w14:textId="77777777" w:rsidR="002977D8" w:rsidRDefault="002977D8" w:rsidP="002E7091">
      <w:pPr>
        <w:pStyle w:val="FootnoteText"/>
        <w:ind w:left="284" w:hanging="284"/>
      </w:pPr>
      <w:r>
        <w:rPr>
          <w:rStyle w:val="FootnoteReference"/>
        </w:rPr>
        <w:footnoteRef/>
      </w:r>
      <w:r>
        <w:t xml:space="preserve"> </w:t>
      </w:r>
      <w:r>
        <w:tab/>
      </w:r>
      <w:r>
        <w:rPr>
          <w:i/>
          <w:iCs/>
        </w:rPr>
        <w:t>Casey NO v The Master &amp; Others</w:t>
      </w:r>
      <w:r>
        <w:t xml:space="preserve"> 1992 4 SA 505 (N):509A.</w:t>
      </w:r>
    </w:p>
  </w:footnote>
  <w:footnote w:id="209">
    <w:p w14:paraId="010E6054" w14:textId="270E6B16" w:rsidR="006D57D4" w:rsidRDefault="006D57D4" w:rsidP="006D57D4">
      <w:pPr>
        <w:pStyle w:val="FootnoteText"/>
        <w:ind w:left="284" w:hanging="284"/>
      </w:pPr>
      <w:r>
        <w:rPr>
          <w:rStyle w:val="FootnoteReference"/>
        </w:rPr>
        <w:footnoteRef/>
      </w:r>
      <w:r>
        <w:t xml:space="preserve"> </w:t>
      </w:r>
      <w:r>
        <w:tab/>
      </w:r>
      <w:r>
        <w:rPr>
          <w:i/>
          <w:iCs/>
        </w:rPr>
        <w:t>Casey NO v The Master &amp; Others</w:t>
      </w:r>
      <w:r>
        <w:t xml:space="preserve"> 1992 4 SA 505 (N):511A-B.</w:t>
      </w:r>
    </w:p>
  </w:footnote>
  <w:footnote w:id="210">
    <w:p w14:paraId="214B4F7F" w14:textId="01D1D2E3" w:rsidR="00C33718" w:rsidRDefault="00C33718">
      <w:pPr>
        <w:pStyle w:val="FootnoteText"/>
      </w:pPr>
      <w:r>
        <w:rPr>
          <w:rStyle w:val="FootnoteReference"/>
        </w:rPr>
        <w:footnoteRef/>
      </w:r>
      <w:r>
        <w:t xml:space="preserve"> Sonnekus 2023:193.</w:t>
      </w:r>
    </w:p>
  </w:footnote>
  <w:footnote w:id="211">
    <w:p w14:paraId="212C0D7F" w14:textId="645495B5" w:rsidR="002977D8" w:rsidRDefault="002977D8" w:rsidP="002E7091">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(N):590.</w:t>
      </w:r>
    </w:p>
  </w:footnote>
  <w:footnote w:id="212">
    <w:p w14:paraId="320E9655" w14:textId="77777777" w:rsidR="002977D8" w:rsidRDefault="002977D8" w:rsidP="002E7091">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(N):590.</w:t>
      </w:r>
    </w:p>
  </w:footnote>
  <w:footnote w:id="213">
    <w:p w14:paraId="48ED91FF" w14:textId="2540EAAF" w:rsidR="005A323D" w:rsidRPr="005A323D" w:rsidRDefault="005A323D" w:rsidP="007D12A3">
      <w:pPr>
        <w:pStyle w:val="FootnoteText"/>
        <w:ind w:left="284" w:hanging="284"/>
        <w:rPr>
          <w:lang w:val="en-US"/>
        </w:rPr>
      </w:pPr>
      <w:r>
        <w:rPr>
          <w:rStyle w:val="FootnoteReference"/>
        </w:rPr>
        <w:footnoteRef/>
      </w:r>
      <w:r>
        <w:t xml:space="preserve"> </w:t>
      </w:r>
      <w:r>
        <w:rPr>
          <w:lang w:val="en-US"/>
        </w:rPr>
        <w:t>Malherbe 2016:32</w:t>
      </w:r>
      <w:r w:rsidR="00525309">
        <w:rPr>
          <w:lang w:val="en-US"/>
        </w:rPr>
        <w:t xml:space="preserve">; </w:t>
      </w:r>
      <w:r w:rsidR="00525309">
        <w:rPr>
          <w:i/>
          <w:iCs/>
        </w:rPr>
        <w:t xml:space="preserve">Leeb &amp; Another v Leeb &amp; Another </w:t>
      </w:r>
      <w:r w:rsidR="00525309" w:rsidRPr="00244880">
        <w:t>1999 2 All SA 588 (N):</w:t>
      </w:r>
      <w:r w:rsidR="0083582C">
        <w:t>589-</w:t>
      </w:r>
      <w:r w:rsidR="00525309">
        <w:t>590.</w:t>
      </w:r>
    </w:p>
  </w:footnote>
  <w:footnote w:id="214">
    <w:p w14:paraId="2B24DA2A" w14:textId="77777777" w:rsidR="00752DB4" w:rsidRDefault="00752DB4" w:rsidP="00752DB4">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(N):591 (emphasis supplied).</w:t>
      </w:r>
    </w:p>
  </w:footnote>
  <w:footnote w:id="215">
    <w:p w14:paraId="74AA0282" w14:textId="77777777" w:rsidR="002977D8" w:rsidRDefault="002977D8" w:rsidP="002E7091">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(N):590.</w:t>
      </w:r>
    </w:p>
  </w:footnote>
  <w:footnote w:id="216">
    <w:p w14:paraId="611C25FC" w14:textId="07A0D74D" w:rsidR="002977D8" w:rsidRDefault="002977D8" w:rsidP="002E7091">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(N):592</w:t>
      </w:r>
      <w:r w:rsidR="00510342">
        <w:rPr>
          <w:rFonts w:cs="Arial"/>
          <w:szCs w:val="24"/>
        </w:rPr>
        <w:t>, 596</w:t>
      </w:r>
      <w:r>
        <w:rPr>
          <w:rFonts w:cs="Arial"/>
          <w:szCs w:val="24"/>
        </w:rPr>
        <w:t>.</w:t>
      </w:r>
    </w:p>
  </w:footnote>
  <w:footnote w:id="217">
    <w:p w14:paraId="5F79EBAE" w14:textId="77777777" w:rsidR="0026485D" w:rsidRDefault="0026485D" w:rsidP="0026485D">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(N):598.</w:t>
      </w:r>
    </w:p>
  </w:footnote>
  <w:footnote w:id="218">
    <w:p w14:paraId="5D531149" w14:textId="77777777" w:rsidR="002977D8" w:rsidRDefault="002977D8" w:rsidP="002E7091">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(N):598.</w:t>
      </w:r>
    </w:p>
  </w:footnote>
  <w:footnote w:id="219">
    <w:p w14:paraId="26D30226" w14:textId="77777777" w:rsidR="002977D8" w:rsidRDefault="002977D8" w:rsidP="002E7091">
      <w:pPr>
        <w:pStyle w:val="FootnoteText"/>
        <w:ind w:left="284" w:hanging="284"/>
      </w:pPr>
      <w:r>
        <w:rPr>
          <w:rStyle w:val="FootnoteReference"/>
        </w:rPr>
        <w:footnoteRef/>
      </w:r>
      <w:r>
        <w:t xml:space="preserve"> </w:t>
      </w:r>
      <w:r>
        <w:tab/>
      </w:r>
      <w:r w:rsidRPr="000D20D2">
        <w:rPr>
          <w:rFonts w:cs="Arial"/>
          <w:i/>
          <w:iCs/>
          <w:szCs w:val="24"/>
        </w:rPr>
        <w:t>Makhanya</w:t>
      </w:r>
      <w:r>
        <w:rPr>
          <w:rFonts w:cs="Arial"/>
          <w:i/>
          <w:iCs/>
          <w:szCs w:val="24"/>
        </w:rPr>
        <w:t xml:space="preserve"> v Minister of Finance &amp; Others</w:t>
      </w:r>
      <w:r>
        <w:rPr>
          <w:rFonts w:cs="Arial"/>
          <w:szCs w:val="24"/>
        </w:rPr>
        <w:t xml:space="preserve"> 2001 2 SA 1251 (D):1252B-C.</w:t>
      </w:r>
    </w:p>
  </w:footnote>
  <w:footnote w:id="220">
    <w:p w14:paraId="08063709" w14:textId="2647B8CF" w:rsidR="002977D8" w:rsidRDefault="002977D8" w:rsidP="002E7091">
      <w:pPr>
        <w:pStyle w:val="FootnoteText"/>
        <w:ind w:left="284" w:hanging="284"/>
      </w:pPr>
      <w:r>
        <w:rPr>
          <w:rStyle w:val="FootnoteReference"/>
        </w:rPr>
        <w:footnoteRef/>
      </w:r>
      <w:r>
        <w:t xml:space="preserve"> </w:t>
      </w:r>
      <w:r>
        <w:tab/>
      </w:r>
      <w:r w:rsidRPr="000D20D2">
        <w:rPr>
          <w:rFonts w:cs="Arial"/>
          <w:i/>
          <w:iCs/>
          <w:szCs w:val="24"/>
        </w:rPr>
        <w:t>Makhanya</w:t>
      </w:r>
      <w:r>
        <w:rPr>
          <w:rFonts w:cs="Arial"/>
          <w:i/>
          <w:iCs/>
          <w:szCs w:val="24"/>
        </w:rPr>
        <w:t xml:space="preserve"> v Minister of Finance &amp; Others</w:t>
      </w:r>
      <w:r>
        <w:rPr>
          <w:rFonts w:cs="Arial"/>
          <w:szCs w:val="24"/>
        </w:rPr>
        <w:t xml:space="preserve"> 2001 2 SA 1251 (D):1252</w:t>
      </w:r>
      <w:r w:rsidR="0010740B">
        <w:rPr>
          <w:rFonts w:cs="Arial"/>
          <w:szCs w:val="24"/>
        </w:rPr>
        <w:t>C</w:t>
      </w:r>
      <w:r w:rsidR="00D64B77">
        <w:rPr>
          <w:rFonts w:cs="Arial"/>
          <w:szCs w:val="24"/>
        </w:rPr>
        <w:t>-</w:t>
      </w:r>
      <w:r>
        <w:rPr>
          <w:rFonts w:cs="Arial"/>
          <w:szCs w:val="24"/>
        </w:rPr>
        <w:t>E.</w:t>
      </w:r>
    </w:p>
  </w:footnote>
  <w:footnote w:id="221">
    <w:p w14:paraId="53EEC809" w14:textId="01B9F450" w:rsidR="00793BD2" w:rsidRDefault="00793BD2" w:rsidP="002E7091">
      <w:pPr>
        <w:pStyle w:val="FootnoteText"/>
        <w:ind w:left="284" w:hanging="284"/>
      </w:pPr>
      <w:r>
        <w:rPr>
          <w:rStyle w:val="FootnoteReference"/>
        </w:rPr>
        <w:footnoteRef/>
      </w:r>
      <w:r>
        <w:t xml:space="preserve"> Jamneck &amp; Rautenbach 2023:129.</w:t>
      </w:r>
    </w:p>
  </w:footnote>
  <w:footnote w:id="222">
    <w:p w14:paraId="175FBE40" w14:textId="5ABC67E4" w:rsidR="001212BA" w:rsidRPr="001212BA" w:rsidRDefault="001212BA">
      <w:pPr>
        <w:pStyle w:val="FootnoteText"/>
      </w:pPr>
      <w:r>
        <w:rPr>
          <w:rStyle w:val="FootnoteReference"/>
        </w:rPr>
        <w:footnoteRef/>
      </w:r>
      <w:r>
        <w:t xml:space="preserve"> </w:t>
      </w:r>
      <w:r>
        <w:rPr>
          <w:i/>
          <w:iCs/>
        </w:rPr>
        <w:t>Makhanya v Minister of Finance &amp; Others</w:t>
      </w:r>
      <w:r>
        <w:t xml:space="preserve"> 2001 2 SA 1251 (D):1252F-G.</w:t>
      </w:r>
    </w:p>
  </w:footnote>
  <w:footnote w:id="223">
    <w:p w14:paraId="126D4013" w14:textId="2CF09FEA" w:rsidR="00D355CC" w:rsidRDefault="00D355CC">
      <w:pPr>
        <w:pStyle w:val="FootnoteText"/>
      </w:pPr>
      <w:r>
        <w:rPr>
          <w:rStyle w:val="FootnoteReference"/>
        </w:rPr>
        <w:footnoteRef/>
      </w:r>
      <w:r>
        <w:t xml:space="preserve"> </w:t>
      </w:r>
      <w:r>
        <w:rPr>
          <w:i/>
          <w:iCs/>
        </w:rPr>
        <w:t>Makhanya v Minister of Finance &amp; Others</w:t>
      </w:r>
      <w:r>
        <w:t xml:space="preserve"> 2001 2 SA 1251 (D):1252G-</w:t>
      </w:r>
      <w:r w:rsidR="00BD1C1B">
        <w:t>H.</w:t>
      </w:r>
    </w:p>
  </w:footnote>
  <w:footnote w:id="224">
    <w:p w14:paraId="4B1034BC" w14:textId="77777777" w:rsidR="00D355CC" w:rsidRDefault="00D355CC" w:rsidP="00D355CC">
      <w:pPr>
        <w:pStyle w:val="FootnoteText"/>
        <w:ind w:left="284" w:hanging="284"/>
      </w:pPr>
      <w:r>
        <w:rPr>
          <w:rStyle w:val="FootnoteReference"/>
        </w:rPr>
        <w:footnoteRef/>
      </w:r>
      <w:r>
        <w:t xml:space="preserve"> </w:t>
      </w:r>
      <w:r>
        <w:tab/>
      </w:r>
      <w:r w:rsidRPr="00AA5D6F">
        <w:rPr>
          <w:i/>
          <w:iCs/>
        </w:rPr>
        <w:t>Government Service Pension Act</w:t>
      </w:r>
      <w:r>
        <w:t xml:space="preserve"> 57/1973:reg. 14(1).</w:t>
      </w:r>
    </w:p>
  </w:footnote>
  <w:footnote w:id="225">
    <w:p w14:paraId="0F072CC4" w14:textId="7A02050D" w:rsidR="00E45334" w:rsidRDefault="00E45334">
      <w:pPr>
        <w:pStyle w:val="FootnoteText"/>
      </w:pPr>
      <w:r>
        <w:rPr>
          <w:rStyle w:val="FootnoteReference"/>
        </w:rPr>
        <w:footnoteRef/>
      </w:r>
      <w:r>
        <w:t xml:space="preserve"> </w:t>
      </w:r>
      <w:r>
        <w:rPr>
          <w:i/>
          <w:iCs/>
        </w:rPr>
        <w:t>Makhanya v Minister of Finance &amp; Others</w:t>
      </w:r>
      <w:r>
        <w:t xml:space="preserve"> 2001 2 SA 1251 (D):1253A</w:t>
      </w:r>
      <w:r w:rsidR="00BD1C1B">
        <w:t>, C, I</w:t>
      </w:r>
      <w:r>
        <w:t>.</w:t>
      </w:r>
    </w:p>
  </w:footnote>
  <w:footnote w:id="226">
    <w:p w14:paraId="7BBFB392" w14:textId="3D4858FD" w:rsidR="00B56BC9" w:rsidRDefault="00B56BC9" w:rsidP="00B56BC9">
      <w:pPr>
        <w:pStyle w:val="FootnoteText"/>
      </w:pPr>
      <w:r>
        <w:rPr>
          <w:rStyle w:val="FootnoteReference"/>
        </w:rPr>
        <w:footnoteRef/>
      </w:r>
      <w:r>
        <w:t xml:space="preserve"> </w:t>
      </w:r>
      <w:r>
        <w:rPr>
          <w:i/>
          <w:iCs/>
        </w:rPr>
        <w:t>Makhanya v Minister of Finance &amp; Others</w:t>
      </w:r>
      <w:r>
        <w:t xml:space="preserve"> 2001 2 SA 1251 (D):1254B-C.</w:t>
      </w:r>
    </w:p>
  </w:footnote>
  <w:footnote w:id="227">
    <w:p w14:paraId="04936870" w14:textId="418BB285" w:rsidR="002977D8" w:rsidRDefault="002977D8" w:rsidP="002E7091">
      <w:pPr>
        <w:pStyle w:val="FootnoteText"/>
        <w:ind w:left="284" w:hanging="284"/>
      </w:pPr>
      <w:r>
        <w:rPr>
          <w:rStyle w:val="FootnoteReference"/>
        </w:rPr>
        <w:footnoteRef/>
      </w:r>
      <w:r>
        <w:t xml:space="preserve"> </w:t>
      </w:r>
      <w:r>
        <w:tab/>
      </w:r>
      <w:r>
        <w:rPr>
          <w:i/>
          <w:iCs/>
        </w:rPr>
        <w:t xml:space="preserve">Makhanya v Minister of Finance &amp; Others </w:t>
      </w:r>
      <w:r>
        <w:t>2001 2 SA 1251 (D):1254C-D</w:t>
      </w:r>
      <w:r w:rsidR="00F80724">
        <w:t>,</w:t>
      </w:r>
      <w:r w:rsidR="002A0E14">
        <w:t xml:space="preserve"> </w:t>
      </w:r>
      <w:r w:rsidR="00F80724">
        <w:t>G</w:t>
      </w:r>
      <w:r w:rsidR="00D1535E">
        <w:t>; Jamneck &amp; Rautenbach 2023:</w:t>
      </w:r>
      <w:r w:rsidR="002A0E14">
        <w:t xml:space="preserve"> </w:t>
      </w:r>
      <w:r w:rsidR="00D1535E">
        <w:t>129</w:t>
      </w:r>
      <w:r w:rsidR="00990619">
        <w:t>; Hofmeyr &amp; Paleker 2023:143</w:t>
      </w:r>
      <w:r w:rsidR="00B84890">
        <w:t>-144.</w:t>
      </w:r>
    </w:p>
  </w:footnote>
  <w:footnote w:id="228">
    <w:p w14:paraId="261A4045" w14:textId="6544A55B" w:rsidR="002977D8" w:rsidRPr="00A44D80" w:rsidRDefault="002977D8" w:rsidP="002E7091">
      <w:pPr>
        <w:pStyle w:val="FootnoteText"/>
        <w:ind w:left="284" w:hanging="284"/>
      </w:pPr>
      <w:r>
        <w:rPr>
          <w:rStyle w:val="FootnoteReference"/>
        </w:rPr>
        <w:footnoteRef/>
      </w:r>
      <w:r>
        <w:t xml:space="preserve"> </w:t>
      </w:r>
      <w:r>
        <w:tab/>
      </w:r>
      <w:r>
        <w:rPr>
          <w:i/>
          <w:iCs/>
        </w:rPr>
        <w:t xml:space="preserve">Makhanya v Minister of Finance &amp; Others </w:t>
      </w:r>
      <w:r>
        <w:t>2001 2 SA 1251 (D):1254G-1255</w:t>
      </w:r>
      <w:r w:rsidR="004A263E">
        <w:t>A-</w:t>
      </w:r>
      <w:r>
        <w:t>C</w:t>
      </w:r>
      <w:r w:rsidR="004E70CB">
        <w:t>; Jamneck &amp; Rautenbach 2023:129.</w:t>
      </w:r>
    </w:p>
  </w:footnote>
  <w:footnote w:id="229">
    <w:p w14:paraId="582057A7" w14:textId="6B5CF507" w:rsidR="002977D8" w:rsidRDefault="002977D8" w:rsidP="002E7091">
      <w:pPr>
        <w:pStyle w:val="FootnoteText"/>
        <w:ind w:left="284" w:hanging="284"/>
      </w:pPr>
      <w:r>
        <w:rPr>
          <w:rStyle w:val="FootnoteReference"/>
        </w:rPr>
        <w:footnoteRef/>
      </w:r>
      <w:r>
        <w:t xml:space="preserve"> </w:t>
      </w:r>
      <w:r>
        <w:tab/>
      </w:r>
      <w:r>
        <w:rPr>
          <w:rFonts w:cs="Arial"/>
          <w:i/>
          <w:iCs/>
          <w:szCs w:val="24"/>
        </w:rPr>
        <w:t>Marais v Botha</w:t>
      </w:r>
      <w:r w:rsidR="00CA4204">
        <w:rPr>
          <w:rFonts w:cs="Arial"/>
          <w:i/>
          <w:iCs/>
          <w:szCs w:val="24"/>
        </w:rPr>
        <w:t xml:space="preserve"> NO &amp; </w:t>
      </w:r>
      <w:r w:rsidR="00CA4204">
        <w:rPr>
          <w:i/>
          <w:iCs/>
        </w:rPr>
        <w:t>Others</w:t>
      </w:r>
      <w:r>
        <w:rPr>
          <w:rFonts w:cs="Arial"/>
          <w:szCs w:val="24"/>
        </w:rPr>
        <w:t xml:space="preserve"> [2008] ZAWCHC 111 (31 October 2008):par. 1.</w:t>
      </w:r>
    </w:p>
  </w:footnote>
  <w:footnote w:id="230">
    <w:p w14:paraId="50A9341A" w14:textId="2732F250" w:rsidR="00466CE4" w:rsidRPr="00466CE4" w:rsidRDefault="00466CE4" w:rsidP="002E7091">
      <w:pPr>
        <w:pStyle w:val="FootnoteText"/>
        <w:ind w:left="284" w:hanging="284"/>
      </w:pPr>
      <w:r>
        <w:rPr>
          <w:rStyle w:val="FootnoteReference"/>
        </w:rPr>
        <w:footnoteRef/>
      </w:r>
      <w:r>
        <w:t xml:space="preserve"> </w:t>
      </w:r>
      <w:r>
        <w:rPr>
          <w:i/>
          <w:iCs/>
        </w:rPr>
        <w:t>Wills Act</w:t>
      </w:r>
      <w:r w:rsidR="00F8278F">
        <w:t>:</w:t>
      </w:r>
      <w:r>
        <w:t>sec. 2(3).</w:t>
      </w:r>
    </w:p>
  </w:footnote>
  <w:footnote w:id="231">
    <w:p w14:paraId="4B49A6D6" w14:textId="3BFD8BAB" w:rsidR="00F8278F" w:rsidRDefault="00F8278F" w:rsidP="002E7091">
      <w:pPr>
        <w:pStyle w:val="FootnoteText"/>
        <w:ind w:left="284" w:hanging="284"/>
      </w:pPr>
      <w:r>
        <w:rPr>
          <w:rStyle w:val="FootnoteReference"/>
        </w:rPr>
        <w:footnoteRef/>
      </w:r>
      <w:r>
        <w:t xml:space="preserve"> </w:t>
      </w:r>
      <w:r w:rsidR="00650ADA">
        <w:tab/>
      </w:r>
      <w:r w:rsidR="00650ADA">
        <w:rPr>
          <w:rFonts w:cs="Arial"/>
          <w:i/>
          <w:iCs/>
          <w:szCs w:val="24"/>
        </w:rPr>
        <w:t>Marais v Botha</w:t>
      </w:r>
      <w:r w:rsidR="00CA4204" w:rsidRPr="00CA4204">
        <w:rPr>
          <w:rFonts w:cs="Arial"/>
          <w:i/>
          <w:iCs/>
          <w:szCs w:val="24"/>
        </w:rPr>
        <w:t xml:space="preserve"> </w:t>
      </w:r>
      <w:r w:rsidR="00CA4204">
        <w:rPr>
          <w:rFonts w:cs="Arial"/>
          <w:i/>
          <w:iCs/>
          <w:szCs w:val="24"/>
        </w:rPr>
        <w:t xml:space="preserve">NO &amp; </w:t>
      </w:r>
      <w:r w:rsidR="00CA4204">
        <w:rPr>
          <w:i/>
          <w:iCs/>
        </w:rPr>
        <w:t>Others</w:t>
      </w:r>
      <w:r w:rsidR="00650ADA">
        <w:rPr>
          <w:rFonts w:cs="Arial"/>
          <w:szCs w:val="24"/>
        </w:rPr>
        <w:t xml:space="preserve"> [2008] ZAWCHC 111 (31 October 2008):par. 1; </w:t>
      </w:r>
      <w:r>
        <w:t>Jamneck &amp; Rautenbach 2023:130.</w:t>
      </w:r>
    </w:p>
  </w:footnote>
  <w:footnote w:id="232">
    <w:p w14:paraId="34B144BF" w14:textId="2A4C0424" w:rsidR="00D25D34" w:rsidRDefault="00D25D34">
      <w:pPr>
        <w:pStyle w:val="FootnoteText"/>
      </w:pPr>
      <w:r>
        <w:rPr>
          <w:rStyle w:val="FootnoteReference"/>
        </w:rPr>
        <w:footnoteRef/>
      </w:r>
      <w:r>
        <w:t xml:space="preserve"> </w:t>
      </w:r>
      <w:r>
        <w:rPr>
          <w:rFonts w:cs="Arial"/>
          <w:i/>
          <w:iCs/>
          <w:szCs w:val="24"/>
        </w:rPr>
        <w:t>Marais v Botha</w:t>
      </w:r>
      <w:r>
        <w:rPr>
          <w:rFonts w:cs="Arial"/>
          <w:szCs w:val="24"/>
        </w:rPr>
        <w:t xml:space="preserve"> </w:t>
      </w:r>
      <w:r w:rsidR="00CA4204">
        <w:rPr>
          <w:rFonts w:cs="Arial"/>
          <w:i/>
          <w:iCs/>
          <w:szCs w:val="24"/>
        </w:rPr>
        <w:t xml:space="preserve">NO &amp; </w:t>
      </w:r>
      <w:r w:rsidR="00CA4204">
        <w:rPr>
          <w:i/>
          <w:iCs/>
        </w:rPr>
        <w:t>Others</w:t>
      </w:r>
      <w:r w:rsidR="00CA4204">
        <w:rPr>
          <w:rFonts w:cs="Arial"/>
          <w:szCs w:val="24"/>
        </w:rPr>
        <w:t xml:space="preserve"> </w:t>
      </w:r>
      <w:r>
        <w:rPr>
          <w:rFonts w:cs="Arial"/>
          <w:szCs w:val="24"/>
        </w:rPr>
        <w:t>[2008] ZAWCHC 111 (31 October 2008):par. 4.</w:t>
      </w:r>
    </w:p>
  </w:footnote>
  <w:footnote w:id="233">
    <w:p w14:paraId="63174964" w14:textId="72003F82" w:rsidR="00986CF2" w:rsidRDefault="00986CF2">
      <w:pPr>
        <w:pStyle w:val="FootnoteText"/>
      </w:pPr>
      <w:r>
        <w:rPr>
          <w:rStyle w:val="FootnoteReference"/>
        </w:rPr>
        <w:footnoteRef/>
      </w:r>
      <w:r>
        <w:t xml:space="preserve"> </w:t>
      </w:r>
      <w:r>
        <w:rPr>
          <w:rFonts w:cs="Arial"/>
          <w:i/>
          <w:iCs/>
          <w:szCs w:val="24"/>
        </w:rPr>
        <w:t>Marais v Botha</w:t>
      </w:r>
      <w:r>
        <w:rPr>
          <w:rFonts w:cs="Arial"/>
          <w:szCs w:val="24"/>
        </w:rPr>
        <w:t xml:space="preserve"> </w:t>
      </w:r>
      <w:r w:rsidR="00CA4204">
        <w:rPr>
          <w:rFonts w:cs="Arial"/>
          <w:i/>
          <w:iCs/>
          <w:szCs w:val="24"/>
        </w:rPr>
        <w:t xml:space="preserve">NO &amp; </w:t>
      </w:r>
      <w:r w:rsidR="00CA4204">
        <w:rPr>
          <w:i/>
          <w:iCs/>
        </w:rPr>
        <w:t>Others</w:t>
      </w:r>
      <w:r w:rsidR="00CA4204">
        <w:rPr>
          <w:rFonts w:cs="Arial"/>
          <w:szCs w:val="24"/>
        </w:rPr>
        <w:t xml:space="preserve"> </w:t>
      </w:r>
      <w:r>
        <w:rPr>
          <w:rFonts w:cs="Arial"/>
          <w:szCs w:val="24"/>
        </w:rPr>
        <w:t>[2008] ZAWCHC 111 (31 October 2008):par. 6.</w:t>
      </w:r>
    </w:p>
  </w:footnote>
  <w:footnote w:id="234">
    <w:p w14:paraId="0D4BD629" w14:textId="33403B8A" w:rsidR="00EB479F" w:rsidRDefault="00EB479F">
      <w:pPr>
        <w:pStyle w:val="FootnoteText"/>
      </w:pPr>
      <w:r>
        <w:rPr>
          <w:rStyle w:val="FootnoteReference"/>
        </w:rPr>
        <w:footnoteRef/>
      </w:r>
      <w:r>
        <w:t xml:space="preserve"> </w:t>
      </w:r>
      <w:r>
        <w:rPr>
          <w:rFonts w:cs="Arial"/>
          <w:i/>
          <w:iCs/>
          <w:szCs w:val="24"/>
        </w:rPr>
        <w:t>Marais v Botha</w:t>
      </w:r>
      <w:r>
        <w:rPr>
          <w:rFonts w:cs="Arial"/>
          <w:szCs w:val="24"/>
        </w:rPr>
        <w:t xml:space="preserve"> </w:t>
      </w:r>
      <w:r w:rsidR="00CA4204">
        <w:rPr>
          <w:rFonts w:cs="Arial"/>
          <w:i/>
          <w:iCs/>
          <w:szCs w:val="24"/>
        </w:rPr>
        <w:t xml:space="preserve">NO &amp; </w:t>
      </w:r>
      <w:r w:rsidR="00CA4204">
        <w:rPr>
          <w:i/>
          <w:iCs/>
        </w:rPr>
        <w:t>Others</w:t>
      </w:r>
      <w:r w:rsidR="00CA4204">
        <w:rPr>
          <w:rFonts w:cs="Arial"/>
          <w:szCs w:val="24"/>
        </w:rPr>
        <w:t xml:space="preserve"> </w:t>
      </w:r>
      <w:r>
        <w:rPr>
          <w:rFonts w:cs="Arial"/>
          <w:szCs w:val="24"/>
        </w:rPr>
        <w:t>[2008] ZAWCHC 111 (31 October 2008):par.</w:t>
      </w:r>
      <w:r w:rsidR="000A449E">
        <w:rPr>
          <w:rFonts w:cs="Arial"/>
          <w:szCs w:val="24"/>
        </w:rPr>
        <w:t xml:space="preserve"> 7.</w:t>
      </w:r>
    </w:p>
  </w:footnote>
  <w:footnote w:id="235">
    <w:p w14:paraId="740DFB22" w14:textId="096BAD52" w:rsidR="000A449E" w:rsidRDefault="000A449E">
      <w:pPr>
        <w:pStyle w:val="FootnoteText"/>
      </w:pPr>
      <w:r>
        <w:rPr>
          <w:rStyle w:val="FootnoteReference"/>
        </w:rPr>
        <w:footnoteRef/>
      </w:r>
      <w:r>
        <w:t xml:space="preserve"> </w:t>
      </w:r>
      <w:r>
        <w:rPr>
          <w:rFonts w:cs="Arial"/>
          <w:i/>
          <w:iCs/>
          <w:szCs w:val="24"/>
        </w:rPr>
        <w:t>Marais v Botha</w:t>
      </w:r>
      <w:r>
        <w:rPr>
          <w:rFonts w:cs="Arial"/>
          <w:szCs w:val="24"/>
        </w:rPr>
        <w:t xml:space="preserve"> </w:t>
      </w:r>
      <w:r w:rsidR="00CA4204">
        <w:rPr>
          <w:rFonts w:cs="Arial"/>
          <w:i/>
          <w:iCs/>
          <w:szCs w:val="24"/>
        </w:rPr>
        <w:t xml:space="preserve">NO &amp; </w:t>
      </w:r>
      <w:r w:rsidR="00CA4204">
        <w:rPr>
          <w:i/>
          <w:iCs/>
        </w:rPr>
        <w:t>Others</w:t>
      </w:r>
      <w:r w:rsidR="00CA4204">
        <w:rPr>
          <w:rFonts w:cs="Arial"/>
          <w:i/>
          <w:iCs/>
          <w:szCs w:val="24"/>
        </w:rPr>
        <w:t xml:space="preserve"> </w:t>
      </w:r>
      <w:r>
        <w:rPr>
          <w:rFonts w:cs="Arial"/>
          <w:szCs w:val="24"/>
        </w:rPr>
        <w:t>[2008] ZAWCHC 111 (31 October 2008):par. 10.</w:t>
      </w:r>
    </w:p>
  </w:footnote>
  <w:footnote w:id="236">
    <w:p w14:paraId="3C394398" w14:textId="700A30AE" w:rsidR="006B70C9" w:rsidRDefault="006B70C9">
      <w:pPr>
        <w:pStyle w:val="FootnoteText"/>
      </w:pPr>
      <w:r>
        <w:rPr>
          <w:rStyle w:val="FootnoteReference"/>
        </w:rPr>
        <w:footnoteRef/>
      </w:r>
      <w:r>
        <w:t xml:space="preserve"> </w:t>
      </w:r>
      <w:r>
        <w:rPr>
          <w:rFonts w:cs="Arial"/>
          <w:i/>
          <w:iCs/>
          <w:szCs w:val="24"/>
        </w:rPr>
        <w:t>Marais v Botha</w:t>
      </w:r>
      <w:r>
        <w:rPr>
          <w:rFonts w:cs="Arial"/>
          <w:szCs w:val="24"/>
        </w:rPr>
        <w:t xml:space="preserve"> </w:t>
      </w:r>
      <w:r w:rsidR="00CA4204">
        <w:rPr>
          <w:rFonts w:cs="Arial"/>
          <w:i/>
          <w:iCs/>
          <w:szCs w:val="24"/>
        </w:rPr>
        <w:t xml:space="preserve">NO &amp; </w:t>
      </w:r>
      <w:r w:rsidR="00CA4204">
        <w:rPr>
          <w:i/>
          <w:iCs/>
        </w:rPr>
        <w:t>Others</w:t>
      </w:r>
      <w:r w:rsidR="00CA4204">
        <w:rPr>
          <w:rFonts w:cs="Arial"/>
          <w:szCs w:val="24"/>
        </w:rPr>
        <w:t xml:space="preserve"> </w:t>
      </w:r>
      <w:r>
        <w:rPr>
          <w:rFonts w:cs="Arial"/>
          <w:szCs w:val="24"/>
        </w:rPr>
        <w:t>[2008] ZAWCHC 111 (31 October 2008):par.</w:t>
      </w:r>
      <w:r w:rsidR="008026F7">
        <w:rPr>
          <w:rFonts w:cs="Arial"/>
          <w:szCs w:val="24"/>
        </w:rPr>
        <w:t xml:space="preserve"> 11.</w:t>
      </w:r>
    </w:p>
  </w:footnote>
  <w:footnote w:id="237">
    <w:p w14:paraId="378250C1" w14:textId="20BB9329" w:rsidR="002977D8" w:rsidRDefault="002977D8" w:rsidP="002E7091">
      <w:pPr>
        <w:pStyle w:val="FootnoteText"/>
        <w:ind w:left="284" w:hanging="284"/>
      </w:pPr>
      <w:r>
        <w:rPr>
          <w:rStyle w:val="FootnoteReference"/>
        </w:rPr>
        <w:footnoteRef/>
      </w:r>
      <w:r>
        <w:t xml:space="preserve"> </w:t>
      </w:r>
      <w:r>
        <w:tab/>
      </w:r>
      <w:r>
        <w:rPr>
          <w:i/>
          <w:iCs/>
        </w:rPr>
        <w:t>Danielz NO v De Wet &amp; Another</w:t>
      </w:r>
      <w:r>
        <w:t xml:space="preserve"> 2009 6 SA 42 (C):</w:t>
      </w:r>
      <w:r w:rsidR="00E70E63">
        <w:t>pars. 5-7</w:t>
      </w:r>
      <w:r w:rsidR="00B63705">
        <w:t>, 26</w:t>
      </w:r>
      <w:r>
        <w:t>.</w:t>
      </w:r>
    </w:p>
  </w:footnote>
  <w:footnote w:id="238">
    <w:p w14:paraId="6E60559F" w14:textId="4076CFAC" w:rsidR="001B1CA9" w:rsidRDefault="001B1CA9">
      <w:pPr>
        <w:pStyle w:val="FootnoteText"/>
      </w:pPr>
      <w:r>
        <w:rPr>
          <w:rStyle w:val="FootnoteReference"/>
        </w:rPr>
        <w:footnoteRef/>
      </w:r>
      <w:r>
        <w:t xml:space="preserve"> </w:t>
      </w:r>
      <w:r>
        <w:rPr>
          <w:i/>
          <w:iCs/>
        </w:rPr>
        <w:t>Danielz NO v De Wet &amp; Another</w:t>
      </w:r>
      <w:r>
        <w:t xml:space="preserve"> 2009 6 SA 42 (C):par. 9.</w:t>
      </w:r>
    </w:p>
  </w:footnote>
  <w:footnote w:id="239">
    <w:p w14:paraId="1D60C878" w14:textId="3440AA23" w:rsidR="002977D8" w:rsidRDefault="002977D8" w:rsidP="002E7091">
      <w:pPr>
        <w:pStyle w:val="FootnoteText"/>
        <w:ind w:left="284" w:hanging="284"/>
      </w:pPr>
      <w:r>
        <w:rPr>
          <w:rStyle w:val="FootnoteReference"/>
        </w:rPr>
        <w:footnoteRef/>
      </w:r>
      <w:r>
        <w:t xml:space="preserve"> </w:t>
      </w:r>
      <w:r>
        <w:tab/>
      </w:r>
      <w:r>
        <w:rPr>
          <w:i/>
          <w:iCs/>
        </w:rPr>
        <w:t>Danielz NO v De Wet &amp; Another</w:t>
      </w:r>
      <w:r>
        <w:t xml:space="preserve"> 2009 6 SA 42 (C):</w:t>
      </w:r>
      <w:r w:rsidR="00F57FFC">
        <w:t>par. 23</w:t>
      </w:r>
      <w:r w:rsidR="00D15353">
        <w:t>; Jamneck &amp; Rautenbach 2023:132.</w:t>
      </w:r>
    </w:p>
  </w:footnote>
  <w:footnote w:id="240">
    <w:p w14:paraId="24F75A98" w14:textId="16F6B0D6" w:rsidR="002977D8" w:rsidRDefault="002977D8" w:rsidP="002E7091">
      <w:pPr>
        <w:pStyle w:val="FootnoteText"/>
        <w:ind w:left="284" w:hanging="284"/>
      </w:pPr>
      <w:r>
        <w:rPr>
          <w:rStyle w:val="FootnoteReference"/>
        </w:rPr>
        <w:footnoteRef/>
      </w:r>
      <w:r>
        <w:t xml:space="preserve"> </w:t>
      </w:r>
      <w:r>
        <w:tab/>
      </w:r>
      <w:r>
        <w:rPr>
          <w:i/>
          <w:iCs/>
        </w:rPr>
        <w:t>Danielz NO v De Wet &amp; Another</w:t>
      </w:r>
      <w:r>
        <w:t xml:space="preserve"> 2009 6 SA 42 (C):</w:t>
      </w:r>
      <w:r w:rsidR="00C9085E">
        <w:t>par. 10</w:t>
      </w:r>
      <w:r>
        <w:t>.</w:t>
      </w:r>
    </w:p>
  </w:footnote>
  <w:footnote w:id="241">
    <w:p w14:paraId="797C38DB" w14:textId="022ED6B4" w:rsidR="00B944CF" w:rsidRDefault="00B944CF" w:rsidP="00B944CF">
      <w:pPr>
        <w:pStyle w:val="FootnoteText"/>
        <w:tabs>
          <w:tab w:val="left" w:pos="284"/>
        </w:tabs>
      </w:pPr>
      <w:r>
        <w:rPr>
          <w:rStyle w:val="FootnoteReference"/>
        </w:rPr>
        <w:footnoteRef/>
      </w:r>
      <w:r>
        <w:t xml:space="preserve"> </w:t>
      </w:r>
      <w:r>
        <w:tab/>
      </w:r>
      <w:r>
        <w:rPr>
          <w:i/>
          <w:iCs/>
        </w:rPr>
        <w:t>Danielz NO v De Wet &amp; Another</w:t>
      </w:r>
      <w:r>
        <w:t xml:space="preserve"> 2009 6 SA 42 (C):pars. 18, 19, 24, 33.</w:t>
      </w:r>
    </w:p>
  </w:footnote>
  <w:footnote w:id="242">
    <w:p w14:paraId="512F99FB" w14:textId="3E10FD39" w:rsidR="00B63705" w:rsidRDefault="00B63705" w:rsidP="00B63705">
      <w:pPr>
        <w:pStyle w:val="FootnoteText"/>
        <w:tabs>
          <w:tab w:val="left" w:pos="284"/>
        </w:tabs>
      </w:pPr>
      <w:r>
        <w:rPr>
          <w:rStyle w:val="FootnoteReference"/>
        </w:rPr>
        <w:footnoteRef/>
      </w:r>
      <w:r>
        <w:t xml:space="preserve"> </w:t>
      </w:r>
      <w:r>
        <w:tab/>
      </w:r>
      <w:r>
        <w:rPr>
          <w:i/>
          <w:iCs/>
        </w:rPr>
        <w:t>Danielz NO v De Wet &amp; Another</w:t>
      </w:r>
      <w:r>
        <w:t xml:space="preserve"> 2009 6 SA 42 (C):par. 12, 21.</w:t>
      </w:r>
    </w:p>
  </w:footnote>
  <w:footnote w:id="243">
    <w:p w14:paraId="02EFE946" w14:textId="75A054D3" w:rsidR="00D14E31" w:rsidRDefault="00D14E31" w:rsidP="00D14E31">
      <w:pPr>
        <w:pStyle w:val="FootnoteText"/>
        <w:tabs>
          <w:tab w:val="left" w:pos="284"/>
        </w:tabs>
      </w:pPr>
      <w:r>
        <w:rPr>
          <w:rStyle w:val="FootnoteReference"/>
        </w:rPr>
        <w:footnoteRef/>
      </w:r>
      <w:r>
        <w:t xml:space="preserve"> </w:t>
      </w:r>
      <w:r>
        <w:tab/>
      </w:r>
      <w:r>
        <w:rPr>
          <w:i/>
          <w:iCs/>
        </w:rPr>
        <w:t>Danielz NO v De Wet &amp; Another</w:t>
      </w:r>
      <w:r>
        <w:t xml:space="preserve"> 2009 6 SA 42 (C):par. 1.</w:t>
      </w:r>
    </w:p>
  </w:footnote>
  <w:footnote w:id="244">
    <w:p w14:paraId="74AE5146" w14:textId="6BD9823A" w:rsidR="00142885" w:rsidRDefault="00142885" w:rsidP="00142885">
      <w:pPr>
        <w:pStyle w:val="FootnoteText"/>
        <w:tabs>
          <w:tab w:val="left" w:pos="284"/>
        </w:tabs>
      </w:pPr>
      <w:r>
        <w:rPr>
          <w:rStyle w:val="FootnoteReference"/>
        </w:rPr>
        <w:footnoteRef/>
      </w:r>
      <w:r>
        <w:t xml:space="preserve"> </w:t>
      </w:r>
      <w:r>
        <w:tab/>
      </w:r>
      <w:r>
        <w:rPr>
          <w:i/>
          <w:iCs/>
        </w:rPr>
        <w:t>Danielz NO v De Wet &amp; Another</w:t>
      </w:r>
      <w:r>
        <w:t xml:space="preserve"> 2009 6 SA 42 (C):par. 13.</w:t>
      </w:r>
    </w:p>
  </w:footnote>
  <w:footnote w:id="245">
    <w:p w14:paraId="519EF505" w14:textId="6FF1DBE3" w:rsidR="00443C02" w:rsidRDefault="00443C02" w:rsidP="00443C02">
      <w:pPr>
        <w:pStyle w:val="FootnoteText"/>
      </w:pPr>
      <w:r>
        <w:rPr>
          <w:rStyle w:val="FootnoteReference"/>
        </w:rPr>
        <w:footnoteRef/>
      </w:r>
      <w:r>
        <w:t xml:space="preserve"> </w:t>
      </w:r>
      <w:r>
        <w:rPr>
          <w:i/>
          <w:iCs/>
        </w:rPr>
        <w:t>Danielz NO v De Wet &amp; Another</w:t>
      </w:r>
      <w:r>
        <w:t xml:space="preserve"> 2009 6 SA 42 (C):par. 27</w:t>
      </w:r>
    </w:p>
  </w:footnote>
  <w:footnote w:id="246">
    <w:p w14:paraId="3559EE5A" w14:textId="2D982010" w:rsidR="00B44867" w:rsidRPr="001C1781" w:rsidRDefault="00B44867" w:rsidP="002E7091">
      <w:pPr>
        <w:pStyle w:val="FootnoteText"/>
        <w:ind w:left="284" w:hanging="284"/>
        <w:rPr>
          <w:i/>
          <w:iCs/>
        </w:rPr>
      </w:pPr>
      <w:r>
        <w:rPr>
          <w:rStyle w:val="FootnoteReference"/>
        </w:rPr>
        <w:footnoteRef/>
      </w:r>
      <w:r>
        <w:t xml:space="preserve"> </w:t>
      </w:r>
      <w:r>
        <w:tab/>
        <w:t xml:space="preserve">Malherbe 2016:33; </w:t>
      </w:r>
      <w:r w:rsidR="009A55A4">
        <w:rPr>
          <w:i/>
          <w:iCs/>
        </w:rPr>
        <w:t>Leeb &amp; Another v Leeb &amp; Another</w:t>
      </w:r>
      <w:r w:rsidR="009A55A4">
        <w:t xml:space="preserve"> 1999 2 All SA 588 (N):</w:t>
      </w:r>
      <w:r>
        <w:t>598</w:t>
      </w:r>
      <w:r w:rsidR="00907C2E">
        <w:t>; Wood-Bodley 2010:30.</w:t>
      </w:r>
    </w:p>
  </w:footnote>
  <w:footnote w:id="247">
    <w:p w14:paraId="31E0B67C" w14:textId="61FA4F30" w:rsidR="00786564" w:rsidRDefault="00786564" w:rsidP="00D475CE">
      <w:pPr>
        <w:pStyle w:val="FootnoteText"/>
        <w:ind w:left="284" w:hanging="284"/>
      </w:pPr>
      <w:r>
        <w:rPr>
          <w:rStyle w:val="FootnoteReference"/>
        </w:rPr>
        <w:footnoteRef/>
      </w:r>
      <w:r>
        <w:t xml:space="preserve"> </w:t>
      </w:r>
      <w:r>
        <w:rPr>
          <w:i/>
          <w:iCs/>
        </w:rPr>
        <w:t>Leeb &amp; Another v Leeb &amp; Another</w:t>
      </w:r>
      <w:r>
        <w:t xml:space="preserve"> 1999 2 All SA 588 (N):</w:t>
      </w:r>
      <w:r w:rsidR="00605AF0">
        <w:t>595</w:t>
      </w:r>
      <w:r w:rsidR="00D475CE">
        <w:t xml:space="preserve">; </w:t>
      </w:r>
      <w:r w:rsidR="00D475CE">
        <w:rPr>
          <w:i/>
          <w:iCs/>
        </w:rPr>
        <w:t>Maqubela &amp; Another v The Master and Others</w:t>
      </w:r>
      <w:r w:rsidR="00D475CE">
        <w:t xml:space="preserve"> 2022 6 SA 408 (GJ):par. 27.</w:t>
      </w:r>
    </w:p>
  </w:footnote>
  <w:footnote w:id="248">
    <w:p w14:paraId="01CFEF50" w14:textId="4BBFB29B" w:rsidR="00605AF0" w:rsidRDefault="00605AF0" w:rsidP="00D475CE">
      <w:pPr>
        <w:pStyle w:val="FootnoteText"/>
        <w:ind w:left="284" w:hanging="284"/>
      </w:pPr>
      <w:r>
        <w:rPr>
          <w:rStyle w:val="FootnoteReference"/>
        </w:rPr>
        <w:footnoteRef/>
      </w:r>
      <w:r>
        <w:t xml:space="preserve"> </w:t>
      </w:r>
      <w:r>
        <w:rPr>
          <w:i/>
          <w:iCs/>
        </w:rPr>
        <w:t>Danielz NO v De Wet &amp; Another</w:t>
      </w:r>
      <w:r>
        <w:t xml:space="preserve"> 2009 6 SA 42 (C):par. 42</w:t>
      </w:r>
      <w:r w:rsidR="00D475CE">
        <w:t xml:space="preserve">; </w:t>
      </w:r>
      <w:r w:rsidR="00D475CE">
        <w:rPr>
          <w:i/>
          <w:iCs/>
        </w:rPr>
        <w:t>Maqubela &amp; Another v The Master and Others</w:t>
      </w:r>
      <w:r w:rsidR="00D475CE">
        <w:t xml:space="preserve"> 2022 6 SA 408 (GJ):par. 27.</w:t>
      </w:r>
    </w:p>
  </w:footnote>
  <w:footnote w:id="249">
    <w:p w14:paraId="5C7C855F" w14:textId="04F573FD" w:rsidR="00327189" w:rsidRDefault="00327189" w:rsidP="004A356B">
      <w:pPr>
        <w:pStyle w:val="FootnoteText"/>
        <w:ind w:left="284" w:hanging="284"/>
      </w:pPr>
      <w:r>
        <w:rPr>
          <w:rStyle w:val="FootnoteReference"/>
        </w:rPr>
        <w:footnoteRef/>
      </w:r>
      <w:r>
        <w:t xml:space="preserve"> </w:t>
      </w:r>
      <w:r>
        <w:rPr>
          <w:i/>
          <w:iCs/>
        </w:rPr>
        <w:t>Danielz NO v De Wet &amp; Another</w:t>
      </w:r>
      <w:r>
        <w:t xml:space="preserve"> 2009 6 SA 42 (C):par.</w:t>
      </w:r>
      <w:r w:rsidR="00FB50C8">
        <w:t xml:space="preserve"> </w:t>
      </w:r>
      <w:r w:rsidR="0060159D">
        <w:t>43</w:t>
      </w:r>
      <w:r w:rsidR="004A356B">
        <w:t xml:space="preserve"> </w:t>
      </w:r>
      <w:r w:rsidR="004A356B">
        <w:rPr>
          <w:i/>
          <w:iCs/>
        </w:rPr>
        <w:t>Maqubela &amp; Another v The Master and Others</w:t>
      </w:r>
      <w:r w:rsidR="004A356B">
        <w:t xml:space="preserve"> 2022 6 SA 408 (GJ):par. 29.</w:t>
      </w:r>
    </w:p>
  </w:footnote>
  <w:footnote w:id="250">
    <w:p w14:paraId="5802759F" w14:textId="4FD4F43F" w:rsidR="00DC1368" w:rsidRPr="00DC1368" w:rsidRDefault="00DC1368" w:rsidP="002E7091">
      <w:pPr>
        <w:pStyle w:val="FootnoteText"/>
        <w:ind w:left="284" w:hanging="284"/>
        <w:rPr>
          <w:lang w:val="en-US"/>
        </w:rPr>
      </w:pPr>
      <w:r>
        <w:rPr>
          <w:rStyle w:val="FootnoteReference"/>
        </w:rPr>
        <w:footnoteRef/>
      </w:r>
      <w:r>
        <w:t xml:space="preserve"> </w:t>
      </w:r>
      <w:r>
        <w:rPr>
          <w:i/>
          <w:iCs/>
        </w:rPr>
        <w:t xml:space="preserve">Danielz NO v De Wet &amp; Another </w:t>
      </w:r>
      <w:r>
        <w:t>2009 6 SA 42 (C):52E-G;</w:t>
      </w:r>
      <w:r>
        <w:rPr>
          <w:lang w:val="en-US"/>
        </w:rPr>
        <w:t xml:space="preserve"> Malherbe 2016:29.</w:t>
      </w:r>
    </w:p>
  </w:footnote>
  <w:footnote w:id="251">
    <w:p w14:paraId="568E5F85" w14:textId="157F44DA" w:rsidR="00F82480" w:rsidRPr="00F82480" w:rsidRDefault="00F82480" w:rsidP="002E7091">
      <w:pPr>
        <w:pStyle w:val="FootnoteText"/>
        <w:ind w:left="284" w:hanging="284"/>
        <w:rPr>
          <w:lang w:val="en-GB"/>
        </w:rPr>
      </w:pPr>
      <w:r>
        <w:rPr>
          <w:rStyle w:val="FootnoteReference"/>
        </w:rPr>
        <w:footnoteRef/>
      </w:r>
      <w:r>
        <w:t xml:space="preserve"> </w:t>
      </w:r>
      <w:r>
        <w:rPr>
          <w:lang w:val="en-GB"/>
        </w:rPr>
        <w:t>Jamneck &amp; Rautenbach 2023:133.</w:t>
      </w:r>
    </w:p>
  </w:footnote>
  <w:footnote w:id="252">
    <w:p w14:paraId="084ACDAA" w14:textId="2D0C11D1" w:rsidR="00625A57" w:rsidRDefault="00625A57">
      <w:pPr>
        <w:pStyle w:val="FootnoteText"/>
      </w:pPr>
      <w:r>
        <w:rPr>
          <w:rStyle w:val="FootnoteReference"/>
        </w:rPr>
        <w:footnoteRef/>
      </w:r>
      <w:r>
        <w:t xml:space="preserve"> </w:t>
      </w:r>
      <w:r>
        <w:rPr>
          <w:i/>
          <w:iCs/>
        </w:rPr>
        <w:t>Danielz NO v De Wet &amp; Another</w:t>
      </w:r>
      <w:r>
        <w:t xml:space="preserve"> 2009 6 SA 42 (C):par. 57.3 </w:t>
      </w:r>
    </w:p>
  </w:footnote>
  <w:footnote w:id="253">
    <w:p w14:paraId="433FC943" w14:textId="014EAE57" w:rsidR="00C602B5" w:rsidRDefault="00C602B5">
      <w:pPr>
        <w:pStyle w:val="FootnoteText"/>
      </w:pPr>
      <w:r>
        <w:rPr>
          <w:rStyle w:val="FootnoteReference"/>
        </w:rPr>
        <w:footnoteRef/>
      </w:r>
      <w:r>
        <w:t xml:space="preserve"> </w:t>
      </w:r>
      <w:r>
        <w:rPr>
          <w:lang w:val="en-GB"/>
        </w:rPr>
        <w:t>Wood-Bodley 2010:37.</w:t>
      </w:r>
    </w:p>
  </w:footnote>
  <w:footnote w:id="254">
    <w:p w14:paraId="3564E15C" w14:textId="29AE8EDA" w:rsidR="005548DE" w:rsidRPr="005548DE" w:rsidRDefault="005548DE" w:rsidP="002E7091">
      <w:pPr>
        <w:pStyle w:val="FootnoteText"/>
        <w:ind w:left="284" w:hanging="284"/>
        <w:rPr>
          <w:lang w:val="en-GB"/>
        </w:rPr>
      </w:pPr>
      <w:r>
        <w:rPr>
          <w:rStyle w:val="FootnoteReference"/>
        </w:rPr>
        <w:footnoteRef/>
      </w:r>
      <w:r>
        <w:t xml:space="preserve"> </w:t>
      </w:r>
      <w:r>
        <w:rPr>
          <w:lang w:val="en-GB"/>
        </w:rPr>
        <w:t>Jamneck &amp; Rautenbach 2023:133.</w:t>
      </w:r>
    </w:p>
  </w:footnote>
  <w:footnote w:id="255">
    <w:p w14:paraId="6BE28743" w14:textId="77777777" w:rsidR="002977D8" w:rsidRDefault="002977D8" w:rsidP="002E7091">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143.</w:t>
      </w:r>
    </w:p>
  </w:footnote>
  <w:footnote w:id="256">
    <w:p w14:paraId="6C6C1790" w14:textId="77777777" w:rsidR="002977D8" w:rsidRDefault="002977D8" w:rsidP="002A0E14">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100.</w:t>
      </w:r>
    </w:p>
  </w:footnote>
  <w:footnote w:id="257">
    <w:p w14:paraId="4B7C8160" w14:textId="7688557A" w:rsidR="007B4864" w:rsidRDefault="007B4864" w:rsidP="002A0E14">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19.</w:t>
      </w:r>
    </w:p>
  </w:footnote>
  <w:footnote w:id="258">
    <w:p w14:paraId="2CBE8B4E" w14:textId="512868FE" w:rsidR="0010611F" w:rsidRDefault="0010611F" w:rsidP="002A0E14">
      <w:pPr>
        <w:pStyle w:val="FootnoteText"/>
        <w:ind w:left="284" w:hanging="284"/>
      </w:pPr>
      <w:r>
        <w:rPr>
          <w:rStyle w:val="FootnoteReference"/>
        </w:rPr>
        <w:footnoteRef/>
      </w:r>
      <w:r>
        <w:t xml:space="preserve"> </w:t>
      </w:r>
      <w:r w:rsidR="002A0E14">
        <w:tab/>
      </w:r>
      <w:r>
        <w:rPr>
          <w:i/>
          <w:iCs/>
        </w:rPr>
        <w:t>Smit v The Master of the High Court, Western Cape &amp; Others</w:t>
      </w:r>
      <w:r>
        <w:t xml:space="preserve"> [2022] ZAWCHC 56 (26 April 2022):par. 89.</w:t>
      </w:r>
    </w:p>
  </w:footnote>
  <w:footnote w:id="259">
    <w:p w14:paraId="09D0E3D4" w14:textId="4660AFA9" w:rsidR="002977D8" w:rsidRDefault="002977D8" w:rsidP="002A0E14">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w:t>
      </w:r>
      <w:r w:rsidR="00386E05">
        <w:t>s</w:t>
      </w:r>
      <w:r>
        <w:t xml:space="preserve">. </w:t>
      </w:r>
      <w:r w:rsidR="00386E05">
        <w:t>17,</w:t>
      </w:r>
      <w:r w:rsidR="00EA5209">
        <w:t xml:space="preserve"> </w:t>
      </w:r>
      <w:r w:rsidR="00386E05">
        <w:t>23</w:t>
      </w:r>
      <w:r w:rsidR="00610130">
        <w:t>,</w:t>
      </w:r>
      <w:r w:rsidR="00EA5209">
        <w:t xml:space="preserve"> </w:t>
      </w:r>
      <w:r>
        <w:t>2</w:t>
      </w:r>
      <w:r w:rsidR="00F34C22">
        <w:t>6</w:t>
      </w:r>
      <w:r>
        <w:t>.</w:t>
      </w:r>
    </w:p>
  </w:footnote>
  <w:footnote w:id="260">
    <w:p w14:paraId="2D6486BA" w14:textId="7B9A6E86" w:rsidR="005274B0" w:rsidRDefault="005274B0" w:rsidP="002A0E14">
      <w:pPr>
        <w:pStyle w:val="FootnoteText"/>
        <w:ind w:left="284" w:hanging="284"/>
      </w:pPr>
      <w:r>
        <w:rPr>
          <w:rStyle w:val="FootnoteReference"/>
        </w:rPr>
        <w:footnoteRef/>
      </w:r>
      <w:r>
        <w:t xml:space="preserve"> </w:t>
      </w:r>
      <w:r w:rsidR="002A0E14">
        <w:tab/>
      </w:r>
      <w:r>
        <w:rPr>
          <w:i/>
          <w:iCs/>
        </w:rPr>
        <w:t>Smit v The Master of the High Court, Western Cape &amp; Others</w:t>
      </w:r>
      <w:r>
        <w:t xml:space="preserve"> [2022] ZAWCHC 56 (26 April 2022):par. 46</w:t>
      </w:r>
      <w:r w:rsidR="00F03035">
        <w:t>, 159.</w:t>
      </w:r>
    </w:p>
  </w:footnote>
  <w:footnote w:id="261">
    <w:p w14:paraId="604B6871" w14:textId="77777777" w:rsidR="002977D8" w:rsidRDefault="002977D8" w:rsidP="002A0E14">
      <w:pPr>
        <w:pStyle w:val="FootnoteText"/>
        <w:tabs>
          <w:tab w:val="left" w:pos="284"/>
        </w:tabs>
        <w:ind w:left="284" w:hanging="284"/>
      </w:pPr>
      <w:r>
        <w:rPr>
          <w:rStyle w:val="FootnoteReference"/>
        </w:rPr>
        <w:footnoteRef/>
      </w:r>
      <w:r>
        <w:t xml:space="preserve"> </w:t>
      </w:r>
      <w:r>
        <w:tab/>
      </w:r>
      <w:r>
        <w:rPr>
          <w:i/>
          <w:iCs/>
        </w:rPr>
        <w:t>Smit v The Master of the High Court, Western Cape &amp; Others</w:t>
      </w:r>
      <w:r>
        <w:t xml:space="preserve"> [2022] ZAWCHC 56 (26 April 2022):par. 23.</w:t>
      </w:r>
    </w:p>
  </w:footnote>
  <w:footnote w:id="262">
    <w:p w14:paraId="2CFB365C" w14:textId="5D67F757" w:rsidR="005A7C40" w:rsidRDefault="005A7C40" w:rsidP="002A0E14">
      <w:pPr>
        <w:pStyle w:val="FootnoteText"/>
        <w:tabs>
          <w:tab w:val="left" w:pos="284"/>
        </w:tabs>
        <w:ind w:left="284" w:hanging="284"/>
      </w:pPr>
      <w:r>
        <w:rPr>
          <w:rStyle w:val="FootnoteReference"/>
        </w:rPr>
        <w:footnoteRef/>
      </w:r>
      <w:r>
        <w:t xml:space="preserve"> </w:t>
      </w:r>
      <w:r>
        <w:tab/>
      </w:r>
      <w:r>
        <w:rPr>
          <w:i/>
          <w:iCs/>
        </w:rPr>
        <w:t>Smit v The Master of the High Court, Western Cape &amp; Others</w:t>
      </w:r>
      <w:r>
        <w:t xml:space="preserve"> [2022] ZAWCHC 56 (26 April 2022):par. 18.</w:t>
      </w:r>
    </w:p>
  </w:footnote>
  <w:footnote w:id="263">
    <w:p w14:paraId="2F8E9FFC" w14:textId="77777777" w:rsidR="000C7D78" w:rsidRDefault="000C7D78" w:rsidP="002A0E14">
      <w:pPr>
        <w:pStyle w:val="FootnoteText"/>
        <w:tabs>
          <w:tab w:val="left" w:pos="284"/>
        </w:tabs>
        <w:ind w:left="284" w:hanging="284"/>
      </w:pPr>
      <w:r>
        <w:rPr>
          <w:rStyle w:val="FootnoteReference"/>
        </w:rPr>
        <w:footnoteRef/>
      </w:r>
      <w:r>
        <w:t xml:space="preserve"> </w:t>
      </w:r>
      <w:r>
        <w:tab/>
      </w:r>
      <w:r>
        <w:rPr>
          <w:i/>
          <w:iCs/>
        </w:rPr>
        <w:t>Smit v The Master of the High Court, Western Cape &amp; Others</w:t>
      </w:r>
      <w:r>
        <w:t xml:space="preserve"> [2022] ZAWCHC 56 (26 April 2022):par. 21.</w:t>
      </w:r>
    </w:p>
  </w:footnote>
  <w:footnote w:id="264">
    <w:p w14:paraId="267D794B" w14:textId="3839119F" w:rsidR="00A04DDC" w:rsidRDefault="00A04DDC" w:rsidP="002A0E14">
      <w:pPr>
        <w:pStyle w:val="FootnoteText"/>
        <w:ind w:left="284" w:hanging="284"/>
      </w:pPr>
      <w:r>
        <w:rPr>
          <w:rStyle w:val="FootnoteReference"/>
        </w:rPr>
        <w:footnoteRef/>
      </w:r>
      <w:r>
        <w:t xml:space="preserve"> </w:t>
      </w:r>
      <w:r w:rsidR="002A0E14">
        <w:tab/>
      </w:r>
      <w:r>
        <w:rPr>
          <w:i/>
          <w:iCs/>
        </w:rPr>
        <w:t>Smit v The Master of the High Court, Western Cape &amp; Others</w:t>
      </w:r>
      <w:r>
        <w:t xml:space="preserve"> [2022] ZAWCHC 56 (26 April 2022):par. 19</w:t>
      </w:r>
      <w:r w:rsidR="00C22FDC">
        <w:t>.</w:t>
      </w:r>
    </w:p>
  </w:footnote>
  <w:footnote w:id="265">
    <w:p w14:paraId="642C4FA6" w14:textId="0065DE80" w:rsidR="00CD270F" w:rsidRDefault="00CD270F" w:rsidP="002A0E14">
      <w:pPr>
        <w:pStyle w:val="FootnoteText"/>
        <w:ind w:left="284" w:hanging="284"/>
      </w:pPr>
      <w:r>
        <w:rPr>
          <w:rStyle w:val="FootnoteReference"/>
        </w:rPr>
        <w:footnoteRef/>
      </w:r>
      <w:r>
        <w:t xml:space="preserve"> </w:t>
      </w:r>
      <w:r w:rsidR="002A0E14">
        <w:tab/>
      </w:r>
      <w:r>
        <w:rPr>
          <w:i/>
          <w:iCs/>
        </w:rPr>
        <w:t>Smit v The Master of the High Court, Western Cape &amp; Others</w:t>
      </w:r>
      <w:r>
        <w:t xml:space="preserve"> [2022] ZAWCHC 56 (26 April 2022):par. </w:t>
      </w:r>
      <w:r w:rsidR="00495A5F">
        <w:t>6</w:t>
      </w:r>
      <w:r w:rsidR="007904D4">
        <w:t>7</w:t>
      </w:r>
      <w:r>
        <w:t>.</w:t>
      </w:r>
    </w:p>
  </w:footnote>
  <w:footnote w:id="266">
    <w:p w14:paraId="4492BA1F" w14:textId="5F1590E4" w:rsidR="00623F9A" w:rsidRDefault="00623F9A" w:rsidP="002A0E14">
      <w:pPr>
        <w:pStyle w:val="FootnoteText"/>
        <w:ind w:left="284" w:hanging="284"/>
      </w:pPr>
      <w:r>
        <w:rPr>
          <w:rStyle w:val="FootnoteReference"/>
        </w:rPr>
        <w:footnoteRef/>
      </w:r>
      <w:r>
        <w:t xml:space="preserve"> </w:t>
      </w:r>
      <w:r w:rsidR="002A0E14">
        <w:tab/>
      </w:r>
      <w:r>
        <w:rPr>
          <w:i/>
          <w:iCs/>
        </w:rPr>
        <w:t>Smit v The Master of the High Court, Western Cape &amp; Others</w:t>
      </w:r>
      <w:r>
        <w:t xml:space="preserve"> [2022] ZAWCHC 56 (26 April 2022):par. 97.</w:t>
      </w:r>
    </w:p>
  </w:footnote>
  <w:footnote w:id="267">
    <w:p w14:paraId="1B026936" w14:textId="1CA06D35" w:rsidR="001320FB" w:rsidRDefault="001320FB" w:rsidP="002A0E14">
      <w:pPr>
        <w:pStyle w:val="FootnoteText"/>
        <w:tabs>
          <w:tab w:val="left" w:pos="284"/>
        </w:tabs>
        <w:ind w:left="284" w:hanging="284"/>
      </w:pPr>
      <w:r>
        <w:rPr>
          <w:rStyle w:val="FootnoteReference"/>
        </w:rPr>
        <w:footnoteRef/>
      </w:r>
      <w:r>
        <w:t xml:space="preserve"> </w:t>
      </w:r>
      <w:r>
        <w:tab/>
      </w:r>
      <w:r>
        <w:rPr>
          <w:i/>
          <w:iCs/>
        </w:rPr>
        <w:t>Smit v The Master of the High Court, Western Cape &amp; Others</w:t>
      </w:r>
      <w:r>
        <w:t xml:space="preserve"> [2022] ZAWCHC 56 (26 April 2022):par</w:t>
      </w:r>
      <w:r w:rsidR="00386E05">
        <w:t>s</w:t>
      </w:r>
      <w:r>
        <w:t>. 1</w:t>
      </w:r>
      <w:r w:rsidR="00A842CD">
        <w:t>,</w:t>
      </w:r>
      <w:r w:rsidR="00EA5209">
        <w:t xml:space="preserve"> </w:t>
      </w:r>
      <w:r w:rsidR="00A842CD">
        <w:t>3</w:t>
      </w:r>
      <w:r>
        <w:t>.</w:t>
      </w:r>
    </w:p>
  </w:footnote>
  <w:footnote w:id="268">
    <w:p w14:paraId="55EACD70" w14:textId="202AEBA4" w:rsidR="00456655" w:rsidRDefault="00456655" w:rsidP="002A0E14">
      <w:pPr>
        <w:pStyle w:val="FootnoteText"/>
        <w:ind w:left="284" w:hanging="284"/>
      </w:pPr>
      <w:r>
        <w:rPr>
          <w:rStyle w:val="FootnoteReference"/>
        </w:rPr>
        <w:footnoteRef/>
      </w:r>
      <w:r>
        <w:t xml:space="preserve"> </w:t>
      </w:r>
      <w:r>
        <w:rPr>
          <w:i/>
          <w:iCs/>
        </w:rPr>
        <w:t>Smit v The Master of the High Court, Western Cape &amp; Others</w:t>
      </w:r>
      <w:r>
        <w:t xml:space="preserve"> [2022] ZAWCHC 56 (26 April 2022):par. 32</w:t>
      </w:r>
      <w:r w:rsidR="00FB3975">
        <w:t>, 43</w:t>
      </w:r>
      <w:r>
        <w:t>.</w:t>
      </w:r>
    </w:p>
  </w:footnote>
  <w:footnote w:id="269">
    <w:p w14:paraId="47F29370" w14:textId="15ADAEA5" w:rsidR="002977D8" w:rsidRDefault="002977D8" w:rsidP="002977D8">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w:t>
      </w:r>
      <w:r w:rsidR="00FB3975">
        <w:t xml:space="preserve">33, </w:t>
      </w:r>
      <w:r>
        <w:t>43.</w:t>
      </w:r>
    </w:p>
  </w:footnote>
  <w:footnote w:id="270">
    <w:p w14:paraId="400F081A" w14:textId="77777777" w:rsidR="002977D8" w:rsidRDefault="002977D8" w:rsidP="002977D8">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51.</w:t>
      </w:r>
    </w:p>
  </w:footnote>
  <w:footnote w:id="271">
    <w:p w14:paraId="1BB6B42D" w14:textId="77777777" w:rsidR="002977D8" w:rsidRDefault="002977D8" w:rsidP="002977D8">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42.</w:t>
      </w:r>
    </w:p>
  </w:footnote>
  <w:footnote w:id="272">
    <w:p w14:paraId="4B2AD6F2" w14:textId="77777777" w:rsidR="002977D8" w:rsidRDefault="002977D8" w:rsidP="002977D8">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51.</w:t>
      </w:r>
    </w:p>
  </w:footnote>
  <w:footnote w:id="273">
    <w:p w14:paraId="4584EF62" w14:textId="2BE7A73A" w:rsidR="002977D8" w:rsidRDefault="002977D8" w:rsidP="002977D8">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114</w:t>
      </w:r>
      <w:r w:rsidR="00BC0359">
        <w:t>, 116, 117</w:t>
      </w:r>
      <w:r>
        <w:t>.</w:t>
      </w:r>
    </w:p>
  </w:footnote>
  <w:footnote w:id="274">
    <w:p w14:paraId="6FCE5903" w14:textId="4F30DA8F" w:rsidR="009708B5" w:rsidRDefault="009708B5">
      <w:pPr>
        <w:pStyle w:val="FootnoteText"/>
      </w:pPr>
      <w:r>
        <w:rPr>
          <w:rStyle w:val="FootnoteReference"/>
        </w:rPr>
        <w:footnoteRef/>
      </w:r>
      <w:r>
        <w:t xml:space="preserve"> </w:t>
      </w:r>
      <w:r>
        <w:rPr>
          <w:i/>
          <w:iCs/>
        </w:rPr>
        <w:t>Smit v The Master of the High Court, Western Cape &amp; Others</w:t>
      </w:r>
      <w:r>
        <w:t xml:space="preserve"> [2022] ZAWCHC 56 (26 April 2022):par. 123.</w:t>
      </w:r>
    </w:p>
  </w:footnote>
  <w:footnote w:id="275">
    <w:p w14:paraId="69C01FB5" w14:textId="187967EA" w:rsidR="005960AF" w:rsidRDefault="005960AF">
      <w:pPr>
        <w:pStyle w:val="FootnoteText"/>
      </w:pPr>
      <w:r>
        <w:rPr>
          <w:rStyle w:val="FootnoteReference"/>
        </w:rPr>
        <w:footnoteRef/>
      </w:r>
      <w:r>
        <w:t xml:space="preserve"> </w:t>
      </w:r>
      <w:r>
        <w:rPr>
          <w:i/>
          <w:iCs/>
        </w:rPr>
        <w:t>Smit v The Master of the High Court, Western Cape &amp; Others</w:t>
      </w:r>
      <w:r>
        <w:t xml:space="preserve"> [2022] ZAWCHC 56 (26 April 2022):par. 119.</w:t>
      </w:r>
    </w:p>
  </w:footnote>
  <w:footnote w:id="276">
    <w:p w14:paraId="1FEF4930" w14:textId="74E4EC7B" w:rsidR="00975FCC" w:rsidRDefault="00975FCC" w:rsidP="00123A01">
      <w:pPr>
        <w:pStyle w:val="FootnoteText"/>
        <w:ind w:left="284" w:hanging="284"/>
      </w:pPr>
      <w:r>
        <w:rPr>
          <w:rStyle w:val="FootnoteReference"/>
        </w:rPr>
        <w:footnoteRef/>
      </w:r>
      <w:r>
        <w:t xml:space="preserve"> </w:t>
      </w:r>
      <w:r>
        <w:rPr>
          <w:i/>
          <w:iCs/>
        </w:rPr>
        <w:t>Smit v The Master of the High Court, Western Cape &amp; Others</w:t>
      </w:r>
      <w:r>
        <w:t xml:space="preserve"> [2022] ZAWCHC 56 (26 April 2022):par. 173</w:t>
      </w:r>
      <w:r w:rsidR="00123A01">
        <w:t>, 177</w:t>
      </w:r>
      <w:r>
        <w:t>.</w:t>
      </w:r>
    </w:p>
  </w:footnote>
  <w:footnote w:id="277">
    <w:p w14:paraId="5CE009F7" w14:textId="17267B81" w:rsidR="00F7517E" w:rsidRDefault="00F7517E">
      <w:pPr>
        <w:pStyle w:val="FootnoteText"/>
      </w:pPr>
      <w:r>
        <w:rPr>
          <w:rStyle w:val="FootnoteReference"/>
        </w:rPr>
        <w:footnoteRef/>
      </w:r>
      <w:r>
        <w:t xml:space="preserve"> </w:t>
      </w:r>
      <w:r>
        <w:rPr>
          <w:i/>
          <w:iCs/>
        </w:rPr>
        <w:t>Smit v The Master of the High Court, Western Cape &amp; Others</w:t>
      </w:r>
      <w:r>
        <w:t xml:space="preserve"> [2022] ZAWCHC 56 (26 April 2022):par. 178.</w:t>
      </w:r>
    </w:p>
  </w:footnote>
  <w:footnote w:id="278">
    <w:p w14:paraId="6D2E4E16" w14:textId="77777777" w:rsidR="00D0683C" w:rsidRDefault="00D0683C" w:rsidP="00D0683C">
      <w:pPr>
        <w:pStyle w:val="FootnoteText"/>
      </w:pPr>
      <w:r>
        <w:rPr>
          <w:rStyle w:val="FootnoteReference"/>
        </w:rPr>
        <w:footnoteRef/>
      </w:r>
      <w:r>
        <w:t xml:space="preserve"> </w:t>
      </w:r>
      <w:r>
        <w:rPr>
          <w:i/>
          <w:iCs/>
        </w:rPr>
        <w:t>Smit v The Master of the High Court, Western Cape &amp; Others</w:t>
      </w:r>
      <w:r>
        <w:t xml:space="preserve"> [2022] ZAWCHC 56 (26 April 2022):par. 183.</w:t>
      </w:r>
    </w:p>
  </w:footnote>
  <w:footnote w:id="279">
    <w:p w14:paraId="56DAF68F" w14:textId="5D568B63" w:rsidR="002977D8" w:rsidRDefault="002977D8" w:rsidP="00733F0E">
      <w:pPr>
        <w:pStyle w:val="FootnoteText"/>
        <w:ind w:left="284" w:hanging="284"/>
      </w:pPr>
      <w:r>
        <w:rPr>
          <w:rStyle w:val="FootnoteReference"/>
        </w:rPr>
        <w:footnoteRef/>
      </w:r>
      <w:r>
        <w:t xml:space="preserve"> </w:t>
      </w:r>
      <w:r>
        <w:tab/>
      </w:r>
      <w:r>
        <w:rPr>
          <w:i/>
          <w:iCs/>
        </w:rPr>
        <w:t>Maqubela &amp; Another v The Master and Others</w:t>
      </w:r>
      <w:r>
        <w:t xml:space="preserve"> 2022 6 SA 408 (GJ):par</w:t>
      </w:r>
      <w:r w:rsidR="008F3756">
        <w:t>s</w:t>
      </w:r>
      <w:r>
        <w:t xml:space="preserve">. </w:t>
      </w:r>
      <w:r w:rsidR="008F3756">
        <w:t xml:space="preserve">5, </w:t>
      </w:r>
      <w:r>
        <w:t>19.</w:t>
      </w:r>
    </w:p>
  </w:footnote>
  <w:footnote w:id="280">
    <w:p w14:paraId="742FFFD5" w14:textId="3FE15C24" w:rsidR="002977D8" w:rsidRDefault="002977D8" w:rsidP="00733F0E">
      <w:pPr>
        <w:pStyle w:val="FootnoteText"/>
        <w:ind w:left="284" w:hanging="284"/>
      </w:pPr>
      <w:r>
        <w:rPr>
          <w:rStyle w:val="FootnoteReference"/>
        </w:rPr>
        <w:footnoteRef/>
      </w:r>
      <w:r>
        <w:t xml:space="preserve"> </w:t>
      </w:r>
      <w:r>
        <w:tab/>
      </w:r>
      <w:r>
        <w:rPr>
          <w:i/>
          <w:iCs/>
        </w:rPr>
        <w:t>Maqubela &amp; Another v The Master and Others</w:t>
      </w:r>
      <w:r>
        <w:t xml:space="preserve"> 2022 6 SA 408 (GJ):par. 20</w:t>
      </w:r>
      <w:r w:rsidR="007C409E">
        <w:t>; Sonnekus 2023:196.</w:t>
      </w:r>
    </w:p>
  </w:footnote>
  <w:footnote w:id="281">
    <w:p w14:paraId="171BFF9A" w14:textId="77777777" w:rsidR="00BA5777" w:rsidRDefault="00BA5777" w:rsidP="00BA5777">
      <w:pPr>
        <w:pStyle w:val="FootnoteText"/>
      </w:pPr>
      <w:r>
        <w:rPr>
          <w:rStyle w:val="FootnoteReference"/>
        </w:rPr>
        <w:footnoteRef/>
      </w:r>
      <w:r>
        <w:t xml:space="preserve"> Sonnekus 2023:176-177.</w:t>
      </w:r>
    </w:p>
  </w:footnote>
  <w:footnote w:id="282">
    <w:p w14:paraId="479C181F" w14:textId="77777777" w:rsidR="0074192B" w:rsidRDefault="0074192B" w:rsidP="0074192B">
      <w:pPr>
        <w:pStyle w:val="FootnoteText"/>
      </w:pPr>
      <w:r>
        <w:rPr>
          <w:rStyle w:val="FootnoteReference"/>
        </w:rPr>
        <w:footnoteRef/>
      </w:r>
      <w:r>
        <w:t xml:space="preserve"> Sonnekus 2023:177.</w:t>
      </w:r>
    </w:p>
  </w:footnote>
  <w:footnote w:id="283">
    <w:p w14:paraId="4A56366D" w14:textId="77777777" w:rsidR="0074192B" w:rsidRDefault="0074192B" w:rsidP="0074192B">
      <w:pPr>
        <w:pStyle w:val="FootnoteText"/>
      </w:pPr>
      <w:r>
        <w:rPr>
          <w:rStyle w:val="FootnoteReference"/>
        </w:rPr>
        <w:footnoteRef/>
      </w:r>
      <w:r>
        <w:t xml:space="preserve"> </w:t>
      </w:r>
      <w:r>
        <w:rPr>
          <w:i/>
          <w:iCs/>
        </w:rPr>
        <w:t>Maqubela &amp; Another v The Master and Others</w:t>
      </w:r>
      <w:r>
        <w:t xml:space="preserve"> 2022 6 SA 408 (GJ):pars. 39-40; Sonnekus 2023:178.</w:t>
      </w:r>
    </w:p>
  </w:footnote>
  <w:footnote w:id="284">
    <w:p w14:paraId="2776B742" w14:textId="73F29296" w:rsidR="00B817BA" w:rsidRDefault="00B817BA" w:rsidP="00733F0E">
      <w:pPr>
        <w:pStyle w:val="FootnoteText"/>
        <w:tabs>
          <w:tab w:val="left" w:pos="284"/>
        </w:tabs>
        <w:ind w:left="284" w:hanging="284"/>
      </w:pPr>
      <w:r>
        <w:rPr>
          <w:rStyle w:val="FootnoteReference"/>
        </w:rPr>
        <w:footnoteRef/>
      </w:r>
      <w:r>
        <w:t xml:space="preserve"> </w:t>
      </w:r>
      <w:r>
        <w:tab/>
      </w:r>
      <w:r>
        <w:rPr>
          <w:i/>
          <w:iCs/>
        </w:rPr>
        <w:t>Maqubela &amp; Another v The Master and Others</w:t>
      </w:r>
      <w:r>
        <w:t xml:space="preserve"> 2022 6 SA 408 (GJ):pars. 21-24.</w:t>
      </w:r>
    </w:p>
  </w:footnote>
  <w:footnote w:id="285">
    <w:p w14:paraId="1FD27568" w14:textId="3CE90D56" w:rsidR="006B0CD7" w:rsidRDefault="006B0CD7">
      <w:pPr>
        <w:pStyle w:val="FootnoteText"/>
      </w:pPr>
      <w:r>
        <w:rPr>
          <w:rStyle w:val="FootnoteReference"/>
        </w:rPr>
        <w:footnoteRef/>
      </w:r>
      <w:r>
        <w:t xml:space="preserve"> Sonnekus 2023:189.</w:t>
      </w:r>
    </w:p>
  </w:footnote>
  <w:footnote w:id="286">
    <w:p w14:paraId="51574B77" w14:textId="77777777" w:rsidR="00046889" w:rsidRDefault="00046889" w:rsidP="00046889">
      <w:pPr>
        <w:pStyle w:val="FootnoteText"/>
      </w:pPr>
      <w:r>
        <w:rPr>
          <w:rStyle w:val="FootnoteReference"/>
        </w:rPr>
        <w:footnoteRef/>
      </w:r>
      <w:r>
        <w:t xml:space="preserve"> Sonnekus 2023:178-179.</w:t>
      </w:r>
    </w:p>
  </w:footnote>
  <w:footnote w:id="287">
    <w:p w14:paraId="62C526D3" w14:textId="64979863" w:rsidR="00F96C7D" w:rsidRDefault="00F96C7D" w:rsidP="00F96C7D">
      <w:pPr>
        <w:pStyle w:val="FootnoteText"/>
      </w:pPr>
      <w:r>
        <w:rPr>
          <w:rStyle w:val="FootnoteReference"/>
        </w:rPr>
        <w:footnoteRef/>
      </w:r>
      <w:r>
        <w:t xml:space="preserve"> </w:t>
      </w:r>
      <w:r>
        <w:rPr>
          <w:i/>
          <w:iCs/>
        </w:rPr>
        <w:t>Maqubela &amp; Another v The Master and Others</w:t>
      </w:r>
      <w:r>
        <w:t xml:space="preserve"> 2022 6 SA 408 (GJ):pars. 39-40</w:t>
      </w:r>
      <w:r w:rsidR="005A2646">
        <w:t>; Sonnekus 2023:189.</w:t>
      </w:r>
    </w:p>
  </w:footnote>
  <w:footnote w:id="288">
    <w:p w14:paraId="5313BF31" w14:textId="412C8C8F" w:rsidR="00C20D1D" w:rsidRPr="008E281B" w:rsidRDefault="00C20D1D" w:rsidP="00C20D1D">
      <w:pPr>
        <w:pStyle w:val="FootnoteText"/>
      </w:pPr>
      <w:r>
        <w:rPr>
          <w:rStyle w:val="FootnoteReference"/>
        </w:rPr>
        <w:footnoteRef/>
      </w:r>
      <w:r>
        <w:t xml:space="preserve"> </w:t>
      </w:r>
      <w:r w:rsidRPr="008E281B">
        <w:rPr>
          <w:i/>
          <w:iCs/>
        </w:rPr>
        <w:t>Maqubela &amp; Another v The Master and Others</w:t>
      </w:r>
      <w:r w:rsidRPr="008E281B">
        <w:t xml:space="preserve"> 2022 6 SA 408 (GJ):par. 44,</w:t>
      </w:r>
      <w:r w:rsidR="00EA5209">
        <w:t xml:space="preserve"> </w:t>
      </w:r>
      <w:r w:rsidRPr="008E281B">
        <w:t>46,</w:t>
      </w:r>
      <w:r w:rsidR="00EA5209">
        <w:t xml:space="preserve"> </w:t>
      </w:r>
      <w:r w:rsidRPr="008E281B">
        <w:t>53.</w:t>
      </w:r>
    </w:p>
  </w:footnote>
  <w:footnote w:id="289">
    <w:p w14:paraId="0A5A25A5" w14:textId="3856262F" w:rsidR="00F96C7D" w:rsidRPr="008E281B" w:rsidRDefault="00F96C7D" w:rsidP="00F96C7D">
      <w:pPr>
        <w:pStyle w:val="FootnoteText"/>
        <w:ind w:left="284" w:hanging="284"/>
      </w:pPr>
      <w:r w:rsidRPr="008E281B">
        <w:rPr>
          <w:rStyle w:val="FootnoteReference"/>
        </w:rPr>
        <w:footnoteRef/>
      </w:r>
      <w:r w:rsidRPr="008E281B">
        <w:t xml:space="preserve"> </w:t>
      </w:r>
      <w:r w:rsidRPr="008E281B">
        <w:tab/>
        <w:t>See 13</w:t>
      </w:r>
      <w:r w:rsidR="008E281B">
        <w:t>5</w:t>
      </w:r>
      <w:r w:rsidRPr="008E281B">
        <w:t xml:space="preserve"> above.</w:t>
      </w:r>
    </w:p>
  </w:footnote>
  <w:footnote w:id="290">
    <w:p w14:paraId="4E5D67A8" w14:textId="127017AF" w:rsidR="00F96C7D" w:rsidRPr="008E281B" w:rsidRDefault="00F96C7D" w:rsidP="00F96C7D">
      <w:pPr>
        <w:pStyle w:val="FootnoteText"/>
      </w:pPr>
      <w:r w:rsidRPr="008E281B">
        <w:rPr>
          <w:rStyle w:val="FootnoteReference"/>
        </w:rPr>
        <w:footnoteRef/>
      </w:r>
      <w:r w:rsidRPr="008E281B">
        <w:t xml:space="preserve"> </w:t>
      </w:r>
      <w:r w:rsidRPr="008E281B">
        <w:rPr>
          <w:i/>
          <w:iCs/>
        </w:rPr>
        <w:t>Maqubela &amp; Another v The Master and Others</w:t>
      </w:r>
      <w:r w:rsidRPr="008E281B">
        <w:t xml:space="preserve"> 2022 6 SA 408 (GJ):par. </w:t>
      </w:r>
      <w:r w:rsidR="00127D02" w:rsidRPr="008E281B">
        <w:t>53</w:t>
      </w:r>
      <w:r w:rsidR="00EA5209">
        <w:t>.</w:t>
      </w:r>
    </w:p>
  </w:footnote>
  <w:footnote w:id="291">
    <w:p w14:paraId="2005A185" w14:textId="7DA2FECE" w:rsidR="008F3756" w:rsidRDefault="008F3756" w:rsidP="00733F0E">
      <w:pPr>
        <w:pStyle w:val="FootnoteText"/>
        <w:tabs>
          <w:tab w:val="left" w:pos="284"/>
        </w:tabs>
        <w:ind w:left="284" w:hanging="284"/>
      </w:pPr>
      <w:r w:rsidRPr="008E281B">
        <w:rPr>
          <w:rStyle w:val="FootnoteReference"/>
        </w:rPr>
        <w:footnoteRef/>
      </w:r>
      <w:r w:rsidRPr="008E281B">
        <w:t xml:space="preserve"> </w:t>
      </w:r>
      <w:r w:rsidRPr="008E281B">
        <w:tab/>
      </w:r>
      <w:r w:rsidRPr="008E281B">
        <w:rPr>
          <w:i/>
          <w:iCs/>
        </w:rPr>
        <w:t>Maqubela</w:t>
      </w:r>
      <w:r>
        <w:rPr>
          <w:i/>
          <w:iCs/>
        </w:rPr>
        <w:t xml:space="preserve"> &amp; Another v The Master and Others</w:t>
      </w:r>
      <w:r>
        <w:t xml:space="preserve"> 2022 6 SA 408 (GJ):par. </w:t>
      </w:r>
      <w:r w:rsidR="00125C0B">
        <w:t>25-</w:t>
      </w:r>
      <w:r>
        <w:t>26</w:t>
      </w:r>
      <w:r w:rsidR="005A2646">
        <w:t>; Sonnekus 2023:189.</w:t>
      </w:r>
    </w:p>
  </w:footnote>
  <w:footnote w:id="292">
    <w:p w14:paraId="3C260AB6" w14:textId="651930C0" w:rsidR="0022398D" w:rsidRDefault="0022398D">
      <w:pPr>
        <w:pStyle w:val="FootnoteText"/>
      </w:pPr>
      <w:r>
        <w:rPr>
          <w:rStyle w:val="FootnoteReference"/>
        </w:rPr>
        <w:footnoteRef/>
      </w:r>
      <w:r>
        <w:t xml:space="preserve"> </w:t>
      </w:r>
      <w:r>
        <w:rPr>
          <w:i/>
          <w:iCs/>
        </w:rPr>
        <w:t>Maqubela &amp; Another v The Master and Others</w:t>
      </w:r>
      <w:r>
        <w:t xml:space="preserve"> 2022 6 SA 408 (GJ):par. 27,</w:t>
      </w:r>
      <w:r w:rsidR="00EA5209">
        <w:t xml:space="preserve"> </w:t>
      </w:r>
      <w:r>
        <w:t>29</w:t>
      </w:r>
      <w:r w:rsidR="001F5490">
        <w:t>; Sonnekus 2023:181.</w:t>
      </w:r>
    </w:p>
  </w:footnote>
  <w:footnote w:id="293">
    <w:p w14:paraId="6D5BEB6B" w14:textId="77777777" w:rsidR="00384559" w:rsidRPr="00F93A83" w:rsidRDefault="00384559" w:rsidP="00384559">
      <w:pPr>
        <w:pStyle w:val="FootnoteText"/>
        <w:ind w:left="284" w:hanging="284"/>
        <w:rPr>
          <w:lang w:val="en-GB"/>
        </w:rPr>
      </w:pPr>
      <w:r>
        <w:rPr>
          <w:rStyle w:val="FootnoteReference"/>
        </w:rPr>
        <w:footnoteRef/>
      </w:r>
      <w:r>
        <w:t xml:space="preserve"> </w:t>
      </w:r>
      <w:r>
        <w:rPr>
          <w:i/>
          <w:iCs/>
        </w:rPr>
        <w:t>Maqubela &amp; Another v The Master and Others</w:t>
      </w:r>
      <w:r>
        <w:t xml:space="preserve"> 2022 6 SA 408 (GJ):par. 1.</w:t>
      </w:r>
    </w:p>
  </w:footnote>
  <w:footnote w:id="294">
    <w:p w14:paraId="3953C165" w14:textId="77777777" w:rsidR="001C52FB" w:rsidRDefault="001C52FB" w:rsidP="001C52FB">
      <w:pPr>
        <w:pStyle w:val="FootnoteText"/>
        <w:ind w:left="284" w:hanging="284"/>
      </w:pPr>
      <w:r>
        <w:rPr>
          <w:rStyle w:val="FootnoteReference"/>
        </w:rPr>
        <w:footnoteRef/>
      </w:r>
      <w:r>
        <w:t xml:space="preserve"> </w:t>
      </w:r>
      <w:r>
        <w:rPr>
          <w:i/>
          <w:iCs/>
        </w:rPr>
        <w:t>Intestate Succession Act</w:t>
      </w:r>
      <w:r>
        <w:t xml:space="preserve"> 81/1987:sec. 1(1).</w:t>
      </w:r>
    </w:p>
  </w:footnote>
  <w:footnote w:id="295">
    <w:p w14:paraId="60412E54" w14:textId="77777777" w:rsidR="00EA5209" w:rsidRPr="00AB2E7A" w:rsidRDefault="00EA5209" w:rsidP="00EA5209">
      <w:pPr>
        <w:pStyle w:val="FootnoteText"/>
        <w:ind w:left="284" w:hanging="284"/>
      </w:pPr>
      <w:r w:rsidRPr="0069253A">
        <w:rPr>
          <w:rStyle w:val="FootnoteReference"/>
        </w:rPr>
        <w:footnoteRef/>
      </w:r>
      <w:r w:rsidRPr="0069253A">
        <w:t xml:space="preserve"> </w:t>
      </w:r>
      <w:r w:rsidRPr="0069253A">
        <w:tab/>
      </w:r>
      <w:r>
        <w:t xml:space="preserve">Tyali “Couple and hitmen sentenced for insurance payout murder”, </w:t>
      </w:r>
      <w:r w:rsidRPr="00804F6D">
        <w:t>https://www.facebook.com/thenpaofsa/</w:t>
      </w:r>
      <w:r>
        <w:t xml:space="preserve"> (</w:t>
      </w:r>
      <w:r w:rsidRPr="00AB2E7A">
        <w:t>accessed on 28 June 2024).</w:t>
      </w:r>
    </w:p>
  </w:footnote>
  <w:footnote w:id="296">
    <w:p w14:paraId="3CC9FA12" w14:textId="77777777" w:rsidR="00770658" w:rsidRPr="00AB2E7A" w:rsidRDefault="00770658" w:rsidP="00E8612E">
      <w:pPr>
        <w:pStyle w:val="FootnoteText"/>
        <w:ind w:left="284" w:hanging="284"/>
        <w:rPr>
          <w:lang w:val="en-GB"/>
        </w:rPr>
      </w:pPr>
      <w:r w:rsidRPr="00AB2E7A">
        <w:rPr>
          <w:rStyle w:val="FootnoteReference"/>
        </w:rPr>
        <w:footnoteRef/>
      </w:r>
      <w:r w:rsidRPr="00AB2E7A">
        <w:t xml:space="preserve"> </w:t>
      </w:r>
      <w:r w:rsidRPr="00AB2E7A">
        <w:rPr>
          <w:lang w:val="en-GB"/>
        </w:rPr>
        <w:t>Sonnekus 2010:179.</w:t>
      </w:r>
    </w:p>
  </w:footnote>
  <w:footnote w:id="297">
    <w:p w14:paraId="1D3A7AB4" w14:textId="25F07402" w:rsidR="00770658" w:rsidRPr="00AB2E7A" w:rsidRDefault="00770658" w:rsidP="00E8612E">
      <w:pPr>
        <w:pStyle w:val="FootnoteText"/>
        <w:ind w:left="284" w:hanging="284"/>
        <w:rPr>
          <w:lang w:val="en-GB"/>
        </w:rPr>
      </w:pPr>
      <w:r w:rsidRPr="00AB2E7A">
        <w:rPr>
          <w:rStyle w:val="FootnoteReference"/>
        </w:rPr>
        <w:footnoteRef/>
      </w:r>
      <w:r w:rsidRPr="00AB2E7A">
        <w:t xml:space="preserve"> Van Niekerk 2009:13</w:t>
      </w:r>
      <w:r w:rsidR="00BD4299" w:rsidRPr="00AB2E7A">
        <w:t>4</w:t>
      </w:r>
      <w:r w:rsidRPr="00AB2E7A">
        <w:t>.</w:t>
      </w:r>
    </w:p>
  </w:footnote>
  <w:footnote w:id="298">
    <w:p w14:paraId="0111DDD9" w14:textId="14724D77" w:rsidR="0022398D" w:rsidRDefault="0022398D">
      <w:pPr>
        <w:pStyle w:val="FootnoteText"/>
      </w:pPr>
      <w:r>
        <w:rPr>
          <w:rStyle w:val="FootnoteReference"/>
        </w:rPr>
        <w:footnoteRef/>
      </w:r>
      <w:r>
        <w:t xml:space="preserve"> </w:t>
      </w:r>
      <w:r>
        <w:rPr>
          <w:i/>
          <w:iCs/>
        </w:rPr>
        <w:t>Maqubela &amp; Another v The Master and Others</w:t>
      </w:r>
      <w:r>
        <w:t xml:space="preserve"> 2022 6 SA 408 (GJ):par. 34.</w:t>
      </w:r>
    </w:p>
  </w:footnote>
  <w:footnote w:id="299">
    <w:p w14:paraId="67821EC9" w14:textId="77777777" w:rsidR="00770658" w:rsidRPr="00AB2E7A" w:rsidRDefault="00770658" w:rsidP="00E8612E">
      <w:pPr>
        <w:pStyle w:val="FootnoteText"/>
        <w:ind w:left="284" w:hanging="284"/>
      </w:pPr>
      <w:r w:rsidRPr="00AB2E7A">
        <w:rPr>
          <w:rStyle w:val="FootnoteReference"/>
        </w:rPr>
        <w:footnoteRef/>
      </w:r>
      <w:r w:rsidRPr="00AB2E7A">
        <w:t xml:space="preserve"> </w:t>
      </w:r>
      <w:r w:rsidRPr="00AB2E7A">
        <w:rPr>
          <w:i/>
          <w:iCs/>
        </w:rPr>
        <w:t>Danielz NO v De Wet &amp; Another</w:t>
      </w:r>
      <w:r w:rsidRPr="00AB2E7A">
        <w:t xml:space="preserve"> 2009 6 SA 42 (C):47G-H.</w:t>
      </w:r>
    </w:p>
  </w:footnote>
  <w:footnote w:id="300">
    <w:p w14:paraId="4A924D25" w14:textId="7335D118" w:rsidR="00FC7EBF" w:rsidRPr="00FC7EBF" w:rsidRDefault="00FC7EBF">
      <w:pPr>
        <w:pStyle w:val="FootnoteText"/>
      </w:pPr>
      <w:r w:rsidRPr="00AB2E7A">
        <w:rPr>
          <w:rStyle w:val="FootnoteReference"/>
        </w:rPr>
        <w:footnoteRef/>
      </w:r>
      <w:r w:rsidRPr="00AB2E7A">
        <w:t xml:space="preserve"> </w:t>
      </w:r>
      <w:r w:rsidRPr="00AB2E7A">
        <w:rPr>
          <w:i/>
          <w:iCs/>
        </w:rPr>
        <w:t>Nell v Nell &amp; ‘n Ander</w:t>
      </w:r>
      <w:r>
        <w:t xml:space="preserve"> 1976 3 SA 700 (T):705A</w:t>
      </w:r>
      <w:r w:rsidR="00F0440A">
        <w:t>.</w:t>
      </w:r>
    </w:p>
  </w:footnote>
  <w:footnote w:id="301">
    <w:p w14:paraId="012B0620" w14:textId="1796A23D" w:rsidR="00967701" w:rsidRPr="00967701" w:rsidRDefault="00967701">
      <w:pPr>
        <w:pStyle w:val="FootnoteText"/>
      </w:pPr>
      <w:r>
        <w:rPr>
          <w:rStyle w:val="FootnoteReference"/>
        </w:rPr>
        <w:footnoteRef/>
      </w:r>
      <w:r>
        <w:t xml:space="preserve"> </w:t>
      </w:r>
      <w:r>
        <w:rPr>
          <w:i/>
          <w:iCs/>
        </w:rPr>
        <w:t>Leeb &amp; Another v Leeb &amp; Another</w:t>
      </w:r>
      <w:r>
        <w:t xml:space="preserve"> 1999 2 All SA 588 (N):5</w:t>
      </w:r>
      <w:r w:rsidR="007D3DED">
        <w:t>98.</w:t>
      </w:r>
    </w:p>
  </w:footnote>
  <w:footnote w:id="302">
    <w:p w14:paraId="22BFDAF6" w14:textId="77777777" w:rsidR="00605E1B" w:rsidRDefault="00605E1B" w:rsidP="00605E1B">
      <w:pPr>
        <w:pStyle w:val="FootnoteText"/>
        <w:ind w:left="284" w:hanging="284"/>
      </w:pPr>
      <w:r>
        <w:rPr>
          <w:rStyle w:val="FootnoteReference"/>
        </w:rPr>
        <w:footnoteRef/>
      </w:r>
      <w:r>
        <w:t xml:space="preserve"> </w:t>
      </w:r>
      <w:r>
        <w:tab/>
      </w:r>
      <w:r w:rsidRPr="00C6687D">
        <w:rPr>
          <w:i/>
          <w:iCs/>
        </w:rPr>
        <w:t>Danielz NO v De Wet &amp; Another</w:t>
      </w:r>
      <w:r w:rsidRPr="00C6687D">
        <w:t xml:space="preserve"> 2009 6 SA 42 (C):</w:t>
      </w:r>
      <w:r>
        <w:t>par. 57.1.</w:t>
      </w:r>
    </w:p>
  </w:footnote>
  <w:footnote w:id="303">
    <w:p w14:paraId="12DDC49B" w14:textId="77777777" w:rsidR="00770658" w:rsidRDefault="00770658" w:rsidP="00E8612E">
      <w:pPr>
        <w:pStyle w:val="FootnoteText"/>
        <w:ind w:left="284" w:hanging="284"/>
      </w:pPr>
      <w:r>
        <w:rPr>
          <w:rStyle w:val="FootnoteReference"/>
        </w:rPr>
        <w:footnoteRef/>
      </w:r>
      <w:r>
        <w:t xml:space="preserve"> </w:t>
      </w:r>
      <w:r>
        <w:tab/>
      </w:r>
      <w:r>
        <w:rPr>
          <w:i/>
          <w:iCs/>
        </w:rPr>
        <w:t>Smit v The Master of the High Court, Western Cape &amp; Others</w:t>
      </w:r>
      <w:r>
        <w:t xml:space="preserve"> [2022] ZAWCHC 56 (26 April 2022):par. 183.4.</w:t>
      </w:r>
    </w:p>
  </w:footnote>
  <w:footnote w:id="304">
    <w:p w14:paraId="162C2E99" w14:textId="77777777" w:rsidR="00EA5209" w:rsidRDefault="00EA5209" w:rsidP="00EA5209">
      <w:pPr>
        <w:pStyle w:val="FootnoteText"/>
        <w:ind w:left="284" w:hanging="284"/>
      </w:pPr>
      <w:r>
        <w:rPr>
          <w:rStyle w:val="FootnoteReference"/>
        </w:rPr>
        <w:footnoteRef/>
      </w:r>
      <w:r>
        <w:t xml:space="preserve"> Shoeman-Malan 2013:136.</w:t>
      </w:r>
    </w:p>
  </w:footnote>
  <w:footnote w:id="305">
    <w:p w14:paraId="7E0A7F8F" w14:textId="25B0F1A0" w:rsidR="00BE7B81" w:rsidRPr="00BE7B81" w:rsidRDefault="00BE7B81" w:rsidP="00BE7B81">
      <w:pPr>
        <w:pStyle w:val="FootnoteText"/>
        <w:ind w:left="284" w:hanging="284"/>
        <w:rPr>
          <w:i/>
          <w:iCs/>
        </w:rPr>
      </w:pPr>
      <w:r>
        <w:rPr>
          <w:rStyle w:val="FootnoteReference"/>
        </w:rPr>
        <w:footnoteRef/>
      </w:r>
      <w:r>
        <w:t xml:space="preserve"> </w:t>
      </w:r>
      <w:r w:rsidRPr="00F23B2A">
        <w:rPr>
          <w:i/>
          <w:iCs/>
        </w:rPr>
        <w:t>Ex parte Steenkamp &amp; Steenkamp</w:t>
      </w:r>
      <w:r>
        <w:t xml:space="preserve"> 1952 1 SA 744 (T):746; </w:t>
      </w:r>
      <w:r>
        <w:rPr>
          <w:i/>
          <w:iCs/>
        </w:rPr>
        <w:t>Caldwell v Erasmus NO &amp; Another</w:t>
      </w:r>
      <w:r>
        <w:t xml:space="preserve"> 1952 4 All SA 161 (T):170; </w:t>
      </w:r>
      <w:r w:rsidR="00320DDC" w:rsidRPr="00DE6CF6">
        <w:rPr>
          <w:rFonts w:cs="Arial"/>
          <w:i/>
          <w:iCs/>
          <w:szCs w:val="24"/>
        </w:rPr>
        <w:t>Nell</w:t>
      </w:r>
      <w:r w:rsidR="00320DDC">
        <w:rPr>
          <w:rFonts w:cs="Arial"/>
          <w:i/>
          <w:iCs/>
          <w:szCs w:val="24"/>
        </w:rPr>
        <w:t xml:space="preserve"> v Nell en ‘n Ander </w:t>
      </w:r>
      <w:r w:rsidR="00320DDC" w:rsidRPr="00DE6CF6">
        <w:rPr>
          <w:rFonts w:cs="Arial"/>
          <w:szCs w:val="24"/>
        </w:rPr>
        <w:t>197</w:t>
      </w:r>
      <w:r w:rsidR="00320DDC">
        <w:rPr>
          <w:rFonts w:cs="Arial"/>
          <w:szCs w:val="24"/>
        </w:rPr>
        <w:t xml:space="preserve">6 3 SA 700 (T):705B; </w:t>
      </w:r>
      <w:r>
        <w:rPr>
          <w:rFonts w:cs="Arial"/>
          <w:i/>
          <w:iCs/>
          <w:szCs w:val="24"/>
        </w:rPr>
        <w:t>Marais v Botha</w:t>
      </w:r>
      <w:r>
        <w:rPr>
          <w:rFonts w:cs="Arial"/>
          <w:szCs w:val="24"/>
        </w:rPr>
        <w:t xml:space="preserve"> </w:t>
      </w:r>
      <w:r>
        <w:rPr>
          <w:rFonts w:cs="Arial"/>
          <w:i/>
          <w:iCs/>
          <w:szCs w:val="24"/>
        </w:rPr>
        <w:t xml:space="preserve">NO &amp; </w:t>
      </w:r>
      <w:r>
        <w:rPr>
          <w:i/>
          <w:iCs/>
        </w:rPr>
        <w:t>Others</w:t>
      </w:r>
      <w:r>
        <w:rPr>
          <w:rFonts w:cs="Arial"/>
          <w:szCs w:val="24"/>
        </w:rPr>
        <w:t xml:space="preserve"> [2008] ZAWCHC 111 (31 October 2008):par.</w:t>
      </w:r>
      <w:r w:rsidR="00EA5209">
        <w:rPr>
          <w:rFonts w:cs="Arial"/>
          <w:szCs w:val="24"/>
        </w:rPr>
        <w:t xml:space="preserve"> </w:t>
      </w:r>
      <w:r>
        <w:rPr>
          <w:rFonts w:cs="Arial"/>
          <w:szCs w:val="24"/>
        </w:rPr>
        <w:t>13.</w:t>
      </w:r>
    </w:p>
  </w:footnote>
  <w:footnote w:id="306">
    <w:p w14:paraId="30662680" w14:textId="77777777" w:rsidR="00BA5CDC" w:rsidRPr="008F5CFE" w:rsidRDefault="00BA5CDC" w:rsidP="00BA5CDC">
      <w:pPr>
        <w:pStyle w:val="FootnoteText"/>
        <w:ind w:left="284" w:hanging="284"/>
        <w:rPr>
          <w:lang w:val="en-GB"/>
        </w:rPr>
      </w:pPr>
      <w:r>
        <w:rPr>
          <w:rStyle w:val="FootnoteReference"/>
        </w:rPr>
        <w:footnoteRef/>
      </w:r>
      <w:r>
        <w:t xml:space="preserve"> </w:t>
      </w:r>
      <w:r>
        <w:rPr>
          <w:i/>
          <w:iCs/>
          <w:lang w:val="en-GB"/>
        </w:rPr>
        <w:t>Caldwell v Erasmus NO &amp; Another</w:t>
      </w:r>
      <w:r>
        <w:rPr>
          <w:lang w:val="en-GB"/>
        </w:rPr>
        <w:t xml:space="preserve"> 1952 4 All SA 161 (T):169.</w:t>
      </w:r>
    </w:p>
  </w:footnote>
  <w:footnote w:id="307">
    <w:p w14:paraId="5E3B4013" w14:textId="21A47E6B" w:rsidR="00427A94" w:rsidRDefault="00427A94" w:rsidP="00E8612E">
      <w:pPr>
        <w:pStyle w:val="FootnoteText"/>
        <w:ind w:left="284" w:hanging="284"/>
      </w:pPr>
      <w:r>
        <w:rPr>
          <w:rStyle w:val="FootnoteReference"/>
        </w:rPr>
        <w:footnoteRef/>
      </w:r>
      <w:r>
        <w:t xml:space="preserve"> Neethling &amp; Potgieter 2015:292.</w:t>
      </w:r>
    </w:p>
  </w:footnote>
  <w:footnote w:id="308">
    <w:p w14:paraId="32DE66A0" w14:textId="77777777" w:rsidR="00E15921" w:rsidRDefault="00E15921" w:rsidP="00E8612E">
      <w:pPr>
        <w:pStyle w:val="FootnoteText"/>
        <w:ind w:left="284" w:hanging="284"/>
      </w:pPr>
      <w:r>
        <w:rPr>
          <w:rStyle w:val="FootnoteReference"/>
        </w:rPr>
        <w:footnoteRef/>
      </w:r>
      <w:r>
        <w:t xml:space="preserve"> Schoeman-Malan 2013:140.</w:t>
      </w:r>
    </w:p>
  </w:footnote>
  <w:footnote w:id="309">
    <w:p w14:paraId="1F840CFE" w14:textId="60B42B22" w:rsidR="0065100D" w:rsidRDefault="0065100D" w:rsidP="00E8612E">
      <w:pPr>
        <w:pStyle w:val="FootnoteText"/>
        <w:ind w:left="284" w:hanging="284"/>
      </w:pPr>
      <w:r>
        <w:rPr>
          <w:rStyle w:val="FootnoteReference"/>
        </w:rPr>
        <w:footnoteRef/>
      </w:r>
      <w:r>
        <w:t xml:space="preserve"> Malherbe 2016:27.</w:t>
      </w:r>
    </w:p>
  </w:footnote>
  <w:footnote w:id="310">
    <w:p w14:paraId="327619AD" w14:textId="24B4050C" w:rsidR="002225A1" w:rsidRPr="0028352C" w:rsidRDefault="002225A1" w:rsidP="00E8612E">
      <w:pPr>
        <w:pStyle w:val="FootnoteText"/>
        <w:ind w:left="284" w:hanging="284"/>
      </w:pPr>
      <w:r>
        <w:rPr>
          <w:rStyle w:val="FootnoteReference"/>
        </w:rPr>
        <w:footnoteRef/>
      </w:r>
      <w:r>
        <w:t xml:space="preserve"> </w:t>
      </w:r>
      <w:r>
        <w:rPr>
          <w:i/>
          <w:iCs/>
        </w:rPr>
        <w:t>Maintenance of Surviving Spouses Act</w:t>
      </w:r>
      <w:r>
        <w:t xml:space="preserve"> 27/1990:sec. 2(1).</w:t>
      </w:r>
    </w:p>
  </w:footnote>
  <w:footnote w:id="311">
    <w:p w14:paraId="6D57AFC4" w14:textId="70ACB7C8" w:rsidR="0073487D" w:rsidRPr="0073487D" w:rsidRDefault="0073487D" w:rsidP="00E8612E">
      <w:pPr>
        <w:pStyle w:val="FootnoteText"/>
        <w:ind w:left="284" w:hanging="284"/>
        <w:rPr>
          <w:lang w:val="en-GB"/>
        </w:rPr>
      </w:pPr>
      <w:r>
        <w:rPr>
          <w:rStyle w:val="FootnoteReference"/>
        </w:rPr>
        <w:footnoteRef/>
      </w:r>
      <w:r>
        <w:t xml:space="preserve"> </w:t>
      </w:r>
      <w:r w:rsidR="001D0B73">
        <w:rPr>
          <w:lang w:val="en-GB"/>
        </w:rPr>
        <w:t>Steyn</w:t>
      </w:r>
      <w:r>
        <w:rPr>
          <w:lang w:val="en-GB"/>
        </w:rPr>
        <w:t xml:space="preserve"> 2016:61.</w:t>
      </w:r>
    </w:p>
  </w:footnote>
  <w:footnote w:id="312">
    <w:p w14:paraId="2A102926" w14:textId="765485B2" w:rsidR="00B62F5D" w:rsidRPr="00B62F5D" w:rsidRDefault="00B62F5D" w:rsidP="00E8612E">
      <w:pPr>
        <w:pStyle w:val="FootnoteText"/>
        <w:ind w:left="284" w:hanging="284"/>
        <w:rPr>
          <w:lang w:val="en-GB"/>
        </w:rPr>
      </w:pPr>
      <w:r>
        <w:rPr>
          <w:rStyle w:val="FootnoteReference"/>
        </w:rPr>
        <w:footnoteRef/>
      </w:r>
      <w:r>
        <w:t xml:space="preserve"> </w:t>
      </w:r>
      <w:r w:rsidR="00C74EFD">
        <w:rPr>
          <w:lang w:val="en-GB"/>
        </w:rPr>
        <w:t>Malherbe 2016:27; Steyn 2016:61;</w:t>
      </w:r>
      <w:r w:rsidR="00C74EFD" w:rsidRPr="00F20574">
        <w:rPr>
          <w:lang w:val="en-GB"/>
        </w:rPr>
        <w:t xml:space="preserve"> </w:t>
      </w:r>
      <w:r w:rsidR="00C74EFD">
        <w:rPr>
          <w:rFonts w:cs="Arial"/>
          <w:szCs w:val="24"/>
        </w:rPr>
        <w:t xml:space="preserve">Schoeman-Malan 2013:134; </w:t>
      </w:r>
      <w:r w:rsidR="00C74EFD">
        <w:rPr>
          <w:lang w:val="en-GB"/>
        </w:rPr>
        <w:t>Du Toit 2012:148,</w:t>
      </w:r>
      <w:r w:rsidR="00EA5209">
        <w:rPr>
          <w:lang w:val="en-GB"/>
        </w:rPr>
        <w:t xml:space="preserve"> </w:t>
      </w:r>
      <w:r w:rsidR="00C74EFD">
        <w:rPr>
          <w:lang w:val="en-GB"/>
        </w:rPr>
        <w:t>150.</w:t>
      </w:r>
    </w:p>
  </w:footnote>
  <w:footnote w:id="313">
    <w:p w14:paraId="0E88C803" w14:textId="5AA248BC" w:rsidR="009A7ECB" w:rsidRDefault="009A7ECB" w:rsidP="00E8612E">
      <w:pPr>
        <w:pStyle w:val="FootnoteText"/>
        <w:ind w:left="284" w:hanging="284"/>
      </w:pPr>
      <w:r>
        <w:rPr>
          <w:rStyle w:val="FootnoteReference"/>
        </w:rPr>
        <w:footnoteRef/>
      </w:r>
      <w:r>
        <w:t xml:space="preserve"> Malherbe 2016:28; Schoeman-Malan 2013:</w:t>
      </w:r>
      <w:r w:rsidR="00C74EFD">
        <w:t>134</w:t>
      </w:r>
      <w:r w:rsidR="00454FE1">
        <w:t>-135</w:t>
      </w:r>
      <w:r>
        <w:t>; Du Toit 2012:</w:t>
      </w:r>
      <w:r w:rsidR="009A032C">
        <w:t>147</w:t>
      </w:r>
      <w:r>
        <w:t>.</w:t>
      </w:r>
    </w:p>
  </w:footnote>
  <w:footnote w:id="314">
    <w:p w14:paraId="6627A207" w14:textId="132B2D32" w:rsidR="00120C33" w:rsidRDefault="00120C33" w:rsidP="00E8612E">
      <w:pPr>
        <w:pStyle w:val="FootnoteText"/>
        <w:ind w:left="284" w:hanging="284"/>
      </w:pPr>
      <w:r>
        <w:rPr>
          <w:rStyle w:val="FootnoteReference"/>
        </w:rPr>
        <w:footnoteRef/>
      </w:r>
      <w:r>
        <w:t xml:space="preserve"> Schoeman-Malan 2013:135.</w:t>
      </w:r>
    </w:p>
  </w:footnote>
  <w:footnote w:id="315">
    <w:p w14:paraId="31B45AAD" w14:textId="77777777" w:rsidR="002977D8" w:rsidRPr="00C43078" w:rsidRDefault="002977D8" w:rsidP="00E8612E">
      <w:pPr>
        <w:pStyle w:val="FootnoteText"/>
        <w:ind w:left="284" w:hanging="284"/>
        <w:rPr>
          <w:lang w:val="en-GB"/>
        </w:rPr>
      </w:pPr>
      <w:r>
        <w:rPr>
          <w:rStyle w:val="FootnoteReference"/>
        </w:rPr>
        <w:footnoteRef/>
      </w:r>
      <w:r>
        <w:t xml:space="preserve"> </w:t>
      </w:r>
      <w:r>
        <w:rPr>
          <w:lang w:val="en-GB"/>
        </w:rPr>
        <w:t>Du Toit 2012:150.</w:t>
      </w:r>
    </w:p>
  </w:footnote>
  <w:footnote w:id="316">
    <w:p w14:paraId="09EFAE9C" w14:textId="2B20FB89" w:rsidR="00701274" w:rsidRDefault="00701274" w:rsidP="00E8612E">
      <w:pPr>
        <w:pStyle w:val="FootnoteText"/>
        <w:ind w:left="284" w:hanging="284"/>
      </w:pPr>
      <w:r>
        <w:rPr>
          <w:rStyle w:val="FootnoteReference"/>
        </w:rPr>
        <w:footnoteRef/>
      </w:r>
      <w:r>
        <w:t xml:space="preserve"> Schoeman-Malan 2013:135.</w:t>
      </w:r>
    </w:p>
  </w:footnote>
  <w:footnote w:id="317">
    <w:p w14:paraId="0BC77D57" w14:textId="02BE9548" w:rsidR="00676AF2" w:rsidRDefault="00676AF2" w:rsidP="00E8612E">
      <w:pPr>
        <w:pStyle w:val="FootnoteText"/>
        <w:ind w:left="284" w:hanging="284"/>
      </w:pPr>
      <w:r>
        <w:rPr>
          <w:rStyle w:val="FootnoteReference"/>
        </w:rPr>
        <w:footnoteRef/>
      </w:r>
      <w:r>
        <w:t xml:space="preserve"> </w:t>
      </w:r>
      <w:r>
        <w:rPr>
          <w:i/>
          <w:iCs/>
        </w:rPr>
        <w:t>Caldwell v Erasmus NO &amp; Another</w:t>
      </w:r>
      <w:r>
        <w:t xml:space="preserve"> 1952 4 All SA 161 (T):170.</w:t>
      </w:r>
    </w:p>
  </w:footnote>
  <w:footnote w:id="318">
    <w:p w14:paraId="0A2CC674" w14:textId="2078509E" w:rsidR="002977D8" w:rsidRDefault="002977D8" w:rsidP="00E8612E">
      <w:pPr>
        <w:pStyle w:val="FootnoteText"/>
        <w:ind w:left="284" w:hanging="284"/>
      </w:pPr>
      <w:r>
        <w:rPr>
          <w:rStyle w:val="FootnoteReference"/>
        </w:rPr>
        <w:footnoteRef/>
      </w:r>
      <w:r>
        <w:t xml:space="preserve"> </w:t>
      </w:r>
      <w:r>
        <w:tab/>
      </w:r>
      <w:r>
        <w:rPr>
          <w:lang w:val="en-GB"/>
        </w:rPr>
        <w:t>Hofmeyr &amp; Paleker 2023:146</w:t>
      </w:r>
      <w:r w:rsidR="00923B4A">
        <w:rPr>
          <w:lang w:val="en-GB"/>
        </w:rPr>
        <w:t>;</w:t>
      </w:r>
      <w:r w:rsidR="00923B4A" w:rsidRPr="00923B4A">
        <w:rPr>
          <w:i/>
          <w:iCs/>
        </w:rPr>
        <w:t xml:space="preserve"> </w:t>
      </w:r>
      <w:r w:rsidR="00923B4A">
        <w:rPr>
          <w:i/>
          <w:iCs/>
        </w:rPr>
        <w:t>Smit v The Master of the High Court, Western Cape &amp; Others</w:t>
      </w:r>
      <w:r w:rsidR="00923B4A">
        <w:t xml:space="preserve"> [2022] ZAWCHC 56 (26 April 2022):par. 177.</w:t>
      </w:r>
    </w:p>
  </w:footnote>
  <w:footnote w:id="319">
    <w:p w14:paraId="530D03E9" w14:textId="2399EB96" w:rsidR="009E3B7F" w:rsidRDefault="009E3B7F" w:rsidP="009E3B7F">
      <w:pPr>
        <w:pStyle w:val="FootnoteText"/>
        <w:ind w:left="284" w:hanging="284"/>
      </w:pPr>
      <w:r>
        <w:rPr>
          <w:rStyle w:val="FootnoteReference"/>
        </w:rPr>
        <w:footnoteRef/>
      </w:r>
      <w:r>
        <w:t xml:space="preserve"> </w:t>
      </w:r>
      <w:r>
        <w:tab/>
      </w:r>
      <w:r>
        <w:rPr>
          <w:i/>
          <w:iCs/>
        </w:rPr>
        <w:t xml:space="preserve">Leeb &amp; Another v Leeb &amp; Another </w:t>
      </w:r>
      <w:r w:rsidRPr="00244880">
        <w:t>1999 2 All SA 588 (N):5</w:t>
      </w:r>
      <w:r>
        <w:t>88,</w:t>
      </w:r>
      <w:r w:rsidR="00EA5209">
        <w:t xml:space="preserve"> </w:t>
      </w:r>
      <w:r>
        <w:t>595.</w:t>
      </w:r>
    </w:p>
  </w:footnote>
  <w:footnote w:id="320">
    <w:p w14:paraId="355BECE8" w14:textId="77777777" w:rsidR="009E3B7F" w:rsidRDefault="009E3B7F" w:rsidP="009E3B7F">
      <w:pPr>
        <w:pStyle w:val="FootnoteText"/>
      </w:pPr>
      <w:r>
        <w:rPr>
          <w:rStyle w:val="FootnoteReference"/>
        </w:rPr>
        <w:footnoteRef/>
      </w:r>
      <w:r>
        <w:t xml:space="preserve"> </w:t>
      </w:r>
      <w:r>
        <w:rPr>
          <w:i/>
          <w:iCs/>
        </w:rPr>
        <w:t>Leeb &amp; Another v Leeb &amp; Another</w:t>
      </w:r>
      <w:r>
        <w:t xml:space="preserve"> 1999 2 All SA 588 (N):597.</w:t>
      </w:r>
    </w:p>
  </w:footnote>
  <w:footnote w:id="321">
    <w:p w14:paraId="229C479D" w14:textId="1DB1B8BB" w:rsidR="009E3B7F" w:rsidRDefault="009E3B7F" w:rsidP="009E3B7F">
      <w:pPr>
        <w:pStyle w:val="FootnoteText"/>
        <w:tabs>
          <w:tab w:val="left" w:pos="851"/>
        </w:tabs>
        <w:ind w:left="284" w:hanging="284"/>
      </w:pPr>
      <w:r>
        <w:rPr>
          <w:rStyle w:val="FootnoteReference"/>
        </w:rPr>
        <w:footnoteRef/>
      </w:r>
      <w:r>
        <w:t xml:space="preserve"> Jamneck &amp; Rautenbach 2023:129; Steyn 2016:50-51; </w:t>
      </w:r>
      <w:r>
        <w:rPr>
          <w:i/>
          <w:iCs/>
        </w:rPr>
        <w:t>Leeb &amp; Another v Leeb &amp; Another</w:t>
      </w:r>
      <w:r>
        <w:t xml:space="preserve"> 1999 2 All SA 588 (N):595.</w:t>
      </w:r>
    </w:p>
  </w:footnote>
  <w:footnote w:id="322">
    <w:p w14:paraId="607428E0" w14:textId="77777777" w:rsidR="009E3B7F" w:rsidRDefault="009E3B7F" w:rsidP="009E3B7F">
      <w:pPr>
        <w:pStyle w:val="FootnoteText"/>
      </w:pPr>
      <w:r>
        <w:rPr>
          <w:rStyle w:val="FootnoteReference"/>
        </w:rPr>
        <w:footnoteRef/>
      </w:r>
      <w:r>
        <w:t xml:space="preserve"> </w:t>
      </w:r>
      <w:r>
        <w:rPr>
          <w:i/>
          <w:iCs/>
        </w:rPr>
        <w:t>Leeb &amp; Another v Leeb &amp; Another</w:t>
      </w:r>
      <w:r>
        <w:t xml:space="preserve"> 1999 2 All SA 588 (N):597.</w:t>
      </w:r>
    </w:p>
  </w:footnote>
  <w:footnote w:id="323">
    <w:p w14:paraId="63510738" w14:textId="4608995A" w:rsidR="009E3B7F" w:rsidRPr="00AA38DC" w:rsidRDefault="009E3B7F" w:rsidP="009E3B7F">
      <w:pPr>
        <w:pStyle w:val="FootnoteText"/>
      </w:pPr>
      <w:r>
        <w:rPr>
          <w:rStyle w:val="FootnoteReference"/>
        </w:rPr>
        <w:footnoteRef/>
      </w:r>
      <w:r>
        <w:t xml:space="preserve"> </w:t>
      </w:r>
      <w:r>
        <w:rPr>
          <w:i/>
          <w:iCs/>
        </w:rPr>
        <w:t xml:space="preserve">Leeb &amp; Another v Leeb &amp; Another </w:t>
      </w:r>
      <w:r>
        <w:t>1999 2 All SA 588 (N):588,</w:t>
      </w:r>
      <w:r w:rsidR="00EA5209">
        <w:t xml:space="preserve"> </w:t>
      </w:r>
      <w:r>
        <w:t>597.</w:t>
      </w:r>
    </w:p>
  </w:footnote>
  <w:footnote w:id="324">
    <w:p w14:paraId="368ED420" w14:textId="76C9634B" w:rsidR="009E3B7F" w:rsidRPr="003E1E28" w:rsidRDefault="009E3B7F" w:rsidP="009E3B7F">
      <w:pPr>
        <w:pStyle w:val="FootnoteText"/>
        <w:rPr>
          <w:lang w:val="en-GB"/>
        </w:rPr>
      </w:pPr>
      <w:r>
        <w:rPr>
          <w:rStyle w:val="FootnoteReference"/>
        </w:rPr>
        <w:footnoteRef/>
      </w:r>
      <w:r>
        <w:t xml:space="preserve"> </w:t>
      </w:r>
      <w:r w:rsidRPr="00B07B8E">
        <w:rPr>
          <w:i/>
          <w:iCs/>
          <w:lang w:val="en-GB"/>
        </w:rPr>
        <w:t>Divorce Act</w:t>
      </w:r>
      <w:r>
        <w:rPr>
          <w:lang w:val="en-GB"/>
        </w:rPr>
        <w:t xml:space="preserve"> 70</w:t>
      </w:r>
      <w:r w:rsidR="00EA5209">
        <w:rPr>
          <w:lang w:val="en-GB"/>
        </w:rPr>
        <w:t>/</w:t>
      </w:r>
      <w:r>
        <w:rPr>
          <w:lang w:val="en-GB"/>
        </w:rPr>
        <w:t>1979</w:t>
      </w:r>
      <w:r w:rsidRPr="00B07B8E">
        <w:rPr>
          <w:lang w:val="en-GB"/>
        </w:rPr>
        <w:t>:sec. 9.</w:t>
      </w:r>
    </w:p>
  </w:footnote>
  <w:footnote w:id="325">
    <w:p w14:paraId="206C8EDE" w14:textId="5C14C4C1" w:rsidR="009E3B7F" w:rsidRPr="003E1E28" w:rsidRDefault="009E3B7F" w:rsidP="009E3B7F">
      <w:pPr>
        <w:pStyle w:val="FootnoteText"/>
        <w:rPr>
          <w:lang w:val="en-GB"/>
        </w:rPr>
      </w:pPr>
      <w:r>
        <w:rPr>
          <w:rStyle w:val="FootnoteReference"/>
        </w:rPr>
        <w:footnoteRef/>
      </w:r>
      <w:r>
        <w:t xml:space="preserve"> </w:t>
      </w:r>
      <w:r w:rsidRPr="00B07B8E">
        <w:rPr>
          <w:i/>
          <w:iCs/>
          <w:lang w:val="en-GB"/>
        </w:rPr>
        <w:t>Matrimonial Property Act</w:t>
      </w:r>
      <w:r w:rsidRPr="00B07B8E">
        <w:rPr>
          <w:lang w:val="en-GB"/>
        </w:rPr>
        <w:t xml:space="preserve"> 88</w:t>
      </w:r>
      <w:r w:rsidR="00EA5209">
        <w:rPr>
          <w:lang w:val="en-GB"/>
        </w:rPr>
        <w:t>/</w:t>
      </w:r>
      <w:r w:rsidRPr="00B07B8E">
        <w:rPr>
          <w:lang w:val="en-GB"/>
        </w:rPr>
        <w:t>1984:sec. 9.</w:t>
      </w:r>
    </w:p>
  </w:footnote>
  <w:footnote w:id="326">
    <w:p w14:paraId="7FB199CF" w14:textId="77777777" w:rsidR="009E3B7F" w:rsidRPr="00C920D7" w:rsidRDefault="009E3B7F" w:rsidP="009E3B7F">
      <w:pPr>
        <w:pStyle w:val="FootnoteText"/>
        <w:rPr>
          <w:lang w:val="en-GB"/>
        </w:rPr>
      </w:pPr>
      <w:r>
        <w:rPr>
          <w:rStyle w:val="FootnoteReference"/>
        </w:rPr>
        <w:footnoteRef/>
      </w:r>
      <w:r>
        <w:t xml:space="preserve"> </w:t>
      </w:r>
      <w:r>
        <w:rPr>
          <w:i/>
          <w:iCs/>
        </w:rPr>
        <w:t>Maqubela &amp; Another v The Master and Others</w:t>
      </w:r>
      <w:r>
        <w:t xml:space="preserve"> 2022 6 SA 408 (GJ):par.</w:t>
      </w:r>
      <w:r>
        <w:rPr>
          <w:lang w:val="en-GB"/>
        </w:rPr>
        <w:t xml:space="preserve"> 27.</w:t>
      </w:r>
    </w:p>
  </w:footnote>
  <w:footnote w:id="327">
    <w:p w14:paraId="5B669F1F" w14:textId="77777777" w:rsidR="009E3B7F" w:rsidRPr="001D3771" w:rsidRDefault="009E3B7F" w:rsidP="009E3B7F">
      <w:pPr>
        <w:pStyle w:val="FootnoteText"/>
        <w:ind w:left="284" w:hanging="284"/>
        <w:rPr>
          <w:lang w:val="en-GB"/>
        </w:rPr>
      </w:pPr>
      <w:r>
        <w:rPr>
          <w:rStyle w:val="FootnoteReference"/>
        </w:rPr>
        <w:footnoteRef/>
      </w:r>
      <w:r>
        <w:t xml:space="preserve"> </w:t>
      </w:r>
      <w:r>
        <w:rPr>
          <w:lang w:val="en-GB"/>
        </w:rPr>
        <w:t>Sonnekus 2010:183.</w:t>
      </w:r>
    </w:p>
  </w:footnote>
  <w:footnote w:id="328">
    <w:p w14:paraId="0AF34B18" w14:textId="77777777" w:rsidR="009E3B7F" w:rsidRDefault="009E3B7F" w:rsidP="009E3B7F">
      <w:pPr>
        <w:pStyle w:val="FootnoteText"/>
        <w:tabs>
          <w:tab w:val="left" w:pos="851"/>
        </w:tabs>
        <w:ind w:left="284" w:hanging="284"/>
      </w:pPr>
      <w:r>
        <w:rPr>
          <w:rStyle w:val="FootnoteReference"/>
        </w:rPr>
        <w:footnoteRef/>
      </w:r>
      <w:r>
        <w:t xml:space="preserve"> </w:t>
      </w:r>
      <w:r>
        <w:tab/>
      </w:r>
      <w:r>
        <w:rPr>
          <w:i/>
          <w:iCs/>
        </w:rPr>
        <w:t xml:space="preserve">Leeb &amp; Another v Leeb &amp; Another </w:t>
      </w:r>
      <w:r w:rsidRPr="00244880">
        <w:t>1999 2 All SA 588 (N):5</w:t>
      </w:r>
      <w:r>
        <w:t>95-596.</w:t>
      </w:r>
    </w:p>
  </w:footnote>
  <w:footnote w:id="329">
    <w:p w14:paraId="3294A199" w14:textId="77777777" w:rsidR="009E3B7F" w:rsidRDefault="009E3B7F" w:rsidP="009E3B7F">
      <w:pPr>
        <w:pStyle w:val="FootnoteText"/>
        <w:ind w:left="284" w:hanging="284"/>
      </w:pPr>
      <w:r w:rsidRPr="00B07B8E">
        <w:rPr>
          <w:rStyle w:val="FootnoteReference"/>
        </w:rPr>
        <w:footnoteRef/>
      </w:r>
      <w:r w:rsidRPr="00B07B8E">
        <w:t xml:space="preserve"> </w:t>
      </w:r>
      <w:r w:rsidRPr="00B07B8E">
        <w:tab/>
      </w:r>
      <w:r w:rsidRPr="00B07B8E">
        <w:rPr>
          <w:rFonts w:cs="Arial"/>
          <w:i/>
          <w:iCs/>
          <w:szCs w:val="24"/>
        </w:rPr>
        <w:t xml:space="preserve">Ex parte Vonzell </w:t>
      </w:r>
      <w:r w:rsidRPr="00B07B8E">
        <w:rPr>
          <w:rFonts w:cs="Arial"/>
          <w:szCs w:val="24"/>
        </w:rPr>
        <w:t>1953</w:t>
      </w:r>
      <w:r>
        <w:rPr>
          <w:rFonts w:cs="Arial"/>
          <w:szCs w:val="24"/>
        </w:rPr>
        <w:t xml:space="preserve"> 1 All SA 46 (C):50.</w:t>
      </w:r>
    </w:p>
  </w:footnote>
  <w:footnote w:id="330">
    <w:p w14:paraId="0B08482C" w14:textId="77777777" w:rsidR="009E3B7F" w:rsidRDefault="009E3B7F" w:rsidP="009E3B7F">
      <w:pPr>
        <w:pStyle w:val="FootnoteText"/>
        <w:ind w:left="284" w:hanging="284"/>
      </w:pPr>
      <w:r>
        <w:rPr>
          <w:rStyle w:val="FootnoteReference"/>
        </w:rPr>
        <w:footnoteRef/>
      </w:r>
      <w:r>
        <w:t xml:space="preserve"> </w:t>
      </w:r>
      <w:r>
        <w:tab/>
      </w:r>
      <w:r w:rsidRPr="00DE6CF6">
        <w:rPr>
          <w:rFonts w:cs="Arial"/>
          <w:i/>
          <w:iCs/>
          <w:szCs w:val="24"/>
        </w:rPr>
        <w:t>Nell</w:t>
      </w:r>
      <w:r>
        <w:rPr>
          <w:rFonts w:cs="Arial"/>
          <w:i/>
          <w:iCs/>
          <w:szCs w:val="24"/>
        </w:rPr>
        <w:t xml:space="preserve"> v Nell en ‘n Ander </w:t>
      </w:r>
      <w:r w:rsidRPr="00DE6CF6">
        <w:rPr>
          <w:rFonts w:cs="Arial"/>
          <w:szCs w:val="24"/>
        </w:rPr>
        <w:t>197</w:t>
      </w:r>
      <w:r>
        <w:rPr>
          <w:rFonts w:cs="Arial"/>
          <w:szCs w:val="24"/>
        </w:rPr>
        <w:t>6 3 SA 700 (T):701H.</w:t>
      </w:r>
    </w:p>
  </w:footnote>
  <w:footnote w:id="331">
    <w:p w14:paraId="57C56E70" w14:textId="77777777" w:rsidR="009E3B7F" w:rsidRPr="00E420AE" w:rsidRDefault="009E3B7F" w:rsidP="009E3B7F">
      <w:pPr>
        <w:pStyle w:val="FootnoteText"/>
        <w:ind w:left="284" w:hanging="284"/>
        <w:rPr>
          <w:lang w:val="en-GB"/>
        </w:rPr>
      </w:pPr>
      <w:r>
        <w:rPr>
          <w:rStyle w:val="FootnoteReference"/>
        </w:rPr>
        <w:footnoteRef/>
      </w:r>
      <w:r>
        <w:t xml:space="preserve"> </w:t>
      </w:r>
      <w:r>
        <w:rPr>
          <w:lang w:val="en-GB"/>
        </w:rPr>
        <w:tab/>
      </w:r>
      <w:r>
        <w:rPr>
          <w:i/>
          <w:iCs/>
          <w:lang w:val="en-GB"/>
        </w:rPr>
        <w:t xml:space="preserve">Nell v Nell en ‘n Ander </w:t>
      </w:r>
      <w:r>
        <w:rPr>
          <w:lang w:val="en-GB"/>
        </w:rPr>
        <w:t>1976 3 SA 700 (T):704H-705A.</w:t>
      </w:r>
    </w:p>
  </w:footnote>
  <w:footnote w:id="332">
    <w:p w14:paraId="4C2AB034" w14:textId="77777777" w:rsidR="009E3B7F" w:rsidRPr="00FC64CF" w:rsidRDefault="009E3B7F" w:rsidP="009E3B7F">
      <w:pPr>
        <w:pStyle w:val="FootnoteText"/>
        <w:rPr>
          <w:lang w:val="en-GB"/>
        </w:rPr>
      </w:pPr>
      <w:r>
        <w:rPr>
          <w:rStyle w:val="FootnoteReference"/>
        </w:rPr>
        <w:footnoteRef/>
      </w:r>
      <w:r>
        <w:t xml:space="preserve"> </w:t>
      </w:r>
      <w:r>
        <w:rPr>
          <w:i/>
          <w:iCs/>
          <w:lang w:val="en-GB"/>
        </w:rPr>
        <w:t xml:space="preserve">Casey NO v The Master &amp; Others </w:t>
      </w:r>
      <w:r w:rsidRPr="00FC64CF">
        <w:rPr>
          <w:lang w:val="en-GB"/>
        </w:rPr>
        <w:t>1992 4</w:t>
      </w:r>
      <w:r>
        <w:rPr>
          <w:lang w:val="en-GB"/>
        </w:rPr>
        <w:t xml:space="preserve"> </w:t>
      </w:r>
      <w:r w:rsidRPr="00FC64CF">
        <w:rPr>
          <w:lang w:val="en-GB"/>
        </w:rPr>
        <w:t>SA 505 (N):51</w:t>
      </w:r>
      <w:r>
        <w:rPr>
          <w:lang w:val="en-GB"/>
        </w:rPr>
        <w:t>1E.</w:t>
      </w:r>
    </w:p>
  </w:footnote>
  <w:footnote w:id="333">
    <w:p w14:paraId="38AAB971" w14:textId="211CAF0A" w:rsidR="00CC0AE0" w:rsidRDefault="00CC0AE0">
      <w:pPr>
        <w:pStyle w:val="FootnoteText"/>
      </w:pPr>
      <w:r>
        <w:rPr>
          <w:rStyle w:val="FootnoteReference"/>
        </w:rPr>
        <w:footnoteRef/>
      </w:r>
      <w:r>
        <w:t xml:space="preserve"> De Waal &amp; Zimmerman 2011:183.</w:t>
      </w:r>
    </w:p>
  </w:footnote>
  <w:footnote w:id="334">
    <w:p w14:paraId="1CB69BDA" w14:textId="77777777" w:rsidR="009E3B7F" w:rsidRDefault="009E3B7F" w:rsidP="009E3B7F">
      <w:pPr>
        <w:pStyle w:val="FootnoteText"/>
        <w:ind w:left="284" w:hanging="284"/>
      </w:pPr>
      <w:r>
        <w:rPr>
          <w:rStyle w:val="FootnoteReference"/>
        </w:rPr>
        <w:footnoteRef/>
      </w:r>
      <w:r>
        <w:t xml:space="preserve"> </w:t>
      </w:r>
      <w:r>
        <w:tab/>
      </w:r>
      <w:r>
        <w:rPr>
          <w:i/>
          <w:iCs/>
        </w:rPr>
        <w:t xml:space="preserve">Leeb &amp; Another v Leeb &amp; Another </w:t>
      </w:r>
      <w:r w:rsidRPr="00244880">
        <w:t>1999 2 All SA 588 (N):5</w:t>
      </w:r>
      <w:r>
        <w:t>95.</w:t>
      </w:r>
    </w:p>
  </w:footnote>
  <w:footnote w:id="335">
    <w:p w14:paraId="2485AF52" w14:textId="77777777" w:rsidR="009E3B7F" w:rsidRDefault="009E3B7F" w:rsidP="009E3B7F">
      <w:pPr>
        <w:pStyle w:val="FootnoteText"/>
        <w:ind w:left="284" w:hanging="284"/>
      </w:pPr>
      <w:r>
        <w:rPr>
          <w:rStyle w:val="FootnoteReference"/>
        </w:rPr>
        <w:footnoteRef/>
      </w:r>
      <w:r>
        <w:t xml:space="preserve"> </w:t>
      </w:r>
      <w:r>
        <w:tab/>
      </w:r>
      <w:r>
        <w:rPr>
          <w:i/>
          <w:iCs/>
        </w:rPr>
        <w:t xml:space="preserve">Leeb &amp; Another v Leeb &amp; Another </w:t>
      </w:r>
      <w:r w:rsidRPr="00244880">
        <w:t>1999 2 All SA 588 (N):5</w:t>
      </w:r>
      <w:r>
        <w:t>95-596.</w:t>
      </w:r>
    </w:p>
  </w:footnote>
  <w:footnote w:id="336">
    <w:p w14:paraId="37A3AE50" w14:textId="77777777" w:rsidR="009E3B7F" w:rsidRPr="00B36846" w:rsidRDefault="009E3B7F" w:rsidP="009E3B7F">
      <w:pPr>
        <w:pStyle w:val="FootnoteText"/>
        <w:rPr>
          <w:lang w:val="en-GB"/>
        </w:rPr>
      </w:pPr>
      <w:r>
        <w:rPr>
          <w:rStyle w:val="FootnoteReference"/>
        </w:rPr>
        <w:footnoteRef/>
      </w:r>
      <w:r>
        <w:t xml:space="preserve"> </w:t>
      </w:r>
      <w:r>
        <w:rPr>
          <w:lang w:val="en-GB"/>
        </w:rPr>
        <w:t>Hofmeyr &amp; Paleker 2023:144.</w:t>
      </w:r>
    </w:p>
  </w:footnote>
  <w:footnote w:id="337">
    <w:p w14:paraId="1D62FE85" w14:textId="77777777" w:rsidR="009E3B7F" w:rsidRDefault="009E3B7F" w:rsidP="009E3B7F">
      <w:pPr>
        <w:pStyle w:val="FootnoteText"/>
        <w:ind w:left="284" w:hanging="284"/>
      </w:pPr>
      <w:r w:rsidRPr="00B07B8E">
        <w:rPr>
          <w:rStyle w:val="FootnoteReference"/>
        </w:rPr>
        <w:footnoteRef/>
      </w:r>
      <w:r w:rsidRPr="00B07B8E">
        <w:t xml:space="preserve"> </w:t>
      </w:r>
      <w:r w:rsidRPr="00B07B8E">
        <w:tab/>
      </w:r>
      <w:r w:rsidRPr="00B07B8E">
        <w:rPr>
          <w:rFonts w:cs="Arial"/>
          <w:i/>
          <w:iCs/>
          <w:szCs w:val="24"/>
        </w:rPr>
        <w:t xml:space="preserve">Ex parte Vonzell </w:t>
      </w:r>
      <w:r w:rsidRPr="00B07B8E">
        <w:rPr>
          <w:rFonts w:cs="Arial"/>
          <w:szCs w:val="24"/>
        </w:rPr>
        <w:t>1953</w:t>
      </w:r>
      <w:r>
        <w:rPr>
          <w:rFonts w:cs="Arial"/>
          <w:szCs w:val="24"/>
        </w:rPr>
        <w:t xml:space="preserve"> 1 All SA 46 (C):50; Steyn 2016:52.</w:t>
      </w:r>
    </w:p>
  </w:footnote>
  <w:footnote w:id="338">
    <w:p w14:paraId="79CAE46B" w14:textId="77777777" w:rsidR="009E3B7F" w:rsidRPr="00596C36" w:rsidRDefault="009E3B7F" w:rsidP="009E3B7F">
      <w:pPr>
        <w:pStyle w:val="FootnoteText"/>
        <w:rPr>
          <w:lang w:val="en-GB"/>
        </w:rPr>
      </w:pPr>
      <w:r>
        <w:rPr>
          <w:rStyle w:val="FootnoteReference"/>
        </w:rPr>
        <w:footnoteRef/>
      </w:r>
      <w:r>
        <w:t xml:space="preserve"> </w:t>
      </w:r>
      <w:r>
        <w:rPr>
          <w:lang w:val="en-GB"/>
        </w:rPr>
        <w:t>Steyn 2016:52.</w:t>
      </w:r>
    </w:p>
  </w:footnote>
  <w:footnote w:id="339">
    <w:p w14:paraId="77A9CE3C" w14:textId="21BE6724" w:rsidR="009E3B7F" w:rsidRDefault="009E3B7F" w:rsidP="009E3B7F">
      <w:pPr>
        <w:pStyle w:val="FootnoteText"/>
      </w:pPr>
      <w:r>
        <w:rPr>
          <w:rStyle w:val="FootnoteReference"/>
        </w:rPr>
        <w:footnoteRef/>
      </w:r>
      <w:r>
        <w:t xml:space="preserve"> </w:t>
      </w:r>
      <w:r w:rsidRPr="00DE6CF6">
        <w:rPr>
          <w:rFonts w:cs="Arial"/>
          <w:i/>
          <w:iCs/>
          <w:szCs w:val="24"/>
        </w:rPr>
        <w:t>Nell</w:t>
      </w:r>
      <w:r>
        <w:rPr>
          <w:rFonts w:cs="Arial"/>
          <w:i/>
          <w:iCs/>
          <w:szCs w:val="24"/>
        </w:rPr>
        <w:t xml:space="preserve"> v Nell &amp; ‘n Ander </w:t>
      </w:r>
      <w:r w:rsidRPr="00DE6CF6">
        <w:rPr>
          <w:rFonts w:cs="Arial"/>
          <w:szCs w:val="24"/>
        </w:rPr>
        <w:t>197</w:t>
      </w:r>
      <w:r>
        <w:rPr>
          <w:rFonts w:cs="Arial"/>
          <w:szCs w:val="24"/>
        </w:rPr>
        <w:t>6 3 SA 700 (T):703F-G</w:t>
      </w:r>
      <w:r w:rsidR="00883B0E">
        <w:rPr>
          <w:rFonts w:cs="Arial"/>
          <w:szCs w:val="24"/>
        </w:rPr>
        <w:t>; Sonnekus 2023:188.</w:t>
      </w:r>
    </w:p>
  </w:footnote>
  <w:footnote w:id="340">
    <w:p w14:paraId="4859CD41" w14:textId="77777777" w:rsidR="009E3B7F" w:rsidRDefault="009E3B7F" w:rsidP="009E3B7F">
      <w:pPr>
        <w:pStyle w:val="FootnoteText"/>
        <w:ind w:left="284" w:hanging="284"/>
      </w:pPr>
      <w:r>
        <w:rPr>
          <w:rStyle w:val="FootnoteReference"/>
        </w:rPr>
        <w:footnoteRef/>
      </w:r>
      <w:r>
        <w:t xml:space="preserve"> </w:t>
      </w:r>
      <w:r>
        <w:tab/>
      </w:r>
      <w:r>
        <w:rPr>
          <w:i/>
          <w:iCs/>
        </w:rPr>
        <w:t xml:space="preserve">Leeb &amp; Another v Leeb &amp; Another </w:t>
      </w:r>
      <w:r w:rsidRPr="00244880">
        <w:t>1999 2 All SA 588 (N):5</w:t>
      </w:r>
      <w:r>
        <w:t>98.</w:t>
      </w:r>
    </w:p>
  </w:footnote>
  <w:footnote w:id="341">
    <w:p w14:paraId="38242163" w14:textId="77777777" w:rsidR="009E3B7F" w:rsidRDefault="009E3B7F" w:rsidP="009E3B7F">
      <w:pPr>
        <w:pStyle w:val="FootnoteText"/>
        <w:ind w:left="284" w:hanging="284"/>
      </w:pPr>
      <w:r>
        <w:rPr>
          <w:rStyle w:val="FootnoteReference"/>
        </w:rPr>
        <w:footnoteRef/>
      </w:r>
      <w:r>
        <w:t xml:space="preserve"> </w:t>
      </w:r>
      <w:r>
        <w:rPr>
          <w:rFonts w:cs="Arial"/>
          <w:i/>
          <w:iCs/>
          <w:szCs w:val="24"/>
        </w:rPr>
        <w:t xml:space="preserve">Ex parte Vonzell </w:t>
      </w:r>
      <w:r>
        <w:rPr>
          <w:rFonts w:cs="Arial"/>
          <w:szCs w:val="24"/>
        </w:rPr>
        <w:t xml:space="preserve">1953 1 All SA 46 (C):50 </w:t>
      </w:r>
      <w:r w:rsidRPr="00DE6CF6">
        <w:rPr>
          <w:rFonts w:cs="Arial"/>
          <w:i/>
          <w:iCs/>
          <w:szCs w:val="24"/>
        </w:rPr>
        <w:t>Nell</w:t>
      </w:r>
      <w:r>
        <w:rPr>
          <w:rFonts w:cs="Arial"/>
          <w:i/>
          <w:iCs/>
          <w:szCs w:val="24"/>
        </w:rPr>
        <w:t xml:space="preserve"> v Nell &amp; ‘n Ander </w:t>
      </w:r>
      <w:r w:rsidRPr="00DE6CF6">
        <w:rPr>
          <w:rFonts w:cs="Arial"/>
          <w:szCs w:val="24"/>
        </w:rPr>
        <w:t>197</w:t>
      </w:r>
      <w:r>
        <w:rPr>
          <w:rFonts w:cs="Arial"/>
          <w:szCs w:val="24"/>
        </w:rPr>
        <w:t>6 3 SA 700 (T):703D.</w:t>
      </w:r>
    </w:p>
  </w:footnote>
  <w:footnote w:id="342">
    <w:p w14:paraId="5D21A695" w14:textId="77777777" w:rsidR="009E3B7F" w:rsidRDefault="009E3B7F" w:rsidP="009E3B7F">
      <w:pPr>
        <w:pStyle w:val="FootnoteText"/>
        <w:ind w:left="284" w:hanging="284"/>
      </w:pPr>
      <w:r>
        <w:rPr>
          <w:rStyle w:val="FootnoteReference"/>
        </w:rPr>
        <w:footnoteRef/>
      </w:r>
      <w:r>
        <w:t xml:space="preserve"> </w:t>
      </w:r>
      <w:r>
        <w:tab/>
      </w:r>
      <w:r>
        <w:rPr>
          <w:i/>
          <w:iCs/>
        </w:rPr>
        <w:t xml:space="preserve">Leeb &amp; Another v Leeb &amp; Another </w:t>
      </w:r>
      <w:r w:rsidRPr="00244880">
        <w:t>1999 2 All SA 588 (N):598</w:t>
      </w:r>
      <w:r>
        <w:t>.</w:t>
      </w:r>
    </w:p>
  </w:footnote>
  <w:footnote w:id="343">
    <w:p w14:paraId="6F00973D" w14:textId="77777777" w:rsidR="009E3B7F" w:rsidRDefault="009E3B7F" w:rsidP="009E3B7F">
      <w:pPr>
        <w:pStyle w:val="FootnoteText"/>
        <w:ind w:left="284" w:hanging="284"/>
      </w:pPr>
      <w:r>
        <w:rPr>
          <w:rStyle w:val="FootnoteReference"/>
        </w:rPr>
        <w:footnoteRef/>
      </w:r>
      <w:r>
        <w:t xml:space="preserve"> </w:t>
      </w:r>
      <w:r>
        <w:tab/>
      </w:r>
      <w:r w:rsidRPr="005A3CF9">
        <w:rPr>
          <w:rFonts w:cs="Arial"/>
          <w:i/>
          <w:iCs/>
          <w:szCs w:val="24"/>
        </w:rPr>
        <w:t>Leeb</w:t>
      </w:r>
      <w:r>
        <w:rPr>
          <w:rFonts w:cs="Arial"/>
          <w:i/>
          <w:iCs/>
          <w:szCs w:val="24"/>
        </w:rPr>
        <w:t xml:space="preserve"> &amp; Another v Leeb &amp; Another</w:t>
      </w:r>
      <w:r>
        <w:rPr>
          <w:rFonts w:cs="Arial"/>
          <w:szCs w:val="24"/>
        </w:rPr>
        <w:t xml:space="preserve"> 1999 2 All SA 588 (N):598; Jamneck &amp; Rautenbach 2023:130.</w:t>
      </w:r>
    </w:p>
  </w:footnote>
  <w:footnote w:id="344">
    <w:p w14:paraId="341AEC42" w14:textId="77777777" w:rsidR="00D67E92" w:rsidRDefault="00D67E92" w:rsidP="00D67E92">
      <w:pPr>
        <w:pStyle w:val="FootnoteText"/>
        <w:ind w:left="284" w:hanging="284"/>
      </w:pPr>
      <w:r>
        <w:rPr>
          <w:rStyle w:val="FootnoteReference"/>
        </w:rPr>
        <w:footnoteRef/>
      </w:r>
      <w:r>
        <w:t xml:space="preserve"> Jamneck &amp; Rautenbach 2023:130; Hofmeyr &amp; Paleker 2023:145.</w:t>
      </w:r>
    </w:p>
  </w:footnote>
  <w:footnote w:id="345">
    <w:p w14:paraId="1CBC2274" w14:textId="77777777" w:rsidR="007941D1" w:rsidRDefault="007941D1" w:rsidP="007941D1">
      <w:pPr>
        <w:pStyle w:val="FootnoteText"/>
      </w:pPr>
      <w:r>
        <w:rPr>
          <w:rStyle w:val="FootnoteReference"/>
        </w:rPr>
        <w:footnoteRef/>
      </w:r>
      <w:r>
        <w:t xml:space="preserve"> Sonnekus 2023:204.</w:t>
      </w:r>
    </w:p>
  </w:footnote>
  <w:footnote w:id="346">
    <w:p w14:paraId="7AE28AF1" w14:textId="77777777" w:rsidR="009E3B7F" w:rsidRPr="00B41880" w:rsidRDefault="009E3B7F" w:rsidP="009E3B7F">
      <w:pPr>
        <w:pStyle w:val="FootnoteText"/>
        <w:ind w:left="284" w:hanging="284"/>
        <w:rPr>
          <w:lang w:val="en-GB"/>
        </w:rPr>
      </w:pPr>
      <w:r>
        <w:rPr>
          <w:rStyle w:val="FootnoteReference"/>
        </w:rPr>
        <w:footnoteRef/>
      </w:r>
      <w:r>
        <w:t xml:space="preserve"> </w:t>
      </w:r>
      <w:r>
        <w:rPr>
          <w:lang w:val="en-GB"/>
        </w:rPr>
        <w:t>Steyn 2016:56.</w:t>
      </w:r>
    </w:p>
  </w:footnote>
  <w:footnote w:id="347">
    <w:p w14:paraId="527A0CF8" w14:textId="2A58E4A2" w:rsidR="00FD3D2F" w:rsidRDefault="00FD3D2F" w:rsidP="00FD3D2F">
      <w:pPr>
        <w:pStyle w:val="FootnoteText"/>
      </w:pPr>
      <w:r>
        <w:rPr>
          <w:rStyle w:val="FootnoteReference"/>
        </w:rPr>
        <w:footnoteRef/>
      </w:r>
      <w:r>
        <w:t xml:space="preserve"> Sonnekus 2023:196.</w:t>
      </w:r>
    </w:p>
  </w:footnote>
  <w:footnote w:id="348">
    <w:p w14:paraId="0B61D460" w14:textId="77777777" w:rsidR="006D09D3" w:rsidRDefault="006D09D3" w:rsidP="006D09D3">
      <w:pPr>
        <w:pStyle w:val="FootnoteText"/>
        <w:ind w:left="284" w:hanging="284"/>
      </w:pPr>
      <w:r>
        <w:rPr>
          <w:rStyle w:val="FootnoteReference"/>
        </w:rPr>
        <w:footnoteRef/>
      </w:r>
      <w:r>
        <w:t xml:space="preserve"> </w:t>
      </w:r>
      <w:r>
        <w:tab/>
      </w:r>
      <w:r w:rsidRPr="000D20D2">
        <w:rPr>
          <w:rFonts w:cs="Arial"/>
          <w:i/>
          <w:iCs/>
          <w:szCs w:val="24"/>
        </w:rPr>
        <w:t>Makhanya</w:t>
      </w:r>
      <w:r>
        <w:rPr>
          <w:rFonts w:cs="Arial"/>
          <w:i/>
          <w:iCs/>
          <w:szCs w:val="24"/>
        </w:rPr>
        <w:t xml:space="preserve"> v Minister of Finance &amp; Others</w:t>
      </w:r>
      <w:r>
        <w:rPr>
          <w:rFonts w:cs="Arial"/>
          <w:szCs w:val="24"/>
        </w:rPr>
        <w:t xml:space="preserve"> 2001 2 SA 1251 (D):1254C-D.</w:t>
      </w:r>
    </w:p>
  </w:footnote>
  <w:footnote w:id="349">
    <w:p w14:paraId="431D12C8" w14:textId="77777777" w:rsidR="006D09D3" w:rsidRDefault="006D09D3" w:rsidP="006D09D3">
      <w:pPr>
        <w:pStyle w:val="FootnoteText"/>
        <w:ind w:left="284" w:hanging="284"/>
      </w:pPr>
      <w:r>
        <w:rPr>
          <w:rStyle w:val="FootnoteReference"/>
        </w:rPr>
        <w:footnoteRef/>
      </w:r>
      <w:r>
        <w:t xml:space="preserve"> </w:t>
      </w:r>
      <w:r>
        <w:tab/>
      </w:r>
      <w:r w:rsidRPr="000D20D2">
        <w:rPr>
          <w:rFonts w:cs="Arial"/>
          <w:i/>
          <w:iCs/>
          <w:szCs w:val="24"/>
        </w:rPr>
        <w:t>Makhanya</w:t>
      </w:r>
      <w:r>
        <w:rPr>
          <w:rFonts w:cs="Arial"/>
          <w:i/>
          <w:iCs/>
          <w:szCs w:val="24"/>
        </w:rPr>
        <w:t xml:space="preserve"> v Minister of Finance &amp; Others</w:t>
      </w:r>
      <w:r>
        <w:rPr>
          <w:rFonts w:cs="Arial"/>
          <w:szCs w:val="24"/>
        </w:rPr>
        <w:t xml:space="preserve"> 2001 2 SA 1251 (D):1255A-B; De Waal &amp; Zimmerman 2011:185; De Waal 2008:1091.</w:t>
      </w:r>
    </w:p>
  </w:footnote>
  <w:footnote w:id="350">
    <w:p w14:paraId="4D666D6E" w14:textId="77777777" w:rsidR="006D09D3" w:rsidRDefault="006D09D3" w:rsidP="006D09D3">
      <w:pPr>
        <w:pStyle w:val="FootnoteText"/>
        <w:ind w:left="284" w:hanging="284"/>
      </w:pPr>
      <w:r>
        <w:rPr>
          <w:rStyle w:val="FootnoteReference"/>
        </w:rPr>
        <w:footnoteRef/>
      </w:r>
      <w:r>
        <w:t xml:space="preserve"> </w:t>
      </w:r>
      <w:r w:rsidRPr="00DE6CF6">
        <w:rPr>
          <w:rFonts w:cs="Arial"/>
          <w:i/>
          <w:iCs/>
          <w:szCs w:val="24"/>
        </w:rPr>
        <w:t>Nell</w:t>
      </w:r>
      <w:r>
        <w:rPr>
          <w:rFonts w:cs="Arial"/>
          <w:i/>
          <w:iCs/>
          <w:szCs w:val="24"/>
        </w:rPr>
        <w:t xml:space="preserve"> v Nell &amp; ‘n Ander </w:t>
      </w:r>
      <w:r w:rsidRPr="00DE6CF6">
        <w:rPr>
          <w:rFonts w:cs="Arial"/>
          <w:szCs w:val="24"/>
        </w:rPr>
        <w:t>197</w:t>
      </w:r>
      <w:r>
        <w:rPr>
          <w:rFonts w:cs="Arial"/>
          <w:szCs w:val="24"/>
        </w:rPr>
        <w:t>6 3 SA 700 (T):705A.</w:t>
      </w:r>
    </w:p>
  </w:footnote>
  <w:footnote w:id="351">
    <w:p w14:paraId="395EE0C2" w14:textId="230CB5BF" w:rsidR="00FD3D2F" w:rsidRDefault="00FD3D2F">
      <w:pPr>
        <w:pStyle w:val="FootnoteText"/>
      </w:pPr>
      <w:r>
        <w:rPr>
          <w:rStyle w:val="FootnoteReference"/>
        </w:rPr>
        <w:footnoteRef/>
      </w:r>
      <w:r>
        <w:t xml:space="preserve"> Sonnekus 2023:195.</w:t>
      </w:r>
    </w:p>
  </w:footnote>
  <w:footnote w:id="352">
    <w:p w14:paraId="6D80E894" w14:textId="77777777" w:rsidR="006D09D3" w:rsidRPr="00291585" w:rsidRDefault="006D09D3" w:rsidP="006D09D3">
      <w:pPr>
        <w:pStyle w:val="FootnoteText"/>
        <w:ind w:left="284" w:hanging="284"/>
        <w:rPr>
          <w:lang w:val="en-GB"/>
        </w:rPr>
      </w:pPr>
      <w:r>
        <w:rPr>
          <w:rStyle w:val="FootnoteReference"/>
        </w:rPr>
        <w:footnoteRef/>
      </w:r>
      <w:r>
        <w:t xml:space="preserve"> </w:t>
      </w:r>
      <w:r>
        <w:rPr>
          <w:i/>
          <w:iCs/>
        </w:rPr>
        <w:t>Intestate Succession Act</w:t>
      </w:r>
      <w:r>
        <w:t xml:space="preserve"> 81/1987:sec. 1(1)(c).</w:t>
      </w:r>
    </w:p>
  </w:footnote>
  <w:footnote w:id="353">
    <w:p w14:paraId="05676AE2" w14:textId="77777777" w:rsidR="006D09D3" w:rsidRPr="00291585" w:rsidRDefault="006D09D3" w:rsidP="006D09D3">
      <w:pPr>
        <w:pStyle w:val="FootnoteText"/>
        <w:ind w:left="284" w:hanging="284"/>
        <w:rPr>
          <w:lang w:val="en-GB"/>
        </w:rPr>
      </w:pPr>
      <w:r>
        <w:rPr>
          <w:rStyle w:val="FootnoteReference"/>
        </w:rPr>
        <w:footnoteRef/>
      </w:r>
      <w:r>
        <w:t xml:space="preserve"> </w:t>
      </w:r>
      <w:r>
        <w:rPr>
          <w:lang w:val="en-GB"/>
        </w:rPr>
        <w:t>De Waal &amp; Schoeman-Malan 2015:21.</w:t>
      </w:r>
    </w:p>
  </w:footnote>
  <w:footnote w:id="354">
    <w:p w14:paraId="3DF2AC60" w14:textId="391F5DE8" w:rsidR="000D6A28" w:rsidRPr="007861BE" w:rsidRDefault="000D6A28" w:rsidP="00E8612E">
      <w:pPr>
        <w:pStyle w:val="FootnoteText"/>
        <w:ind w:left="284" w:hanging="284"/>
      </w:pPr>
      <w:r>
        <w:rPr>
          <w:rStyle w:val="FootnoteReference"/>
        </w:rPr>
        <w:footnoteRef/>
      </w:r>
      <w:r>
        <w:t xml:space="preserve"> </w:t>
      </w:r>
      <w:r>
        <w:rPr>
          <w:i/>
          <w:iCs/>
        </w:rPr>
        <w:t xml:space="preserve">Gafin NO v Kavin </w:t>
      </w:r>
      <w:r>
        <w:t>1980 4 All SA 354(W):356.</w:t>
      </w:r>
    </w:p>
  </w:footnote>
  <w:footnote w:id="355">
    <w:p w14:paraId="50E8A469" w14:textId="141DA251" w:rsidR="000F7927" w:rsidRPr="000F7927" w:rsidRDefault="000F7927">
      <w:pPr>
        <w:pStyle w:val="FootnoteText"/>
        <w:rPr>
          <w:lang w:val="en-GB"/>
        </w:rPr>
      </w:pPr>
      <w:r>
        <w:rPr>
          <w:rStyle w:val="FootnoteReference"/>
        </w:rPr>
        <w:footnoteRef/>
      </w:r>
      <w:r>
        <w:t xml:space="preserve"> </w:t>
      </w:r>
      <w:r w:rsidR="005C2B29">
        <w:t>Schoeman-Malan 2013:122.</w:t>
      </w:r>
    </w:p>
  </w:footnote>
  <w:footnote w:id="356">
    <w:p w14:paraId="7D970EE0" w14:textId="77777777" w:rsidR="00E53297" w:rsidRPr="003B4467" w:rsidRDefault="00E53297" w:rsidP="00E8612E">
      <w:pPr>
        <w:pStyle w:val="FootnoteText"/>
        <w:ind w:left="284" w:hanging="284"/>
        <w:rPr>
          <w:lang w:val="en-GB"/>
        </w:rPr>
      </w:pPr>
      <w:r>
        <w:rPr>
          <w:rStyle w:val="FootnoteReference"/>
        </w:rPr>
        <w:footnoteRef/>
      </w:r>
      <w:r>
        <w:t xml:space="preserve"> </w:t>
      </w:r>
      <w:r>
        <w:tab/>
      </w:r>
      <w:r>
        <w:rPr>
          <w:lang w:val="en-GB"/>
        </w:rPr>
        <w:t>De Waal &amp; Zimmerman 2011:180-181.</w:t>
      </w:r>
    </w:p>
  </w:footnote>
  <w:footnote w:id="357">
    <w:p w14:paraId="1466E91D" w14:textId="572E4CA9" w:rsidR="000F7927" w:rsidRDefault="000F7927" w:rsidP="000F7927">
      <w:pPr>
        <w:pStyle w:val="FootnoteText"/>
        <w:ind w:left="284" w:hanging="284"/>
      </w:pPr>
      <w:r>
        <w:rPr>
          <w:rStyle w:val="FootnoteReference"/>
        </w:rPr>
        <w:footnoteRef/>
      </w:r>
      <w:r>
        <w:t xml:space="preserve"> </w:t>
      </w:r>
      <w:r w:rsidR="002D1506">
        <w:rPr>
          <w:lang w:val="en-GB"/>
        </w:rPr>
        <w:t>De Waal &amp; Zimmerman 2011:180.</w:t>
      </w:r>
    </w:p>
  </w:footnote>
  <w:footnote w:id="358">
    <w:p w14:paraId="6AF1C276" w14:textId="77777777" w:rsidR="00EF676A" w:rsidRDefault="00EF676A" w:rsidP="00EF676A">
      <w:pPr>
        <w:pStyle w:val="FootnoteText"/>
      </w:pPr>
      <w:r>
        <w:rPr>
          <w:rStyle w:val="FootnoteReference"/>
        </w:rPr>
        <w:footnoteRef/>
      </w:r>
      <w:r>
        <w:t xml:space="preserve"> </w:t>
      </w:r>
      <w:r>
        <w:rPr>
          <w:lang w:val="en-GB"/>
        </w:rPr>
        <w:t>De Waal &amp; Zimmerman 2011:181.</w:t>
      </w:r>
    </w:p>
  </w:footnote>
  <w:footnote w:id="359">
    <w:p w14:paraId="4F638E11" w14:textId="7F88BA4E" w:rsidR="002977D8" w:rsidRDefault="002977D8" w:rsidP="00E8612E">
      <w:pPr>
        <w:pStyle w:val="FootnoteText"/>
        <w:ind w:left="284" w:hanging="284"/>
      </w:pPr>
      <w:r>
        <w:rPr>
          <w:rStyle w:val="FootnoteReference"/>
        </w:rPr>
        <w:footnoteRef/>
      </w:r>
      <w:r>
        <w:t xml:space="preserve"> </w:t>
      </w:r>
      <w:r>
        <w:tab/>
        <w:t>Hofmeyr &amp; Paleker 2023:144</w:t>
      </w:r>
      <w:r w:rsidR="00DD2744">
        <w:t xml:space="preserve">; </w:t>
      </w:r>
      <w:r w:rsidR="001D3D14">
        <w:t xml:space="preserve">Barns &amp; Thompson 2014:125; </w:t>
      </w:r>
      <w:r w:rsidR="00DD2744">
        <w:t>Schoeman-Malan 2013:121.</w:t>
      </w:r>
    </w:p>
  </w:footnote>
  <w:footnote w:id="360">
    <w:p w14:paraId="3E4CEB54" w14:textId="77777777" w:rsidR="00411980" w:rsidRDefault="00411980" w:rsidP="00411980">
      <w:pPr>
        <w:pStyle w:val="FootnoteText"/>
      </w:pPr>
      <w:r>
        <w:rPr>
          <w:rStyle w:val="FootnoteReference"/>
        </w:rPr>
        <w:footnoteRef/>
      </w:r>
      <w:r>
        <w:t xml:space="preserve"> De Waal &amp; Zimmerman 2011:176.</w:t>
      </w:r>
    </w:p>
  </w:footnote>
  <w:footnote w:id="361">
    <w:p w14:paraId="69FB264F" w14:textId="5E4407FB" w:rsidR="00437791" w:rsidRDefault="00437791" w:rsidP="00E8612E">
      <w:pPr>
        <w:pStyle w:val="FootnoteText"/>
        <w:ind w:left="284" w:hanging="284"/>
      </w:pPr>
      <w:r>
        <w:rPr>
          <w:rStyle w:val="FootnoteReference"/>
        </w:rPr>
        <w:footnoteRef/>
      </w:r>
      <w:r>
        <w:t xml:space="preserve"> </w:t>
      </w:r>
      <w:r>
        <w:tab/>
      </w:r>
      <w:r w:rsidR="008972C0">
        <w:t xml:space="preserve">De Waal &amp; Zimmerman 2011:174; </w:t>
      </w:r>
      <w:r>
        <w:t xml:space="preserve">Lategan 2010:15; </w:t>
      </w:r>
      <w:r>
        <w:rPr>
          <w:i/>
          <w:iCs/>
        </w:rPr>
        <w:t xml:space="preserve">Ex parte Steenkamp &amp; Steenkamp </w:t>
      </w:r>
      <w:r w:rsidRPr="00244880">
        <w:t>1952 1 SA 744 (T)</w:t>
      </w:r>
      <w:r>
        <w:t>:753.</w:t>
      </w:r>
    </w:p>
  </w:footnote>
  <w:footnote w:id="362">
    <w:p w14:paraId="678FD46A" w14:textId="0E42BE10" w:rsidR="00660AB8" w:rsidRDefault="00660AB8">
      <w:pPr>
        <w:pStyle w:val="FootnoteText"/>
      </w:pPr>
      <w:r>
        <w:rPr>
          <w:rStyle w:val="FootnoteReference"/>
        </w:rPr>
        <w:footnoteRef/>
      </w:r>
      <w:r>
        <w:t xml:space="preserve"> </w:t>
      </w:r>
      <w:r>
        <w:rPr>
          <w:lang w:val="en-GB"/>
        </w:rPr>
        <w:t>De Waal &amp; Zimmerman 2011:180.</w:t>
      </w:r>
    </w:p>
  </w:footnote>
  <w:footnote w:id="363">
    <w:p w14:paraId="394DF9EB" w14:textId="77777777" w:rsidR="002977D8" w:rsidRPr="003E001B" w:rsidRDefault="002977D8" w:rsidP="00E8612E">
      <w:pPr>
        <w:pStyle w:val="FootnoteText"/>
        <w:ind w:left="284" w:hanging="284"/>
      </w:pPr>
      <w:r w:rsidRPr="003E001B">
        <w:rPr>
          <w:rStyle w:val="FootnoteReference"/>
        </w:rPr>
        <w:footnoteRef/>
      </w:r>
      <w:r w:rsidRPr="003E001B">
        <w:t xml:space="preserve"> </w:t>
      </w:r>
      <w:r w:rsidRPr="003E001B">
        <w:tab/>
      </w:r>
      <w:r>
        <w:rPr>
          <w:i/>
          <w:iCs/>
        </w:rPr>
        <w:t xml:space="preserve">Gafin NO v Kavin </w:t>
      </w:r>
      <w:r>
        <w:t>1980 4 All SA 354 (W):354.</w:t>
      </w:r>
    </w:p>
  </w:footnote>
  <w:footnote w:id="364">
    <w:p w14:paraId="5EE6CAD5" w14:textId="7F4297FC" w:rsidR="007A3886" w:rsidRDefault="007A3886">
      <w:pPr>
        <w:pStyle w:val="FootnoteText"/>
      </w:pPr>
      <w:r>
        <w:rPr>
          <w:rStyle w:val="FootnoteReference"/>
        </w:rPr>
        <w:footnoteRef/>
      </w:r>
      <w:r>
        <w:t xml:space="preserve"> </w:t>
      </w:r>
      <w:r>
        <w:rPr>
          <w:rFonts w:cs="Arial"/>
          <w:szCs w:val="24"/>
        </w:rPr>
        <w:t>De Waal &amp; Zimmerman 2011:181.</w:t>
      </w:r>
    </w:p>
  </w:footnote>
  <w:footnote w:id="365">
    <w:p w14:paraId="6FAE57D8" w14:textId="5F5F9E3E" w:rsidR="003D0CDC" w:rsidRDefault="003D0CDC">
      <w:pPr>
        <w:pStyle w:val="FootnoteText"/>
      </w:pPr>
      <w:r>
        <w:rPr>
          <w:rStyle w:val="FootnoteReference"/>
        </w:rPr>
        <w:footnoteRef/>
      </w:r>
      <w:r>
        <w:t xml:space="preserve"> </w:t>
      </w:r>
      <w:r>
        <w:rPr>
          <w:lang w:val="en-GB"/>
        </w:rPr>
        <w:t>De Waal &amp; Zimmerman 2011:180.</w:t>
      </w:r>
    </w:p>
  </w:footnote>
  <w:footnote w:id="366">
    <w:p w14:paraId="6EA25FFF" w14:textId="39E21DFF" w:rsidR="00BE6BE5" w:rsidRDefault="00BE6BE5">
      <w:pPr>
        <w:pStyle w:val="FootnoteText"/>
      </w:pPr>
      <w:r>
        <w:rPr>
          <w:rStyle w:val="FootnoteReference"/>
        </w:rPr>
        <w:footnoteRef/>
      </w:r>
      <w:r>
        <w:t xml:space="preserve"> </w:t>
      </w:r>
      <w:r>
        <w:rPr>
          <w:lang w:val="en-GB"/>
        </w:rPr>
        <w:t>Schoeman-Malan 2013:131.</w:t>
      </w:r>
    </w:p>
  </w:footnote>
  <w:footnote w:id="367">
    <w:p w14:paraId="7F797ABE" w14:textId="2501948F" w:rsidR="002977D8" w:rsidRDefault="002977D8" w:rsidP="00E8612E">
      <w:pPr>
        <w:pStyle w:val="FootnoteText"/>
        <w:ind w:left="284" w:hanging="284"/>
      </w:pPr>
      <w:r>
        <w:rPr>
          <w:rStyle w:val="FootnoteReference"/>
        </w:rPr>
        <w:footnoteRef/>
      </w:r>
      <w:r>
        <w:t xml:space="preserve"> </w:t>
      </w:r>
      <w:r>
        <w:rPr>
          <w:i/>
          <w:iCs/>
        </w:rPr>
        <w:t xml:space="preserve">Gafin NO v Kavin </w:t>
      </w:r>
      <w:r>
        <w:t>1980 4 All SA 354 (W):356</w:t>
      </w:r>
      <w:r w:rsidR="00EA5209">
        <w:t>;</w:t>
      </w:r>
      <w:r w:rsidR="009E7DD5">
        <w:t xml:space="preserve"> </w:t>
      </w:r>
      <w:r w:rsidR="009E3D6D">
        <w:t>Hofmeyr &amp; Paleker</w:t>
      </w:r>
      <w:r w:rsidR="009E7DD5">
        <w:t xml:space="preserve"> 2023:</w:t>
      </w:r>
      <w:r w:rsidR="009E3D6D">
        <w:t>142</w:t>
      </w:r>
      <w:r w:rsidR="00EA5209">
        <w:t>;</w:t>
      </w:r>
      <w:r w:rsidR="00D60DA3">
        <w:t xml:space="preserve"> </w:t>
      </w:r>
      <w:r w:rsidR="00EA5209">
        <w:t xml:space="preserve">Malherbe 2016:26; </w:t>
      </w:r>
      <w:r w:rsidR="00D60DA3">
        <w:t>De Waal &amp; Zimmerman 2011:181.</w:t>
      </w:r>
    </w:p>
  </w:footnote>
  <w:footnote w:id="368">
    <w:p w14:paraId="32DE11D7" w14:textId="4DBA28E7" w:rsidR="00D2426E" w:rsidRDefault="00D2426E" w:rsidP="00E8612E">
      <w:pPr>
        <w:pStyle w:val="FootnoteText"/>
        <w:ind w:left="284" w:hanging="284"/>
      </w:pPr>
      <w:r>
        <w:rPr>
          <w:rStyle w:val="FootnoteReference"/>
        </w:rPr>
        <w:footnoteRef/>
      </w:r>
      <w:r>
        <w:t xml:space="preserve"> </w:t>
      </w:r>
      <w:r>
        <w:rPr>
          <w:rFonts w:cs="Arial"/>
          <w:i/>
          <w:iCs/>
          <w:szCs w:val="24"/>
        </w:rPr>
        <w:t>Ex parte Meier &amp; Andere</w:t>
      </w:r>
      <w:r>
        <w:rPr>
          <w:rFonts w:cs="Arial"/>
          <w:szCs w:val="24"/>
        </w:rPr>
        <w:t xml:space="preserve"> 1980 3 SA 154 (T)</w:t>
      </w:r>
      <w:r w:rsidR="00B510DE">
        <w:rPr>
          <w:rFonts w:cs="Arial"/>
          <w:szCs w:val="24"/>
        </w:rPr>
        <w:t>:156F-G.</w:t>
      </w:r>
    </w:p>
  </w:footnote>
  <w:footnote w:id="369">
    <w:p w14:paraId="4A129901" w14:textId="3325C28E" w:rsidR="00046315" w:rsidRPr="00046315" w:rsidRDefault="00046315" w:rsidP="00E8612E">
      <w:pPr>
        <w:pStyle w:val="FootnoteText"/>
        <w:ind w:left="284" w:hanging="284"/>
        <w:rPr>
          <w:lang w:val="en-US"/>
        </w:rPr>
      </w:pPr>
      <w:r>
        <w:rPr>
          <w:rStyle w:val="FootnoteReference"/>
        </w:rPr>
        <w:footnoteRef/>
      </w:r>
      <w:r>
        <w:t xml:space="preserve"> </w:t>
      </w:r>
      <w:r w:rsidRPr="00046315">
        <w:rPr>
          <w:i/>
          <w:iCs/>
        </w:rPr>
        <w:t>Gafin NO v Kavin</w:t>
      </w:r>
      <w:r w:rsidRPr="00046315">
        <w:t xml:space="preserve"> 1980 4 All SA 354 (W)</w:t>
      </w:r>
      <w:r w:rsidR="00A33DBF">
        <w:t>:357.</w:t>
      </w:r>
    </w:p>
  </w:footnote>
  <w:footnote w:id="370">
    <w:p w14:paraId="320F25AE" w14:textId="5476DDD0" w:rsidR="00F00035" w:rsidRPr="00F00035" w:rsidRDefault="00F00035" w:rsidP="00E8612E">
      <w:pPr>
        <w:pStyle w:val="FootnoteText"/>
        <w:ind w:left="284" w:hanging="284"/>
        <w:rPr>
          <w:lang w:val="en-US"/>
        </w:rPr>
      </w:pPr>
      <w:r>
        <w:rPr>
          <w:rStyle w:val="FootnoteReference"/>
        </w:rPr>
        <w:footnoteRef/>
      </w:r>
      <w:r>
        <w:t xml:space="preserve"> </w:t>
      </w:r>
      <w:r w:rsidRPr="00F00035">
        <w:rPr>
          <w:i/>
          <w:iCs/>
        </w:rPr>
        <w:t>Gafin NO v Kavin</w:t>
      </w:r>
      <w:r w:rsidRPr="00F00035">
        <w:t xml:space="preserve"> 1980 4 All SA 354 (W):3</w:t>
      </w:r>
    </w:p>
  </w:footnote>
  <w:footnote w:id="371">
    <w:p w14:paraId="1FC1D3B0" w14:textId="77777777" w:rsidR="00143F8F" w:rsidRDefault="00143F8F" w:rsidP="00E8612E">
      <w:pPr>
        <w:pStyle w:val="FootnoteText"/>
        <w:ind w:left="284" w:hanging="284"/>
      </w:pPr>
      <w:r>
        <w:rPr>
          <w:rStyle w:val="FootnoteReference"/>
        </w:rPr>
        <w:footnoteRef/>
      </w:r>
      <w:r>
        <w:t xml:space="preserve"> </w:t>
      </w:r>
      <w:r>
        <w:tab/>
        <w:t>Lategan 2010:9.</w:t>
      </w:r>
    </w:p>
  </w:footnote>
  <w:footnote w:id="372">
    <w:p w14:paraId="7B1AC9D4" w14:textId="77777777" w:rsidR="00143F8F" w:rsidRPr="00826DF5" w:rsidRDefault="00143F8F" w:rsidP="00E8612E">
      <w:pPr>
        <w:pStyle w:val="FootnoteText"/>
        <w:ind w:left="284" w:hanging="284"/>
        <w:rPr>
          <w:lang w:val="en-GB"/>
        </w:rPr>
      </w:pPr>
      <w:r>
        <w:rPr>
          <w:rStyle w:val="FootnoteReference"/>
        </w:rPr>
        <w:footnoteRef/>
      </w:r>
      <w:r>
        <w:t xml:space="preserve"> Van der Walt &amp; Sonnekus 1981:43</w:t>
      </w:r>
    </w:p>
  </w:footnote>
  <w:footnote w:id="373">
    <w:p w14:paraId="4C670AF6" w14:textId="1E1E2C16" w:rsidR="00D77753" w:rsidRPr="00D77753" w:rsidRDefault="00D77753" w:rsidP="00E8612E">
      <w:pPr>
        <w:pStyle w:val="FootnoteText"/>
        <w:ind w:left="284" w:hanging="284"/>
        <w:rPr>
          <w:lang w:val="en-GB"/>
        </w:rPr>
      </w:pPr>
      <w:r>
        <w:rPr>
          <w:rStyle w:val="FootnoteReference"/>
        </w:rPr>
        <w:footnoteRef/>
      </w:r>
      <w:r>
        <w:t xml:space="preserve"> </w:t>
      </w:r>
      <w:r>
        <w:rPr>
          <w:lang w:val="en-GB"/>
        </w:rPr>
        <w:t>Hofmeyr&amp; Paleker 2023:145.</w:t>
      </w:r>
    </w:p>
  </w:footnote>
  <w:footnote w:id="374">
    <w:p w14:paraId="07088251" w14:textId="01316B20" w:rsidR="00491988" w:rsidRPr="00491988" w:rsidRDefault="00491988" w:rsidP="00E8612E">
      <w:pPr>
        <w:pStyle w:val="FootnoteText"/>
        <w:ind w:left="284" w:hanging="284"/>
        <w:rPr>
          <w:lang w:val="en-GB"/>
        </w:rPr>
      </w:pPr>
      <w:r>
        <w:rPr>
          <w:rStyle w:val="FootnoteReference"/>
        </w:rPr>
        <w:footnoteRef/>
      </w:r>
      <w:r>
        <w:t xml:space="preserve"> </w:t>
      </w:r>
      <w:r>
        <w:rPr>
          <w:i/>
          <w:iCs/>
          <w:lang w:val="en-GB"/>
        </w:rPr>
        <w:t xml:space="preserve">Maqubela &amp; Another </w:t>
      </w:r>
      <w:r w:rsidR="00FD4EC5">
        <w:rPr>
          <w:i/>
          <w:iCs/>
          <w:lang w:val="en-GB"/>
        </w:rPr>
        <w:t xml:space="preserve">v </w:t>
      </w:r>
      <w:r>
        <w:rPr>
          <w:i/>
          <w:iCs/>
          <w:lang w:val="en-GB"/>
        </w:rPr>
        <w:t xml:space="preserve">The Master &amp; Others </w:t>
      </w:r>
      <w:r>
        <w:rPr>
          <w:lang w:val="en-GB"/>
        </w:rPr>
        <w:t>2022 6 SA 40</w:t>
      </w:r>
      <w:r w:rsidR="00382144">
        <w:rPr>
          <w:lang w:val="en-GB"/>
        </w:rPr>
        <w:t>8</w:t>
      </w:r>
      <w:r>
        <w:rPr>
          <w:lang w:val="en-GB"/>
        </w:rPr>
        <w:t xml:space="preserve"> (GJ):par. 53.</w:t>
      </w:r>
    </w:p>
  </w:footnote>
  <w:footnote w:id="375">
    <w:p w14:paraId="5591A8D8" w14:textId="77777777" w:rsidR="001B0B6B" w:rsidRPr="00A11EFE" w:rsidRDefault="001B0B6B" w:rsidP="001B0B6B">
      <w:pPr>
        <w:pStyle w:val="FootnoteText"/>
        <w:ind w:left="284" w:hanging="284"/>
        <w:rPr>
          <w:lang w:val="en-US"/>
        </w:rPr>
      </w:pPr>
      <w:r>
        <w:rPr>
          <w:rStyle w:val="FootnoteReference"/>
        </w:rPr>
        <w:footnoteRef/>
      </w:r>
      <w:r>
        <w:t xml:space="preserve"> </w:t>
      </w:r>
      <w:r>
        <w:rPr>
          <w:i/>
          <w:iCs/>
        </w:rPr>
        <w:t>Leeb &amp; Another v Leeb &amp; Another</w:t>
      </w:r>
      <w:r>
        <w:t xml:space="preserve"> 1999 2 All SA 588 (N):</w:t>
      </w:r>
      <w:r>
        <w:rPr>
          <w:lang w:val="en-US"/>
        </w:rPr>
        <w:t>59H-I; Malherbe 2016:33.</w:t>
      </w:r>
    </w:p>
  </w:footnote>
  <w:footnote w:id="376">
    <w:p w14:paraId="50074793" w14:textId="77777777" w:rsidR="001B0B6B" w:rsidRPr="00A11EFE" w:rsidRDefault="001B0B6B" w:rsidP="001B0B6B">
      <w:pPr>
        <w:pStyle w:val="FootnoteText"/>
        <w:ind w:left="284" w:hanging="284"/>
        <w:rPr>
          <w:lang w:val="en-US"/>
        </w:rPr>
      </w:pPr>
      <w:r>
        <w:rPr>
          <w:rStyle w:val="FootnoteReference"/>
        </w:rPr>
        <w:footnoteRef/>
      </w:r>
      <w:r>
        <w:t xml:space="preserve"> </w:t>
      </w:r>
      <w:r>
        <w:rPr>
          <w:i/>
          <w:iCs/>
        </w:rPr>
        <w:t>Leeb &amp; Another v Leeb &amp; Another</w:t>
      </w:r>
      <w:r>
        <w:t xml:space="preserve"> 1999 2 All SA 588 (N</w:t>
      </w:r>
      <w:r w:rsidRPr="009459CA">
        <w:t>)</w:t>
      </w:r>
      <w:r w:rsidRPr="009459CA">
        <w:rPr>
          <w:lang w:val="en-US"/>
        </w:rPr>
        <w:t>; Malherbe 2016:34.</w:t>
      </w:r>
    </w:p>
  </w:footnote>
  <w:footnote w:id="377">
    <w:p w14:paraId="6EEC9804" w14:textId="232C4626" w:rsidR="00A80E8C" w:rsidRPr="00A80E8C" w:rsidRDefault="00A80E8C" w:rsidP="00E8612E">
      <w:pPr>
        <w:pStyle w:val="FootnoteText"/>
        <w:ind w:left="284" w:hanging="284"/>
        <w:rPr>
          <w:lang w:val="en-GB"/>
        </w:rPr>
      </w:pPr>
      <w:r w:rsidRPr="00EA5209">
        <w:rPr>
          <w:rStyle w:val="FootnoteReference"/>
        </w:rPr>
        <w:footnoteRef/>
      </w:r>
      <w:r w:rsidRPr="00EA5209">
        <w:t xml:space="preserve"> </w:t>
      </w:r>
      <w:r w:rsidRPr="00EA5209">
        <w:rPr>
          <w:lang w:val="en-GB"/>
        </w:rPr>
        <w:t>See 3.4 above.</w:t>
      </w:r>
    </w:p>
  </w:footnote>
  <w:footnote w:id="378">
    <w:p w14:paraId="7B8B8076" w14:textId="69375321" w:rsidR="000B5D27" w:rsidRPr="00B276CB" w:rsidRDefault="000B5D27" w:rsidP="00E8612E">
      <w:pPr>
        <w:pStyle w:val="FootnoteText"/>
        <w:ind w:left="284" w:hanging="284"/>
      </w:pPr>
      <w:r>
        <w:rPr>
          <w:rStyle w:val="FootnoteReference"/>
        </w:rPr>
        <w:footnoteRef/>
      </w:r>
      <w:r>
        <w:t xml:space="preserve"> </w:t>
      </w:r>
      <w:r w:rsidR="00CF5F41" w:rsidRPr="00E91EB8">
        <w:rPr>
          <w:rFonts w:cs="Arial"/>
          <w:i/>
          <w:iCs/>
          <w:szCs w:val="24"/>
        </w:rPr>
        <w:t>Taylor v Pim</w:t>
      </w:r>
      <w:r w:rsidR="00CF5F41">
        <w:rPr>
          <w:rFonts w:cs="Arial"/>
          <w:i/>
          <w:iCs/>
          <w:szCs w:val="24"/>
        </w:rPr>
        <w:t xml:space="preserve"> </w:t>
      </w:r>
      <w:r w:rsidR="00CF5F41">
        <w:rPr>
          <w:rFonts w:cs="Arial"/>
          <w:szCs w:val="24"/>
        </w:rPr>
        <w:t xml:space="preserve">1903 24 NLR 484:493; </w:t>
      </w:r>
      <w:r>
        <w:rPr>
          <w:i/>
          <w:iCs/>
        </w:rPr>
        <w:t xml:space="preserve">Danielz NO v De Wet </w:t>
      </w:r>
      <w:r>
        <w:t>2009 6 SA 42 (C):50D.</w:t>
      </w:r>
    </w:p>
  </w:footnote>
  <w:footnote w:id="379">
    <w:p w14:paraId="31CC282D" w14:textId="7E88C000" w:rsidR="000B5D27" w:rsidRDefault="000B5D27" w:rsidP="00E8612E">
      <w:pPr>
        <w:pStyle w:val="FootnoteText"/>
        <w:ind w:left="284" w:hanging="284"/>
      </w:pPr>
      <w:r>
        <w:rPr>
          <w:rStyle w:val="FootnoteReference"/>
        </w:rPr>
        <w:footnoteRef/>
      </w:r>
      <w:r>
        <w:t xml:space="preserve"> </w:t>
      </w:r>
      <w:r w:rsidR="00C21661" w:rsidRPr="00F23B2A">
        <w:rPr>
          <w:i/>
          <w:iCs/>
        </w:rPr>
        <w:t>Ex parte Steenkamp &amp; Steenkamp</w:t>
      </w:r>
      <w:r w:rsidR="00C21661">
        <w:t xml:space="preserve"> 1952 1 SA 744 (T)</w:t>
      </w:r>
      <w:r>
        <w:t>:750G.</w:t>
      </w:r>
    </w:p>
  </w:footnote>
  <w:footnote w:id="380">
    <w:p w14:paraId="7EB57821" w14:textId="38BABA1A" w:rsidR="00A23754" w:rsidRPr="00A23754" w:rsidRDefault="00A23754" w:rsidP="00A23754">
      <w:pPr>
        <w:pStyle w:val="FootnoteText"/>
        <w:ind w:left="284" w:hanging="284"/>
        <w:rPr>
          <w:lang w:val="en-GB"/>
        </w:rPr>
      </w:pPr>
      <w:r>
        <w:rPr>
          <w:rStyle w:val="FootnoteReference"/>
        </w:rPr>
        <w:footnoteRef/>
      </w:r>
      <w:r>
        <w:t xml:space="preserve"> Punishment is a remedy confined to criminal law, which aims to punish convicted criminals by way of </w:t>
      </w:r>
      <w:r w:rsidRPr="00E40443">
        <w:rPr>
          <w:rFonts w:cs="Arial"/>
          <w:szCs w:val="24"/>
        </w:rPr>
        <w:t>retribution, prevention, deterrence, or rehabilitation.</w:t>
      </w:r>
      <w:r>
        <w:rPr>
          <w:rFonts w:cs="Arial"/>
          <w:szCs w:val="24"/>
        </w:rPr>
        <w:t xml:space="preserve"> See</w:t>
      </w:r>
      <w:r>
        <w:t xml:space="preserve"> </w:t>
      </w:r>
      <w:r>
        <w:rPr>
          <w:lang w:val="en-GB"/>
        </w:rPr>
        <w:t>Snyman 2002:6.</w:t>
      </w:r>
    </w:p>
  </w:footnote>
  <w:footnote w:id="381">
    <w:p w14:paraId="5E5EE615" w14:textId="77777777" w:rsidR="000212AC" w:rsidRPr="00FA3C7A" w:rsidRDefault="000212AC" w:rsidP="000212AC">
      <w:pPr>
        <w:pStyle w:val="FootnoteText"/>
        <w:ind w:left="284" w:hanging="284"/>
      </w:pPr>
      <w:r w:rsidRPr="00FA3C7A">
        <w:rPr>
          <w:rStyle w:val="FootnoteReference"/>
        </w:rPr>
        <w:footnoteRef/>
      </w:r>
      <w:r w:rsidRPr="00FA3C7A">
        <w:t xml:space="preserve"> See par 1.3 above.</w:t>
      </w:r>
    </w:p>
  </w:footnote>
  <w:footnote w:id="382">
    <w:p w14:paraId="667CE80E" w14:textId="0D9EDCEB" w:rsidR="00883634" w:rsidRPr="00883634" w:rsidRDefault="00883634">
      <w:pPr>
        <w:pStyle w:val="FootnoteText"/>
        <w:rPr>
          <w:lang w:val="en-GB"/>
        </w:rPr>
      </w:pPr>
      <w:r w:rsidRPr="00FA3C7A">
        <w:rPr>
          <w:rStyle w:val="FootnoteReference"/>
        </w:rPr>
        <w:footnoteRef/>
      </w:r>
      <w:r w:rsidRPr="00FA3C7A">
        <w:t xml:space="preserve"> </w:t>
      </w:r>
      <w:r w:rsidRPr="00FA3C7A">
        <w:rPr>
          <w:lang w:val="en-GB"/>
        </w:rPr>
        <w:t>Neethling &amp; Potgieter 2015</w:t>
      </w:r>
      <w:r>
        <w:rPr>
          <w:lang w:val="en-GB"/>
        </w:rPr>
        <w:t>:221.</w:t>
      </w:r>
    </w:p>
  </w:footnote>
  <w:footnote w:id="383">
    <w:p w14:paraId="4985315D" w14:textId="5D3B2844" w:rsidR="006B4C59" w:rsidRPr="006B4C59" w:rsidRDefault="006B4C59" w:rsidP="006B4C59">
      <w:pPr>
        <w:pStyle w:val="FootnoteText"/>
        <w:ind w:left="284" w:hanging="284"/>
        <w:rPr>
          <w:lang w:val="en-GB"/>
        </w:rPr>
      </w:pPr>
      <w:r>
        <w:rPr>
          <w:rStyle w:val="FootnoteReference"/>
        </w:rPr>
        <w:footnoteRef/>
      </w:r>
      <w:r>
        <w:t xml:space="preserve"> Neethling &amp; Potgieter 2015:221. “Damages is a monetary equivalent of damage awarded to a person with the object of eliminating as fully as possible his past as well as future … damage.” Compensation thus returns an aggrieved person to the financial position they would have been in had the detrimental event not occurred (see Snyman 2002:6).</w:t>
      </w:r>
    </w:p>
  </w:footnote>
  <w:footnote w:id="384">
    <w:p w14:paraId="081100CD" w14:textId="5BF3BA33" w:rsidR="006B4C59" w:rsidRPr="0094645E" w:rsidRDefault="006B4C59" w:rsidP="006B4C59">
      <w:pPr>
        <w:pStyle w:val="FootnoteText"/>
        <w:ind w:left="284" w:hanging="284"/>
        <w:rPr>
          <w:lang w:val="en-GB"/>
        </w:rPr>
      </w:pPr>
      <w:r>
        <w:rPr>
          <w:rStyle w:val="FootnoteReference"/>
        </w:rPr>
        <w:footnoteRef/>
      </w:r>
      <w:r>
        <w:t xml:space="preserve"> Neethling &amp; Potgieter 2015:221. Satisfaction is paid in instances where </w:t>
      </w:r>
      <w:r w:rsidR="0094645E">
        <w:t xml:space="preserve">there is no monetary equivalent of the </w:t>
      </w:r>
      <w:r>
        <w:t>impaired interest</w:t>
      </w:r>
      <w:r w:rsidR="0094645E">
        <w:t>.</w:t>
      </w:r>
    </w:p>
  </w:footnote>
  <w:footnote w:id="385">
    <w:p w14:paraId="517CE639" w14:textId="2A4786DE" w:rsidR="00AB6E01" w:rsidRDefault="00AB6E01" w:rsidP="00E8612E">
      <w:pPr>
        <w:pStyle w:val="FootnoteText"/>
        <w:ind w:left="284" w:hanging="284"/>
      </w:pPr>
      <w:r>
        <w:rPr>
          <w:rStyle w:val="FootnoteReference"/>
        </w:rPr>
        <w:footnoteRef/>
      </w:r>
      <w:r>
        <w:t xml:space="preserve"> </w:t>
      </w:r>
      <w:r>
        <w:tab/>
      </w:r>
      <w:r w:rsidRPr="0017222D">
        <w:rPr>
          <w:i/>
          <w:iCs/>
        </w:rPr>
        <w:t>Criminal Procedure Act</w:t>
      </w:r>
      <w:r>
        <w:t xml:space="preserve"> 51/1977:sec. 342; </w:t>
      </w:r>
      <w:r>
        <w:rPr>
          <w:i/>
          <w:iCs/>
        </w:rPr>
        <w:t xml:space="preserve">Groenewald NO and Another v Swanepoel </w:t>
      </w:r>
      <w:r w:rsidRPr="00244880">
        <w:t>2002 6 SA 724 (E):</w:t>
      </w:r>
      <w:r w:rsidR="00F06FC8">
        <w:t xml:space="preserve"> </w:t>
      </w:r>
      <w:r w:rsidRPr="00244880">
        <w:t>728</w:t>
      </w:r>
      <w:r>
        <w:t>F; Jamneck &amp; Rautenbach 2023:126-127.</w:t>
      </w:r>
    </w:p>
  </w:footnote>
  <w:footnote w:id="386">
    <w:p w14:paraId="6BD6DCEC" w14:textId="77777777" w:rsidR="00AB6E01" w:rsidRPr="00B77E60" w:rsidRDefault="00AB6E01" w:rsidP="00E8612E">
      <w:pPr>
        <w:pStyle w:val="FootnoteText"/>
        <w:ind w:left="284" w:hanging="284"/>
      </w:pPr>
      <w:r w:rsidRPr="00B77E60">
        <w:rPr>
          <w:rStyle w:val="FootnoteReference"/>
        </w:rPr>
        <w:footnoteRef/>
      </w:r>
      <w:r w:rsidRPr="00B77E60">
        <w:t xml:space="preserve"> </w:t>
      </w:r>
      <w:r w:rsidRPr="00B77E60">
        <w:tab/>
        <w:t>Neethling &amp; Potgieter 2015:3.</w:t>
      </w:r>
    </w:p>
  </w:footnote>
  <w:footnote w:id="387">
    <w:p w14:paraId="2684D2CB" w14:textId="77777777" w:rsidR="00402219" w:rsidRPr="00956F16" w:rsidRDefault="00402219" w:rsidP="00402219">
      <w:pPr>
        <w:pStyle w:val="FootnoteText"/>
        <w:rPr>
          <w:lang w:val="en-GB"/>
        </w:rPr>
      </w:pPr>
      <w:r>
        <w:rPr>
          <w:rStyle w:val="FootnoteReference"/>
        </w:rPr>
        <w:footnoteRef/>
      </w:r>
      <w:r>
        <w:rPr>
          <w:lang w:val="en-GB"/>
        </w:rPr>
        <w:t xml:space="preserve"> Snyman 2002:6; </w:t>
      </w:r>
      <w:r>
        <w:rPr>
          <w:rFonts w:cs="Arial"/>
          <w:szCs w:val="24"/>
        </w:rPr>
        <w:t>Schoeman-Malan 2013:132.</w:t>
      </w:r>
    </w:p>
  </w:footnote>
  <w:footnote w:id="388">
    <w:p w14:paraId="2CE63F26" w14:textId="77777777" w:rsidR="00AB6E01" w:rsidRDefault="00AB6E01" w:rsidP="00E8612E">
      <w:pPr>
        <w:pStyle w:val="FootnoteText"/>
        <w:ind w:left="284" w:hanging="284"/>
      </w:pPr>
      <w:r>
        <w:rPr>
          <w:rStyle w:val="FootnoteReference"/>
        </w:rPr>
        <w:footnoteRef/>
      </w:r>
      <w:r>
        <w:t xml:space="preserve"> </w:t>
      </w:r>
      <w:r>
        <w:tab/>
        <w:t xml:space="preserve">Corbett </w:t>
      </w:r>
      <w:r>
        <w:rPr>
          <w:i/>
          <w:iCs/>
        </w:rPr>
        <w:t>et al</w:t>
      </w:r>
      <w:r>
        <w:t>. 2020:6; Erasmus &amp; De Waal 1989:3.</w:t>
      </w:r>
    </w:p>
  </w:footnote>
  <w:footnote w:id="389">
    <w:p w14:paraId="1811608F" w14:textId="77777777" w:rsidR="00AB6E01" w:rsidRDefault="00AB6E01" w:rsidP="00E8612E">
      <w:pPr>
        <w:pStyle w:val="FootnoteText"/>
        <w:ind w:left="284" w:hanging="284"/>
      </w:pPr>
      <w:r>
        <w:rPr>
          <w:rStyle w:val="FootnoteReference"/>
        </w:rPr>
        <w:footnoteRef/>
      </w:r>
      <w:r>
        <w:t xml:space="preserve"> </w:t>
      </w:r>
      <w:r>
        <w:tab/>
      </w:r>
      <w:r w:rsidRPr="005B04B1">
        <w:rPr>
          <w:rFonts w:cs="Arial"/>
          <w:i/>
          <w:iCs/>
        </w:rPr>
        <w:t xml:space="preserve">Fourie v Naranjo and Another </w:t>
      </w:r>
      <w:r w:rsidRPr="00DF0B09">
        <w:rPr>
          <w:rFonts w:cs="Arial"/>
        </w:rPr>
        <w:t>2008 1 SA 192 (C):</w:t>
      </w:r>
      <w:r>
        <w:rPr>
          <w:rFonts w:cs="Arial"/>
        </w:rPr>
        <w:t>202C-D.</w:t>
      </w:r>
    </w:p>
  </w:footnote>
  <w:footnote w:id="390">
    <w:p w14:paraId="7057C0A6" w14:textId="79DE60E3" w:rsidR="0058637A" w:rsidRPr="0058637A" w:rsidRDefault="0058637A">
      <w:pPr>
        <w:pStyle w:val="FootnoteText"/>
        <w:rPr>
          <w:lang w:val="en-GB"/>
        </w:rPr>
      </w:pPr>
      <w:r>
        <w:rPr>
          <w:rStyle w:val="FootnoteReference"/>
        </w:rPr>
        <w:footnoteRef/>
      </w:r>
      <w:r>
        <w:t xml:space="preserve"> </w:t>
      </w:r>
      <w:r>
        <w:rPr>
          <w:lang w:val="en-GB"/>
        </w:rPr>
        <w:t>Neethling &amp; Potgieter 2015:235.</w:t>
      </w:r>
    </w:p>
  </w:footnote>
  <w:footnote w:id="391">
    <w:p w14:paraId="17AA7BFF" w14:textId="3BD383B9" w:rsidR="000212AC" w:rsidRPr="000212AC" w:rsidRDefault="000212AC">
      <w:pPr>
        <w:pStyle w:val="FootnoteText"/>
        <w:rPr>
          <w:lang w:val="en-GB"/>
        </w:rPr>
      </w:pPr>
      <w:r>
        <w:rPr>
          <w:rStyle w:val="FootnoteReference"/>
        </w:rPr>
        <w:footnoteRef/>
      </w:r>
      <w:r>
        <w:t xml:space="preserve"> </w:t>
      </w:r>
      <w:r w:rsidR="00077F92" w:rsidRPr="00F06FC8">
        <w:rPr>
          <w:i/>
          <w:iCs/>
        </w:rPr>
        <w:t>Prescription Act</w:t>
      </w:r>
      <w:r w:rsidR="00077F92">
        <w:t xml:space="preserve"> 68/1969:sec. 11(d).</w:t>
      </w:r>
    </w:p>
  </w:footnote>
  <w:footnote w:id="392">
    <w:p w14:paraId="49F53796" w14:textId="77777777" w:rsidR="002977D8" w:rsidRPr="00CD4901" w:rsidRDefault="002977D8" w:rsidP="00F6619E">
      <w:pPr>
        <w:pStyle w:val="FootnoteText"/>
        <w:ind w:left="284" w:hanging="284"/>
      </w:pPr>
      <w:r w:rsidRPr="00CD4901">
        <w:rPr>
          <w:rStyle w:val="FootnoteReference"/>
        </w:rPr>
        <w:footnoteRef/>
      </w:r>
      <w:r w:rsidRPr="00CD4901">
        <w:t xml:space="preserve"> </w:t>
      </w:r>
      <w:r w:rsidRPr="00CD4901">
        <w:tab/>
        <w:t>Neethling &amp; Potgieter 2015:221.</w:t>
      </w:r>
    </w:p>
  </w:footnote>
  <w:footnote w:id="393">
    <w:p w14:paraId="5F626462" w14:textId="77777777" w:rsidR="002977D8" w:rsidRPr="00CD4901" w:rsidRDefault="002977D8" w:rsidP="00F6619E">
      <w:pPr>
        <w:pStyle w:val="FootnoteText"/>
        <w:ind w:left="284" w:hanging="284"/>
      </w:pPr>
      <w:r w:rsidRPr="00CD4901">
        <w:rPr>
          <w:rStyle w:val="FootnoteReference"/>
        </w:rPr>
        <w:footnoteRef/>
      </w:r>
      <w:r w:rsidRPr="00CD4901">
        <w:t xml:space="preserve"> </w:t>
      </w:r>
      <w:r w:rsidRPr="00CD4901">
        <w:tab/>
        <w:t>Neethling &amp; Potgieter 2015:222.</w:t>
      </w:r>
    </w:p>
  </w:footnote>
  <w:footnote w:id="394">
    <w:p w14:paraId="5CB1FD35" w14:textId="77777777" w:rsidR="002977D8" w:rsidRPr="00B77E60" w:rsidRDefault="002977D8" w:rsidP="00F6619E">
      <w:pPr>
        <w:pStyle w:val="FootnoteText"/>
        <w:ind w:left="284" w:hanging="284"/>
      </w:pPr>
      <w:r w:rsidRPr="00B77E60">
        <w:rPr>
          <w:rStyle w:val="FootnoteReference"/>
        </w:rPr>
        <w:footnoteRef/>
      </w:r>
      <w:r w:rsidRPr="00B77E60">
        <w:t xml:space="preserve"> </w:t>
      </w:r>
      <w:r w:rsidRPr="00B77E60">
        <w:tab/>
        <w:t>Neethling &amp; Potgieter 2015:221,</w:t>
      </w:r>
      <w:r>
        <w:t xml:space="preserve"> </w:t>
      </w:r>
      <w:r w:rsidRPr="00B77E60">
        <w:t>223.</w:t>
      </w:r>
    </w:p>
  </w:footnote>
  <w:footnote w:id="395">
    <w:p w14:paraId="63608ED2" w14:textId="425E2372" w:rsidR="00225FD6" w:rsidRPr="00225FD6" w:rsidRDefault="00225FD6">
      <w:pPr>
        <w:pStyle w:val="FootnoteText"/>
        <w:rPr>
          <w:lang w:val="en-GB"/>
        </w:rPr>
      </w:pPr>
      <w:r>
        <w:rPr>
          <w:rStyle w:val="FootnoteReference"/>
        </w:rPr>
        <w:footnoteRef/>
      </w:r>
      <w:r>
        <w:t xml:space="preserve"> </w:t>
      </w:r>
      <w:r>
        <w:rPr>
          <w:lang w:val="en-GB"/>
        </w:rPr>
        <w:t>Neethling &amp; Potgieter 2015:3.</w:t>
      </w:r>
    </w:p>
  </w:footnote>
  <w:footnote w:id="396">
    <w:p w14:paraId="3B559636" w14:textId="77777777" w:rsidR="00000C97" w:rsidRDefault="00000C97" w:rsidP="00000C97">
      <w:pPr>
        <w:pStyle w:val="FootnoteText"/>
        <w:ind w:left="284" w:hanging="284"/>
      </w:pPr>
      <w:r>
        <w:rPr>
          <w:rStyle w:val="FootnoteReference"/>
        </w:rPr>
        <w:footnoteRef/>
      </w:r>
      <w:r>
        <w:t xml:space="preserve"> </w:t>
      </w:r>
      <w:r>
        <w:tab/>
      </w:r>
      <w:r w:rsidRPr="00077905">
        <w:rPr>
          <w:rFonts w:cs="Arial"/>
          <w:i/>
          <w:iCs/>
          <w:szCs w:val="24"/>
        </w:rPr>
        <w:t>Hauman v Malmesbury Divisional Council 1916 CPD 216</w:t>
      </w:r>
      <w:r>
        <w:rPr>
          <w:rFonts w:cs="Arial"/>
          <w:szCs w:val="24"/>
        </w:rPr>
        <w:t>:218,219.</w:t>
      </w:r>
    </w:p>
  </w:footnote>
  <w:footnote w:id="397">
    <w:p w14:paraId="36994019" w14:textId="77777777" w:rsidR="002977D8" w:rsidRDefault="002977D8" w:rsidP="00F6619E">
      <w:pPr>
        <w:pStyle w:val="FootnoteText"/>
        <w:ind w:left="284" w:hanging="284"/>
      </w:pPr>
      <w:r>
        <w:rPr>
          <w:rStyle w:val="FootnoteReference"/>
        </w:rPr>
        <w:footnoteRef/>
      </w:r>
      <w:r>
        <w:t xml:space="preserve"> </w:t>
      </w:r>
      <w:r>
        <w:tab/>
        <w:t xml:space="preserve">Ahmed &amp; Steynberg 2015:189; </w:t>
      </w:r>
      <w:r>
        <w:rPr>
          <w:rFonts w:cs="Arial"/>
          <w:i/>
          <w:iCs/>
          <w:szCs w:val="24"/>
        </w:rPr>
        <w:t>Bester v Commercial Union Versekeringsmaatskappy van SA Bpk 1973 1 SALR 769 (A)</w:t>
      </w:r>
      <w:r>
        <w:rPr>
          <w:rFonts w:cs="Arial"/>
          <w:szCs w:val="24"/>
        </w:rPr>
        <w:t xml:space="preserve">:772; </w:t>
      </w:r>
      <w:r>
        <w:rPr>
          <w:rFonts w:cs="Arial"/>
          <w:i/>
          <w:iCs/>
          <w:szCs w:val="24"/>
        </w:rPr>
        <w:t>Boswell v Minister of Police &amp; Another 1978 3 SA 268 (E)</w:t>
      </w:r>
      <w:r>
        <w:rPr>
          <w:rFonts w:cs="Arial"/>
          <w:szCs w:val="24"/>
        </w:rPr>
        <w:t xml:space="preserve">:275B-C; </w:t>
      </w:r>
      <w:r>
        <w:t>Potgieter 2009:522.</w:t>
      </w:r>
    </w:p>
  </w:footnote>
  <w:footnote w:id="398">
    <w:p w14:paraId="303CC06C" w14:textId="3D686C03" w:rsidR="002977D8" w:rsidRPr="00860AF0" w:rsidRDefault="002977D8" w:rsidP="00F6619E">
      <w:pPr>
        <w:pStyle w:val="FootnoteText"/>
        <w:ind w:left="284" w:hanging="284"/>
        <w:rPr>
          <w:b/>
          <w:bCs/>
        </w:rPr>
      </w:pPr>
      <w:r>
        <w:rPr>
          <w:rStyle w:val="FootnoteReference"/>
        </w:rPr>
        <w:footnoteRef/>
      </w:r>
      <w:r>
        <w:t xml:space="preserve"> </w:t>
      </w:r>
      <w:r>
        <w:tab/>
        <w:t>Ahmed &amp; Steynberg 2015:193</w:t>
      </w:r>
      <w:r w:rsidR="00860AF0">
        <w:t xml:space="preserve">; </w:t>
      </w:r>
      <w:r w:rsidR="00E12273">
        <w:rPr>
          <w:i/>
          <w:iCs/>
        </w:rPr>
        <w:t xml:space="preserve">Majiet v Santam Limited </w:t>
      </w:r>
      <w:r w:rsidR="00E12273">
        <w:t>1997 4 All SA 555 (C):568</w:t>
      </w:r>
      <w:r w:rsidR="0017030F">
        <w:t xml:space="preserve">; </w:t>
      </w:r>
      <w:r w:rsidR="0006296A">
        <w:rPr>
          <w:rFonts w:cs="Arial"/>
          <w:i/>
          <w:iCs/>
          <w:szCs w:val="24"/>
        </w:rPr>
        <w:t>Masiba and Another v Constantia Insurance Co Ltd and Another 1982 4 SA 333 (C):34</w:t>
      </w:r>
      <w:r w:rsidR="005274C5">
        <w:rPr>
          <w:rFonts w:cs="Arial"/>
          <w:i/>
          <w:iCs/>
          <w:szCs w:val="24"/>
        </w:rPr>
        <w:t>3H</w:t>
      </w:r>
      <w:r w:rsidR="0006296A">
        <w:rPr>
          <w:rFonts w:cs="Arial"/>
          <w:i/>
          <w:iCs/>
          <w:szCs w:val="24"/>
        </w:rPr>
        <w:t xml:space="preserve">; </w:t>
      </w:r>
      <w:r w:rsidR="00860AF0">
        <w:rPr>
          <w:rFonts w:cs="Arial"/>
          <w:i/>
          <w:iCs/>
          <w:szCs w:val="24"/>
        </w:rPr>
        <w:t>Bester v Commercial Union Versekeringsmaatskappy van SA Bpk 1973 1 SALR 769 (A)</w:t>
      </w:r>
      <w:r w:rsidR="00860AF0">
        <w:rPr>
          <w:rFonts w:cs="Arial"/>
          <w:szCs w:val="24"/>
        </w:rPr>
        <w:t>:781.</w:t>
      </w:r>
    </w:p>
  </w:footnote>
  <w:footnote w:id="399">
    <w:p w14:paraId="25AEB1B3" w14:textId="77777777" w:rsidR="002977D8" w:rsidRPr="00495C23" w:rsidRDefault="002977D8" w:rsidP="00F6619E">
      <w:pPr>
        <w:pStyle w:val="FootnoteText"/>
        <w:ind w:left="284" w:hanging="284"/>
      </w:pPr>
      <w:r>
        <w:rPr>
          <w:rStyle w:val="FootnoteReference"/>
        </w:rPr>
        <w:footnoteRef/>
      </w:r>
      <w:r>
        <w:t xml:space="preserve"> </w:t>
      </w:r>
      <w:r>
        <w:tab/>
      </w:r>
      <w:r>
        <w:rPr>
          <w:rFonts w:cs="Arial"/>
          <w:i/>
          <w:iCs/>
          <w:szCs w:val="24"/>
        </w:rPr>
        <w:t>Road Accident Fund v Sauls 2002 2 SA 55 (SCA)</w:t>
      </w:r>
      <w:r>
        <w:rPr>
          <w:rFonts w:cs="Arial"/>
          <w:szCs w:val="24"/>
        </w:rPr>
        <w:t>:60C.</w:t>
      </w:r>
    </w:p>
  </w:footnote>
  <w:footnote w:id="400">
    <w:p w14:paraId="40F6AB01" w14:textId="6E6A9E22" w:rsidR="00422C09" w:rsidRPr="00422C09" w:rsidRDefault="00422C09">
      <w:pPr>
        <w:pStyle w:val="FootnoteText"/>
        <w:rPr>
          <w:lang w:val="en-GB"/>
        </w:rPr>
      </w:pPr>
      <w:r>
        <w:rPr>
          <w:rStyle w:val="FootnoteReference"/>
        </w:rPr>
        <w:footnoteRef/>
      </w:r>
      <w:r>
        <w:t xml:space="preserve"> </w:t>
      </w:r>
      <w:r>
        <w:rPr>
          <w:lang w:val="en-GB"/>
        </w:rPr>
        <w:t>See 4.7.2 below.</w:t>
      </w:r>
    </w:p>
  </w:footnote>
  <w:footnote w:id="401">
    <w:p w14:paraId="21AC0ECE" w14:textId="4FFD9CC8" w:rsidR="0057575A" w:rsidRPr="0057575A" w:rsidRDefault="0057575A">
      <w:pPr>
        <w:pStyle w:val="FootnoteText"/>
        <w:rPr>
          <w:lang w:val="en-GB"/>
        </w:rPr>
      </w:pPr>
      <w:r>
        <w:rPr>
          <w:rStyle w:val="FootnoteReference"/>
        </w:rPr>
        <w:footnoteRef/>
      </w:r>
      <w:r>
        <w:t xml:space="preserve"> </w:t>
      </w:r>
      <w:r w:rsidR="001D06D6">
        <w:rPr>
          <w:lang w:val="en-GB"/>
        </w:rPr>
        <w:t>A</w:t>
      </w:r>
      <w:r w:rsidR="00352484">
        <w:rPr>
          <w:lang w:val="en-GB"/>
        </w:rPr>
        <w:t>dapted from</w:t>
      </w:r>
      <w:r>
        <w:rPr>
          <w:lang w:val="en-GB"/>
        </w:rPr>
        <w:t xml:space="preserve"> the examples used by Neethling &amp; Potgieter (2015:237-238).</w:t>
      </w:r>
    </w:p>
  </w:footnote>
  <w:footnote w:id="402">
    <w:p w14:paraId="1C6B3FDD" w14:textId="7FFD2CCB" w:rsidR="00B22342" w:rsidRDefault="00B22342">
      <w:pPr>
        <w:pStyle w:val="FootnoteText"/>
      </w:pPr>
      <w:r>
        <w:rPr>
          <w:rStyle w:val="FootnoteReference"/>
        </w:rPr>
        <w:footnoteRef/>
      </w:r>
      <w:r>
        <w:t xml:space="preserve"> </w:t>
      </w:r>
      <w:r w:rsidRPr="00F06FC8">
        <w:rPr>
          <w:i/>
          <w:iCs/>
        </w:rPr>
        <w:t>Prescription Act</w:t>
      </w:r>
      <w:r>
        <w:t xml:space="preserve"> 68</w:t>
      </w:r>
      <w:r w:rsidR="00F06FC8">
        <w:t>/</w:t>
      </w:r>
      <w:r>
        <w:t>1969:sec. 11(d).</w:t>
      </w:r>
    </w:p>
  </w:footnote>
  <w:footnote w:id="403">
    <w:p w14:paraId="2760B233" w14:textId="16008F8B" w:rsidR="00D546C4" w:rsidRDefault="00D546C4">
      <w:pPr>
        <w:pStyle w:val="FootnoteText"/>
      </w:pPr>
      <w:r>
        <w:rPr>
          <w:rStyle w:val="FootnoteReference"/>
        </w:rPr>
        <w:footnoteRef/>
      </w:r>
      <w:r>
        <w:t xml:space="preserve"> </w:t>
      </w:r>
      <w:r w:rsidR="00F06FC8" w:rsidRPr="00F06FC8">
        <w:rPr>
          <w:i/>
          <w:iCs/>
        </w:rPr>
        <w:t>Prescription Act</w:t>
      </w:r>
      <w:r w:rsidR="00F06FC8">
        <w:t xml:space="preserve"> 68/1969</w:t>
      </w:r>
      <w:r>
        <w:t>:sec. 10(2).</w:t>
      </w:r>
    </w:p>
  </w:footnote>
  <w:footnote w:id="404">
    <w:p w14:paraId="7AF0FC19" w14:textId="527E87D8" w:rsidR="00D627BD" w:rsidRDefault="00D627BD">
      <w:pPr>
        <w:pStyle w:val="FootnoteText"/>
      </w:pPr>
      <w:r>
        <w:rPr>
          <w:rStyle w:val="FootnoteReference"/>
        </w:rPr>
        <w:footnoteRef/>
      </w:r>
      <w:r>
        <w:t xml:space="preserve"> </w:t>
      </w:r>
      <w:r w:rsidR="00F06FC8" w:rsidRPr="00F06FC8">
        <w:rPr>
          <w:i/>
          <w:iCs/>
        </w:rPr>
        <w:t>Prescription Act</w:t>
      </w:r>
      <w:r w:rsidR="00F06FC8">
        <w:t xml:space="preserve"> 68/1969:</w:t>
      </w:r>
      <w:r>
        <w:t>sec. 12(2).</w:t>
      </w:r>
    </w:p>
  </w:footnote>
  <w:footnote w:id="405">
    <w:p w14:paraId="345E9ACE" w14:textId="6F880C3C" w:rsidR="00527815" w:rsidRDefault="00527815">
      <w:pPr>
        <w:pStyle w:val="FootnoteText"/>
      </w:pPr>
      <w:r>
        <w:rPr>
          <w:rStyle w:val="FootnoteReference"/>
        </w:rPr>
        <w:footnoteRef/>
      </w:r>
      <w:r>
        <w:t xml:space="preserve"> Mukheibir 2005:322.</w:t>
      </w:r>
    </w:p>
  </w:footnote>
  <w:footnote w:id="406">
    <w:p w14:paraId="78A9BC98" w14:textId="066308FA" w:rsidR="00583659" w:rsidRDefault="00583659">
      <w:pPr>
        <w:pStyle w:val="FootnoteText"/>
      </w:pPr>
      <w:r>
        <w:rPr>
          <w:rStyle w:val="FootnoteReference"/>
        </w:rPr>
        <w:footnoteRef/>
      </w:r>
      <w:r>
        <w:t xml:space="preserve"> Mukheiber 2005:321</w:t>
      </w:r>
      <w:r w:rsidR="00472145">
        <w:t>, 322</w:t>
      </w:r>
      <w:r>
        <w:t>.</w:t>
      </w:r>
    </w:p>
  </w:footnote>
  <w:footnote w:id="407">
    <w:p w14:paraId="23204109" w14:textId="77777777" w:rsidR="004F2121" w:rsidRDefault="004F2121" w:rsidP="004F2121">
      <w:pPr>
        <w:pStyle w:val="FootnoteText"/>
        <w:ind w:left="284" w:hanging="284"/>
      </w:pPr>
      <w:r>
        <w:rPr>
          <w:rStyle w:val="FootnoteReference"/>
        </w:rPr>
        <w:footnoteRef/>
      </w:r>
      <w:r>
        <w:t xml:space="preserve"> </w:t>
      </w:r>
      <w:r>
        <w:tab/>
        <w:t>Neethling &amp; Potgieter 2015:289.</w:t>
      </w:r>
    </w:p>
  </w:footnote>
  <w:footnote w:id="408">
    <w:p w14:paraId="610DEA13" w14:textId="365F9C12" w:rsidR="0065356B" w:rsidRPr="0065356B" w:rsidRDefault="0065356B" w:rsidP="0065356B">
      <w:pPr>
        <w:pStyle w:val="FootnoteText"/>
        <w:tabs>
          <w:tab w:val="right" w:pos="284"/>
        </w:tabs>
        <w:rPr>
          <w:lang w:val="en-GB"/>
        </w:rPr>
      </w:pPr>
      <w:r>
        <w:rPr>
          <w:rStyle w:val="FootnoteReference"/>
        </w:rPr>
        <w:footnoteRef/>
      </w:r>
      <w:r>
        <w:t xml:space="preserve"> </w:t>
      </w:r>
      <w:r>
        <w:tab/>
        <w:t>Neethling &amp; Potgieter 2015:294-296.</w:t>
      </w:r>
    </w:p>
  </w:footnote>
  <w:footnote w:id="409">
    <w:p w14:paraId="6E0AB0D6" w14:textId="77777777" w:rsidR="002977D8" w:rsidRDefault="002977D8" w:rsidP="00F6619E">
      <w:pPr>
        <w:pStyle w:val="FootnoteText"/>
        <w:ind w:left="284" w:hanging="284"/>
      </w:pPr>
      <w:r>
        <w:rPr>
          <w:rStyle w:val="FootnoteReference"/>
        </w:rPr>
        <w:footnoteRef/>
      </w:r>
      <w:r>
        <w:t xml:space="preserve"> </w:t>
      </w:r>
      <w:r>
        <w:tab/>
        <w:t>Neethling &amp; Potgieter 2015:292-293.</w:t>
      </w:r>
    </w:p>
  </w:footnote>
  <w:footnote w:id="410">
    <w:p w14:paraId="418ABF5A" w14:textId="77777777" w:rsidR="002977D8" w:rsidRDefault="002977D8" w:rsidP="00F6619E">
      <w:pPr>
        <w:pStyle w:val="FootnoteText"/>
        <w:ind w:left="284" w:hanging="284"/>
      </w:pPr>
      <w:r>
        <w:rPr>
          <w:rStyle w:val="FootnoteReference"/>
        </w:rPr>
        <w:footnoteRef/>
      </w:r>
      <w:r>
        <w:t xml:space="preserve"> </w:t>
      </w:r>
      <w:r>
        <w:tab/>
        <w:t>Neethling &amp; Potgieter 2015:295-296.</w:t>
      </w:r>
    </w:p>
  </w:footnote>
  <w:footnote w:id="411">
    <w:p w14:paraId="02DBC959" w14:textId="77777777" w:rsidR="002977D8" w:rsidRDefault="002977D8" w:rsidP="00F6619E">
      <w:pPr>
        <w:pStyle w:val="FootnoteText"/>
        <w:ind w:left="284" w:hanging="284"/>
      </w:pPr>
      <w:r>
        <w:rPr>
          <w:rStyle w:val="FootnoteReference"/>
        </w:rPr>
        <w:footnoteRef/>
      </w:r>
      <w:r>
        <w:t xml:space="preserve"> </w:t>
      </w:r>
      <w:r>
        <w:tab/>
        <w:t>Neethling &amp; Potgieter 2015:296.</w:t>
      </w:r>
    </w:p>
  </w:footnote>
  <w:footnote w:id="412">
    <w:p w14:paraId="44C81327" w14:textId="77777777" w:rsidR="002977D8" w:rsidRDefault="002977D8" w:rsidP="00F6619E">
      <w:pPr>
        <w:pStyle w:val="FootnoteText"/>
        <w:ind w:left="284" w:hanging="284"/>
      </w:pPr>
      <w:r>
        <w:rPr>
          <w:rStyle w:val="FootnoteReference"/>
        </w:rPr>
        <w:footnoteRef/>
      </w:r>
      <w:r>
        <w:t xml:space="preserve"> </w:t>
      </w:r>
      <w:r>
        <w:tab/>
        <w:t>Neethling &amp; Potgieter 2015:296-297.</w:t>
      </w:r>
    </w:p>
  </w:footnote>
  <w:footnote w:id="413">
    <w:p w14:paraId="14F812B4" w14:textId="55B56B4D" w:rsidR="002A7CDA" w:rsidRPr="002A7CDA" w:rsidRDefault="002A7CDA">
      <w:pPr>
        <w:pStyle w:val="FootnoteText"/>
        <w:rPr>
          <w:lang w:val="en-GB"/>
        </w:rPr>
      </w:pPr>
      <w:r>
        <w:rPr>
          <w:rStyle w:val="FootnoteReference"/>
        </w:rPr>
        <w:footnoteRef/>
      </w:r>
      <w:r>
        <w:t xml:space="preserve"> Neethling &amp; Potgieter 2015:299.</w:t>
      </w:r>
    </w:p>
  </w:footnote>
  <w:footnote w:id="414">
    <w:p w14:paraId="470A7EF6" w14:textId="6D78EFFE" w:rsidR="00271304" w:rsidRPr="00271304" w:rsidRDefault="00271304" w:rsidP="00077F92">
      <w:pPr>
        <w:pStyle w:val="FootnoteText"/>
        <w:tabs>
          <w:tab w:val="left" w:pos="284"/>
        </w:tabs>
        <w:rPr>
          <w:lang w:val="en-GB"/>
        </w:rPr>
      </w:pPr>
      <w:r>
        <w:rPr>
          <w:rStyle w:val="FootnoteReference"/>
        </w:rPr>
        <w:footnoteRef/>
      </w:r>
      <w:r>
        <w:t xml:space="preserve"> </w:t>
      </w:r>
      <w:r>
        <w:rPr>
          <w:lang w:val="en-GB"/>
        </w:rPr>
        <w:t>Neethling &amp; Potgieter 2015:290-291.</w:t>
      </w:r>
    </w:p>
  </w:footnote>
  <w:footnote w:id="415">
    <w:p w14:paraId="3899E2A3" w14:textId="351E9876" w:rsidR="00640120" w:rsidRPr="00640120" w:rsidRDefault="00640120" w:rsidP="00077F92">
      <w:pPr>
        <w:pStyle w:val="FootnoteText"/>
        <w:tabs>
          <w:tab w:val="left" w:pos="284"/>
        </w:tabs>
        <w:ind w:left="284" w:hanging="284"/>
        <w:rPr>
          <w:lang w:val="en-GB"/>
        </w:rPr>
      </w:pPr>
      <w:r>
        <w:rPr>
          <w:rStyle w:val="FootnoteReference"/>
        </w:rPr>
        <w:footnoteRef/>
      </w:r>
      <w:r>
        <w:t xml:space="preserve"> </w:t>
      </w:r>
      <w:r>
        <w:rPr>
          <w:rFonts w:cs="Arial"/>
          <w:szCs w:val="24"/>
        </w:rPr>
        <w:t>T</w:t>
      </w:r>
      <w:r w:rsidRPr="00E40443">
        <w:rPr>
          <w:rFonts w:cs="Arial"/>
          <w:szCs w:val="24"/>
        </w:rPr>
        <w:t xml:space="preserve">he executor </w:t>
      </w:r>
      <w:r>
        <w:rPr>
          <w:rFonts w:cs="Arial"/>
          <w:szCs w:val="24"/>
        </w:rPr>
        <w:t xml:space="preserve">is entitled to </w:t>
      </w:r>
      <w:r w:rsidRPr="00E40443">
        <w:rPr>
          <w:rFonts w:cs="Arial"/>
          <w:szCs w:val="24"/>
        </w:rPr>
        <w:t xml:space="preserve">institute </w:t>
      </w:r>
      <w:r>
        <w:rPr>
          <w:rFonts w:cs="Arial"/>
          <w:szCs w:val="24"/>
        </w:rPr>
        <w:t xml:space="preserve">proceedings to claim from the murderer </w:t>
      </w:r>
      <w:r w:rsidRPr="00E40443">
        <w:rPr>
          <w:rFonts w:cs="Arial"/>
          <w:szCs w:val="24"/>
        </w:rPr>
        <w:t>medical expenses, loss of income, and funeral expenses</w:t>
      </w:r>
      <w:r>
        <w:rPr>
          <w:rFonts w:cs="Arial"/>
          <w:szCs w:val="24"/>
        </w:rPr>
        <w:t>.</w:t>
      </w:r>
    </w:p>
  </w:footnote>
  <w:footnote w:id="416">
    <w:p w14:paraId="01AD1F8F" w14:textId="0C8A98FB" w:rsidR="00640120" w:rsidRPr="00640120" w:rsidRDefault="00640120" w:rsidP="00077F92">
      <w:pPr>
        <w:pStyle w:val="FootnoteText"/>
        <w:tabs>
          <w:tab w:val="left" w:pos="284"/>
        </w:tabs>
        <w:ind w:left="284" w:hanging="284"/>
        <w:rPr>
          <w:lang w:val="en-GB"/>
        </w:rPr>
      </w:pPr>
      <w:r>
        <w:rPr>
          <w:rStyle w:val="FootnoteReference"/>
        </w:rPr>
        <w:footnoteRef/>
      </w:r>
      <w:r>
        <w:t xml:space="preserve"> T</w:t>
      </w:r>
      <w:r w:rsidRPr="00E40443">
        <w:rPr>
          <w:rFonts w:cs="Arial"/>
          <w:szCs w:val="24"/>
        </w:rPr>
        <w:t xml:space="preserve">he </w:t>
      </w:r>
      <w:r>
        <w:rPr>
          <w:rFonts w:cs="Arial"/>
          <w:szCs w:val="24"/>
        </w:rPr>
        <w:t xml:space="preserve">persons burdened with the </w:t>
      </w:r>
      <w:r w:rsidRPr="00E40443">
        <w:rPr>
          <w:rFonts w:cs="Arial"/>
          <w:szCs w:val="24"/>
        </w:rPr>
        <w:t xml:space="preserve">duty to bury the deceased, </w:t>
      </w:r>
      <w:r>
        <w:rPr>
          <w:rFonts w:cs="Arial"/>
          <w:szCs w:val="24"/>
        </w:rPr>
        <w:t xml:space="preserve">are entitled to </w:t>
      </w:r>
      <w:r w:rsidRPr="00E40443">
        <w:rPr>
          <w:rFonts w:cs="Arial"/>
          <w:szCs w:val="24"/>
        </w:rPr>
        <w:t>claim for funeral expenses.</w:t>
      </w:r>
    </w:p>
  </w:footnote>
  <w:footnote w:id="417">
    <w:p w14:paraId="1E7BFE40" w14:textId="28DBC480" w:rsidR="00C87544" w:rsidRPr="00271304" w:rsidRDefault="00C87544" w:rsidP="00077F92">
      <w:pPr>
        <w:pStyle w:val="FootnoteText"/>
        <w:tabs>
          <w:tab w:val="left" w:pos="284"/>
        </w:tabs>
        <w:ind w:left="284" w:hanging="284"/>
      </w:pPr>
      <w:r>
        <w:rPr>
          <w:rStyle w:val="FootnoteReference"/>
        </w:rPr>
        <w:footnoteRef/>
      </w:r>
      <w:r>
        <w:t xml:space="preserve"> </w:t>
      </w:r>
      <w:r w:rsidR="00271304">
        <w:rPr>
          <w:rFonts w:cs="Arial"/>
          <w:szCs w:val="24"/>
        </w:rPr>
        <w:t xml:space="preserve">This is usually </w:t>
      </w:r>
      <w:r w:rsidR="00271304" w:rsidRPr="00E40443">
        <w:rPr>
          <w:rFonts w:cs="Arial"/>
          <w:szCs w:val="24"/>
        </w:rPr>
        <w:t xml:space="preserve">the head of the household, </w:t>
      </w:r>
      <w:r w:rsidR="00271304">
        <w:rPr>
          <w:rFonts w:cs="Arial"/>
          <w:szCs w:val="24"/>
        </w:rPr>
        <w:t xml:space="preserve">whose claim is founded on the additional liabilities arising from </w:t>
      </w:r>
      <w:r w:rsidR="00271304" w:rsidRPr="00E40443">
        <w:rPr>
          <w:rFonts w:cs="Arial"/>
          <w:szCs w:val="24"/>
        </w:rPr>
        <w:t>such duty</w:t>
      </w:r>
      <w:r w:rsidR="00271304">
        <w:t>.</w:t>
      </w:r>
    </w:p>
  </w:footnote>
  <w:footnote w:id="418">
    <w:p w14:paraId="2DDF7688" w14:textId="0AF20257" w:rsidR="002977D8" w:rsidRDefault="002977D8" w:rsidP="00077F92">
      <w:pPr>
        <w:pStyle w:val="FootnoteText"/>
        <w:tabs>
          <w:tab w:val="left" w:pos="284"/>
        </w:tabs>
        <w:ind w:left="284" w:hanging="284"/>
      </w:pPr>
      <w:r>
        <w:rPr>
          <w:rStyle w:val="FootnoteReference"/>
        </w:rPr>
        <w:footnoteRef/>
      </w:r>
      <w:r>
        <w:t xml:space="preserve"> </w:t>
      </w:r>
      <w:r>
        <w:tab/>
        <w:t>Ahmed &amp; Steynberg 2015:184</w:t>
      </w:r>
      <w:r w:rsidR="004F2121">
        <w:t>; Neethling &amp; Potgieter 2015:300.</w:t>
      </w:r>
    </w:p>
  </w:footnote>
  <w:footnote w:id="419">
    <w:p w14:paraId="190F3789" w14:textId="7D2EF98B" w:rsidR="00003CB7" w:rsidRPr="00003CB7" w:rsidRDefault="00003CB7" w:rsidP="00077F92">
      <w:pPr>
        <w:pStyle w:val="FootnoteText"/>
        <w:tabs>
          <w:tab w:val="left" w:pos="284"/>
        </w:tabs>
        <w:rPr>
          <w:lang w:val="en-GB"/>
        </w:rPr>
      </w:pPr>
      <w:r>
        <w:rPr>
          <w:rStyle w:val="FootnoteReference"/>
        </w:rPr>
        <w:footnoteRef/>
      </w:r>
      <w:r>
        <w:t xml:space="preserve"> Neethling &amp; Potgieter 2015:300.</w:t>
      </w:r>
    </w:p>
  </w:footnote>
  <w:footnote w:id="420">
    <w:p w14:paraId="6A8579B3" w14:textId="77777777" w:rsidR="002977D8" w:rsidRPr="003019BC" w:rsidRDefault="002977D8" w:rsidP="00077F92">
      <w:pPr>
        <w:pStyle w:val="FootnoteText"/>
        <w:tabs>
          <w:tab w:val="left" w:pos="284"/>
        </w:tabs>
        <w:ind w:left="284" w:hanging="284"/>
      </w:pPr>
      <w:r w:rsidRPr="00136AEF">
        <w:rPr>
          <w:rStyle w:val="FootnoteReference"/>
        </w:rPr>
        <w:footnoteRef/>
      </w:r>
      <w:r w:rsidRPr="00136AEF">
        <w:t xml:space="preserve"> </w:t>
      </w:r>
      <w:r>
        <w:tab/>
      </w:r>
      <w:r w:rsidRPr="00136AEF">
        <w:rPr>
          <w:rFonts w:cs="Arial"/>
          <w:i/>
          <w:iCs/>
          <w:szCs w:val="24"/>
        </w:rPr>
        <w:t>Swartbooi v Road Accident Fund 2013 1 SA 30 (WCC)</w:t>
      </w:r>
      <w:r w:rsidRPr="00136AEF">
        <w:rPr>
          <w:rFonts w:cs="Arial"/>
          <w:szCs w:val="24"/>
        </w:rPr>
        <w:t>:34F-G.</w:t>
      </w:r>
    </w:p>
  </w:footnote>
  <w:footnote w:id="421">
    <w:p w14:paraId="624464B2" w14:textId="525D58B8" w:rsidR="004A15A5" w:rsidRPr="004A15A5" w:rsidRDefault="004A15A5" w:rsidP="00077F92">
      <w:pPr>
        <w:pStyle w:val="FootnoteText"/>
        <w:tabs>
          <w:tab w:val="left" w:pos="284"/>
        </w:tabs>
        <w:rPr>
          <w:lang w:val="en-GB"/>
        </w:rPr>
      </w:pPr>
      <w:r>
        <w:rPr>
          <w:rStyle w:val="FootnoteReference"/>
        </w:rPr>
        <w:footnoteRef/>
      </w:r>
      <w:r>
        <w:t xml:space="preserve"> </w:t>
      </w:r>
      <w:r>
        <w:rPr>
          <w:lang w:val="en-GB"/>
        </w:rPr>
        <w:t>Neethling &amp; Potgieter 2015:300.</w:t>
      </w:r>
    </w:p>
  </w:footnote>
  <w:footnote w:id="422">
    <w:p w14:paraId="3BFE953E" w14:textId="70482BE4" w:rsidR="00C14300" w:rsidRPr="00C14300" w:rsidRDefault="00C14300" w:rsidP="00077F92">
      <w:pPr>
        <w:pStyle w:val="FootnoteText"/>
        <w:tabs>
          <w:tab w:val="left" w:pos="284"/>
        </w:tabs>
        <w:rPr>
          <w:lang w:val="en-GB"/>
        </w:rPr>
      </w:pPr>
      <w:r>
        <w:rPr>
          <w:rStyle w:val="FootnoteReference"/>
        </w:rPr>
        <w:footnoteRef/>
      </w:r>
      <w:r>
        <w:t xml:space="preserve"> </w:t>
      </w:r>
      <w:r>
        <w:rPr>
          <w:lang w:val="en-GB"/>
        </w:rPr>
        <w:t>Neethling &amp; Potgieter 2015:254.</w:t>
      </w:r>
    </w:p>
  </w:footnote>
  <w:footnote w:id="423">
    <w:p w14:paraId="5C4A396F" w14:textId="77777777" w:rsidR="002977D8" w:rsidRDefault="002977D8" w:rsidP="00F6619E">
      <w:pPr>
        <w:pStyle w:val="FootnoteText"/>
        <w:ind w:left="284" w:hanging="284"/>
      </w:pPr>
      <w:r>
        <w:rPr>
          <w:rStyle w:val="FootnoteReference"/>
        </w:rPr>
        <w:footnoteRef/>
      </w:r>
      <w:r>
        <w:t xml:space="preserve"> </w:t>
      </w:r>
      <w:r>
        <w:tab/>
        <w:t>Neethling &amp; Potgieter 2015:300.</w:t>
      </w:r>
    </w:p>
  </w:footnote>
  <w:footnote w:id="424">
    <w:p w14:paraId="268A355C" w14:textId="77777777" w:rsidR="002977D8" w:rsidRPr="001B3668" w:rsidRDefault="002977D8" w:rsidP="00F6619E">
      <w:pPr>
        <w:pStyle w:val="FootnoteText"/>
        <w:ind w:left="284" w:hanging="284"/>
      </w:pPr>
      <w:r>
        <w:rPr>
          <w:rStyle w:val="FootnoteReference"/>
        </w:rPr>
        <w:footnoteRef/>
      </w:r>
      <w:r>
        <w:t xml:space="preserve"> </w:t>
      </w:r>
      <w:r>
        <w:tab/>
        <w:t xml:space="preserve">Potgieter </w:t>
      </w:r>
      <w:r>
        <w:rPr>
          <w:i/>
          <w:iCs/>
        </w:rPr>
        <w:t>et al</w:t>
      </w:r>
      <w:r>
        <w:t>. 2017:509.</w:t>
      </w:r>
    </w:p>
  </w:footnote>
  <w:footnote w:id="425">
    <w:p w14:paraId="3E5E52BA" w14:textId="0AC16888" w:rsidR="002977D8" w:rsidRPr="003E7276" w:rsidRDefault="002977D8" w:rsidP="00F6619E">
      <w:pPr>
        <w:pStyle w:val="FootnoteText"/>
        <w:ind w:left="284" w:hanging="284"/>
      </w:pPr>
      <w:r>
        <w:rPr>
          <w:rStyle w:val="FootnoteReference"/>
        </w:rPr>
        <w:footnoteRef/>
      </w:r>
      <w:r>
        <w:t xml:space="preserve"> </w:t>
      </w:r>
      <w:r>
        <w:tab/>
        <w:t>Ahmed &amp; Steynberg 2015:182,</w:t>
      </w:r>
      <w:r w:rsidR="00D5228A">
        <w:t xml:space="preserve"> </w:t>
      </w:r>
      <w:r>
        <w:t>190.</w:t>
      </w:r>
      <w:r w:rsidR="00CE76A7">
        <w:t xml:space="preserve"> </w:t>
      </w:r>
      <w:r w:rsidR="003E7276">
        <w:rPr>
          <w:rFonts w:cs="Arial"/>
          <w:szCs w:val="24"/>
        </w:rPr>
        <w:t xml:space="preserve">To determine whether a secondary victim qualifies for a claim for emotional shock, the </w:t>
      </w:r>
      <w:r w:rsidR="004E4D65">
        <w:rPr>
          <w:rFonts w:cs="Arial"/>
          <w:szCs w:val="24"/>
        </w:rPr>
        <w:t>c</w:t>
      </w:r>
      <w:r w:rsidR="003E7276">
        <w:rPr>
          <w:rFonts w:cs="Arial"/>
          <w:szCs w:val="24"/>
        </w:rPr>
        <w:t xml:space="preserve">ourt disregards the title of the relationship between the parties, and instead considers whether legal policy, reasonableness, fairness and justice supports an award for such damages, based on the nature of the relationship between the parties (see </w:t>
      </w:r>
      <w:r w:rsidR="003E7276" w:rsidRPr="00C548CD">
        <w:rPr>
          <w:rFonts w:cs="Arial"/>
          <w:i/>
          <w:iCs/>
          <w:szCs w:val="24"/>
        </w:rPr>
        <w:t xml:space="preserve">Road Accident Fund v Sauls </w:t>
      </w:r>
      <w:r w:rsidR="003E7276" w:rsidRPr="003E7276">
        <w:rPr>
          <w:rFonts w:cs="Arial"/>
          <w:szCs w:val="24"/>
        </w:rPr>
        <w:t>2002 2 SA 55 (SCA):63-63A</w:t>
      </w:r>
      <w:r w:rsidR="003E7276">
        <w:rPr>
          <w:rFonts w:cs="Arial"/>
          <w:szCs w:val="24"/>
        </w:rPr>
        <w:t xml:space="preserve">; </w:t>
      </w:r>
      <w:r w:rsidR="003E7276" w:rsidRPr="00C548CD">
        <w:rPr>
          <w:rFonts w:cs="Arial"/>
          <w:i/>
          <w:iCs/>
          <w:szCs w:val="24"/>
        </w:rPr>
        <w:t xml:space="preserve">Barnard v Santam Bpk </w:t>
      </w:r>
      <w:r w:rsidR="003E7276" w:rsidRPr="003E7276">
        <w:rPr>
          <w:rFonts w:cs="Arial"/>
          <w:szCs w:val="24"/>
        </w:rPr>
        <w:t>1999 1 SA 202 (SCA):209C</w:t>
      </w:r>
      <w:r w:rsidR="003E7276">
        <w:rPr>
          <w:rFonts w:cs="Arial"/>
          <w:szCs w:val="24"/>
        </w:rPr>
        <w:t>)</w:t>
      </w:r>
      <w:r w:rsidR="003E7276" w:rsidRPr="003E7276">
        <w:rPr>
          <w:rFonts w:cs="Arial"/>
          <w:szCs w:val="24"/>
        </w:rPr>
        <w:t>.</w:t>
      </w:r>
    </w:p>
  </w:footnote>
  <w:footnote w:id="426">
    <w:p w14:paraId="43988CC7" w14:textId="77777777" w:rsidR="002977D8" w:rsidRPr="00C548CD" w:rsidRDefault="002977D8" w:rsidP="00F6619E">
      <w:pPr>
        <w:pStyle w:val="FootnoteText"/>
        <w:ind w:left="284" w:hanging="284"/>
      </w:pPr>
      <w:r w:rsidRPr="00C548CD">
        <w:rPr>
          <w:rStyle w:val="FootnoteReference"/>
        </w:rPr>
        <w:footnoteRef/>
      </w:r>
      <w:r w:rsidRPr="00C548CD">
        <w:t xml:space="preserve"> </w:t>
      </w:r>
      <w:r w:rsidRPr="00C548CD">
        <w:tab/>
        <w:t>Ahmed &amp; Steynberg 2015:185.</w:t>
      </w:r>
    </w:p>
  </w:footnote>
  <w:footnote w:id="427">
    <w:p w14:paraId="4017CE18" w14:textId="77777777" w:rsidR="00B15586" w:rsidRDefault="00B15586" w:rsidP="00B15586">
      <w:pPr>
        <w:pStyle w:val="FootnoteText"/>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Pr>
          <w:rFonts w:cs="Arial"/>
          <w:szCs w:val="24"/>
        </w:rPr>
        <w:t>:770,775.</w:t>
      </w:r>
    </w:p>
  </w:footnote>
  <w:footnote w:id="428">
    <w:p w14:paraId="6C4A4E66" w14:textId="77777777" w:rsidR="00B15586" w:rsidRPr="00F91A79" w:rsidRDefault="00B15586" w:rsidP="00B15586">
      <w:pPr>
        <w:pStyle w:val="FootnoteText"/>
        <w:rPr>
          <w:lang w:val="en-US"/>
        </w:rPr>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sidRPr="004E4D65">
        <w:rPr>
          <w:rFonts w:cs="Arial"/>
          <w:szCs w:val="24"/>
        </w:rPr>
        <w:t>.</w:t>
      </w:r>
    </w:p>
  </w:footnote>
  <w:footnote w:id="429">
    <w:p w14:paraId="79AE9D88" w14:textId="77777777" w:rsidR="00B15586" w:rsidRDefault="00B15586" w:rsidP="00B15586">
      <w:pPr>
        <w:pStyle w:val="FootnoteText"/>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sidRPr="00C753E7">
        <w:rPr>
          <w:rFonts w:cs="Arial"/>
          <w:szCs w:val="24"/>
        </w:rPr>
        <w:t>:</w:t>
      </w:r>
      <w:r>
        <w:rPr>
          <w:rFonts w:cs="Arial"/>
          <w:szCs w:val="24"/>
        </w:rPr>
        <w:t>777C, 779.</w:t>
      </w:r>
    </w:p>
  </w:footnote>
  <w:footnote w:id="430">
    <w:p w14:paraId="7F6DCE48" w14:textId="77777777" w:rsidR="00B15586" w:rsidRDefault="00B15586" w:rsidP="00B15586">
      <w:pPr>
        <w:pStyle w:val="FootnoteText"/>
        <w:ind w:left="284" w:hanging="284"/>
      </w:pPr>
      <w:r>
        <w:rPr>
          <w:rStyle w:val="FootnoteReference"/>
        </w:rPr>
        <w:footnoteRef/>
      </w:r>
      <w:r>
        <w:t xml:space="preserve"> </w:t>
      </w:r>
      <w:r>
        <w:tab/>
      </w:r>
      <w:r w:rsidRPr="007A31D6">
        <w:rPr>
          <w:rFonts w:cs="Arial"/>
          <w:i/>
          <w:iCs/>
          <w:szCs w:val="24"/>
        </w:rPr>
        <w:t xml:space="preserve">Barnard v Santam Bpk </w:t>
      </w:r>
      <w:r w:rsidRPr="006514ED">
        <w:rPr>
          <w:rFonts w:cs="Arial"/>
          <w:szCs w:val="24"/>
        </w:rPr>
        <w:t>1999 1 SA 202 (SCA)</w:t>
      </w:r>
      <w:r w:rsidRPr="00C753E7">
        <w:rPr>
          <w:rFonts w:cs="Arial"/>
          <w:szCs w:val="24"/>
        </w:rPr>
        <w:t>:</w:t>
      </w:r>
      <w:r>
        <w:rPr>
          <w:rFonts w:cs="Arial"/>
          <w:szCs w:val="24"/>
        </w:rPr>
        <w:t>206F.</w:t>
      </w:r>
    </w:p>
  </w:footnote>
  <w:footnote w:id="431">
    <w:p w14:paraId="328F9319" w14:textId="77777777" w:rsidR="00B15586" w:rsidRDefault="00B15586" w:rsidP="00B15586">
      <w:pPr>
        <w:pStyle w:val="FootnoteText"/>
        <w:ind w:left="284" w:hanging="284"/>
      </w:pPr>
      <w:r>
        <w:rPr>
          <w:rStyle w:val="FootnoteReference"/>
        </w:rPr>
        <w:footnoteRef/>
      </w:r>
      <w:r>
        <w:t xml:space="preserve"> </w:t>
      </w:r>
      <w:r>
        <w:tab/>
      </w:r>
      <w:r>
        <w:rPr>
          <w:rFonts w:cs="Arial"/>
          <w:i/>
          <w:iCs/>
          <w:szCs w:val="24"/>
        </w:rPr>
        <w:t xml:space="preserve">Masiba and Another v Constantia Insurance Co Ltd and Another </w:t>
      </w:r>
      <w:r w:rsidRPr="006514ED">
        <w:rPr>
          <w:rFonts w:cs="Arial"/>
          <w:szCs w:val="24"/>
        </w:rPr>
        <w:t>1982 4 SA 333 (C)</w:t>
      </w:r>
      <w:r w:rsidRPr="00C753E7">
        <w:rPr>
          <w:rFonts w:cs="Arial"/>
          <w:szCs w:val="24"/>
        </w:rPr>
        <w:t>:</w:t>
      </w:r>
      <w:r>
        <w:rPr>
          <w:rFonts w:cs="Arial"/>
          <w:szCs w:val="24"/>
        </w:rPr>
        <w:t>343E-F.</w:t>
      </w:r>
    </w:p>
  </w:footnote>
  <w:footnote w:id="432">
    <w:p w14:paraId="490AF222" w14:textId="77777777" w:rsidR="00B15586" w:rsidRDefault="00B15586" w:rsidP="00B15586">
      <w:pPr>
        <w:pStyle w:val="FootnoteText"/>
        <w:ind w:left="284" w:hanging="284"/>
      </w:pPr>
      <w:r>
        <w:rPr>
          <w:rStyle w:val="FootnoteReference"/>
        </w:rPr>
        <w:footnoteRef/>
      </w:r>
      <w:r>
        <w:t xml:space="preserve"> </w:t>
      </w:r>
      <w:r>
        <w:tab/>
        <w:t>Ahmed &amp; Steynberg 2015:188.</w:t>
      </w:r>
    </w:p>
  </w:footnote>
  <w:footnote w:id="433">
    <w:p w14:paraId="6A1E82EB" w14:textId="630985E6" w:rsidR="002F4207" w:rsidRPr="002F4207" w:rsidRDefault="002F4207">
      <w:pPr>
        <w:pStyle w:val="FootnoteText"/>
        <w:rPr>
          <w:lang w:val="en-GB"/>
        </w:rPr>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:205G.</w:t>
      </w:r>
    </w:p>
  </w:footnote>
  <w:footnote w:id="434">
    <w:p w14:paraId="081C15ED" w14:textId="566645E3" w:rsidR="002F4207" w:rsidRPr="002F4207" w:rsidRDefault="002F4207" w:rsidP="00C37B6C">
      <w:pPr>
        <w:pStyle w:val="FootnoteText"/>
        <w:ind w:left="284" w:hanging="284"/>
        <w:rPr>
          <w:lang w:val="en-GB"/>
        </w:rPr>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Pr>
          <w:rFonts w:cs="Arial"/>
          <w:szCs w:val="24"/>
        </w:rPr>
        <w:t xml:space="preserve">:781; </w:t>
      </w:r>
      <w:r w:rsidR="00C37B6C">
        <w:rPr>
          <w:rFonts w:cs="Arial"/>
          <w:i/>
          <w:iCs/>
          <w:szCs w:val="24"/>
        </w:rPr>
        <w:t xml:space="preserve">Masiba and Another v Constantia Insurance Co Ltd and Another </w:t>
      </w:r>
      <w:r w:rsidR="00C37B6C" w:rsidRPr="006514ED">
        <w:rPr>
          <w:rFonts w:cs="Arial"/>
          <w:szCs w:val="24"/>
        </w:rPr>
        <w:t>1982 4 SA 333 (C)</w:t>
      </w:r>
      <w:r w:rsidR="00C37B6C" w:rsidRPr="00C753E7">
        <w:rPr>
          <w:rFonts w:cs="Arial"/>
          <w:szCs w:val="24"/>
        </w:rPr>
        <w:t>:</w:t>
      </w:r>
      <w:r w:rsidR="00C37B6C">
        <w:rPr>
          <w:rFonts w:cs="Arial"/>
          <w:szCs w:val="24"/>
        </w:rPr>
        <w:t xml:space="preserve">343C-D; </w:t>
      </w:r>
      <w:r w:rsidR="00C37B6C">
        <w:rPr>
          <w:i/>
          <w:iCs/>
        </w:rPr>
        <w:t xml:space="preserve">Majiet v Santam Limited </w:t>
      </w:r>
      <w:r w:rsidR="00C37B6C">
        <w:t xml:space="preserve">1997 4 All SA 555 (C):558a; </w:t>
      </w:r>
      <w:r w:rsidR="00C37B6C" w:rsidRPr="007A31D6">
        <w:rPr>
          <w:rFonts w:cs="Arial"/>
          <w:i/>
          <w:iCs/>
          <w:szCs w:val="24"/>
        </w:rPr>
        <w:t xml:space="preserve">Barnard v Santam Bpk </w:t>
      </w:r>
      <w:r w:rsidR="00C37B6C" w:rsidRPr="004A2251">
        <w:rPr>
          <w:rFonts w:cs="Arial"/>
          <w:szCs w:val="24"/>
        </w:rPr>
        <w:t>1999 1 SA 202 (SCA)</w:t>
      </w:r>
      <w:r w:rsidR="00C37B6C">
        <w:rPr>
          <w:rFonts w:cs="Arial"/>
          <w:szCs w:val="24"/>
        </w:rPr>
        <w:t xml:space="preserve">:215B-C, E; </w:t>
      </w:r>
      <w:r w:rsidR="00C37B6C">
        <w:rPr>
          <w:rFonts w:cs="Arial"/>
          <w:i/>
          <w:iCs/>
          <w:szCs w:val="24"/>
        </w:rPr>
        <w:t>Road Accident Fund v Sauls</w:t>
      </w:r>
      <w:r w:rsidR="00C37B6C" w:rsidRPr="004A2251">
        <w:rPr>
          <w:rFonts w:cs="Arial"/>
          <w:szCs w:val="24"/>
        </w:rPr>
        <w:t xml:space="preserve"> 2002 2 SA 55 (SCA)</w:t>
      </w:r>
      <w:r w:rsidR="00C37B6C">
        <w:rPr>
          <w:rFonts w:cs="Arial"/>
          <w:szCs w:val="24"/>
        </w:rPr>
        <w:t>:60C-E.</w:t>
      </w:r>
    </w:p>
  </w:footnote>
  <w:footnote w:id="435">
    <w:p w14:paraId="14A50957" w14:textId="0026FADD" w:rsidR="00C37B6C" w:rsidRPr="00C37B6C" w:rsidRDefault="00C37B6C">
      <w:pPr>
        <w:pStyle w:val="FootnoteText"/>
        <w:rPr>
          <w:lang w:val="en-GB"/>
        </w:rPr>
      </w:pPr>
      <w:r>
        <w:rPr>
          <w:rStyle w:val="FootnoteReference"/>
        </w:rPr>
        <w:footnoteRef/>
      </w:r>
      <w:r>
        <w:t xml:space="preserve"> </w:t>
      </w:r>
      <w:r>
        <w:rPr>
          <w:rFonts w:cs="Arial"/>
          <w:i/>
          <w:iCs/>
          <w:szCs w:val="24"/>
        </w:rPr>
        <w:t xml:space="preserve">Road Accident Fund v Sauls </w:t>
      </w:r>
      <w:r w:rsidRPr="006514ED">
        <w:rPr>
          <w:rFonts w:cs="Arial"/>
          <w:szCs w:val="24"/>
        </w:rPr>
        <w:t>2002 2 SA 55 (SCA)</w:t>
      </w:r>
      <w:r w:rsidRPr="00C753E7">
        <w:rPr>
          <w:rFonts w:cs="Arial"/>
          <w:szCs w:val="24"/>
        </w:rPr>
        <w:t>:</w:t>
      </w:r>
      <w:r>
        <w:rPr>
          <w:rFonts w:cs="Arial"/>
          <w:szCs w:val="24"/>
        </w:rPr>
        <w:t>62F.</w:t>
      </w:r>
    </w:p>
  </w:footnote>
  <w:footnote w:id="436">
    <w:p w14:paraId="24E3D6D8" w14:textId="77777777" w:rsidR="00B15586" w:rsidRDefault="00B15586" w:rsidP="00B15586">
      <w:pPr>
        <w:pStyle w:val="FootnoteText"/>
        <w:ind w:left="284" w:hanging="284"/>
      </w:pPr>
      <w:r>
        <w:rPr>
          <w:rStyle w:val="FootnoteReference"/>
        </w:rPr>
        <w:footnoteRef/>
      </w:r>
      <w:r>
        <w:t xml:space="preserve"> </w:t>
      </w:r>
      <w:r>
        <w:tab/>
      </w:r>
      <w:r>
        <w:rPr>
          <w:rFonts w:cs="Arial"/>
        </w:rPr>
        <w:t>Ahmed &amp; Steynberg 2015:181;</w:t>
      </w:r>
      <w:r w:rsidRPr="00974D4B">
        <w:rPr>
          <w:rFonts w:cs="Arial"/>
          <w:i/>
          <w:iCs/>
        </w:rPr>
        <w:t xml:space="preserve"> </w:t>
      </w:r>
      <w:r w:rsidRPr="005B04B1">
        <w:rPr>
          <w:rFonts w:cs="Arial"/>
          <w:i/>
          <w:iCs/>
        </w:rPr>
        <w:t xml:space="preserve">Fourie v Naranjo and Another </w:t>
      </w:r>
      <w:r w:rsidRPr="006514ED">
        <w:rPr>
          <w:rFonts w:cs="Arial"/>
        </w:rPr>
        <w:t>2008 1 SA 192 (C)</w:t>
      </w:r>
      <w:r w:rsidRPr="00C753E7">
        <w:rPr>
          <w:rFonts w:cs="Arial"/>
        </w:rPr>
        <w:t>:</w:t>
      </w:r>
      <w:r>
        <w:rPr>
          <w:rFonts w:cs="Arial"/>
        </w:rPr>
        <w:t>202B.</w:t>
      </w:r>
    </w:p>
  </w:footnote>
  <w:footnote w:id="437">
    <w:p w14:paraId="576C23DE" w14:textId="28BAF1A1" w:rsidR="006E174D" w:rsidRDefault="006E174D" w:rsidP="006E174D">
      <w:pPr>
        <w:pStyle w:val="FootnoteText"/>
        <w:ind w:left="284" w:hanging="284"/>
      </w:pPr>
      <w:r>
        <w:rPr>
          <w:rStyle w:val="FootnoteReference"/>
        </w:rPr>
        <w:footnoteRef/>
      </w:r>
      <w:r>
        <w:t xml:space="preserve"> </w:t>
      </w:r>
      <w:r>
        <w:tab/>
        <w:t>Ahmed &amp; Steynberg 2015:182.</w:t>
      </w:r>
    </w:p>
  </w:footnote>
  <w:footnote w:id="438">
    <w:p w14:paraId="116B8391" w14:textId="05B5B7CF" w:rsidR="00B30EC5" w:rsidRDefault="00B30EC5">
      <w:pPr>
        <w:pStyle w:val="FootnoteText"/>
      </w:pPr>
      <w:r>
        <w:rPr>
          <w:rStyle w:val="FootnoteReference"/>
        </w:rPr>
        <w:footnoteRef/>
      </w:r>
      <w:r>
        <w:t xml:space="preserve"> </w:t>
      </w:r>
      <w:r>
        <w:rPr>
          <w:i/>
          <w:iCs/>
        </w:rPr>
        <w:t>Boswell v Minister of Police &amp; Another</w:t>
      </w:r>
      <w:r>
        <w:t xml:space="preserve"> 1978 3 SA 268 (E):275B</w:t>
      </w:r>
      <w:r w:rsidR="00E97577">
        <w:t>.</w:t>
      </w:r>
    </w:p>
  </w:footnote>
  <w:footnote w:id="439">
    <w:p w14:paraId="1DD362B7" w14:textId="08E9BADD" w:rsidR="00BE1DAF" w:rsidRPr="00BE1DAF" w:rsidRDefault="00BE1DAF">
      <w:pPr>
        <w:pStyle w:val="FootnoteText"/>
        <w:rPr>
          <w:lang w:val="en-GB"/>
        </w:rPr>
      </w:pPr>
      <w:r>
        <w:rPr>
          <w:rStyle w:val="FootnoteReference"/>
        </w:rPr>
        <w:footnoteRef/>
      </w:r>
      <w:r>
        <w:t xml:space="preserve"> </w:t>
      </w:r>
      <w:r w:rsidRPr="00B8019E">
        <w:rPr>
          <w:rFonts w:cs="Arial"/>
          <w:i/>
          <w:iCs/>
          <w:szCs w:val="24"/>
        </w:rPr>
        <w:t xml:space="preserve">Waring &amp; Gillow Ltd. v Sherborne </w:t>
      </w:r>
      <w:r w:rsidRPr="006514ED">
        <w:rPr>
          <w:rFonts w:cs="Arial"/>
          <w:szCs w:val="24"/>
        </w:rPr>
        <w:t>1904 TS 340</w:t>
      </w:r>
      <w:r>
        <w:rPr>
          <w:rFonts w:cs="Arial"/>
          <w:i/>
          <w:iCs/>
          <w:szCs w:val="24"/>
        </w:rPr>
        <w:t>.</w:t>
      </w:r>
    </w:p>
  </w:footnote>
  <w:footnote w:id="440">
    <w:p w14:paraId="5E6685F1" w14:textId="5012873B" w:rsidR="00BE1DAF" w:rsidRPr="00BE1DAF" w:rsidRDefault="00BE1DAF">
      <w:pPr>
        <w:pStyle w:val="FootnoteText"/>
        <w:rPr>
          <w:lang w:val="en-GB"/>
        </w:rPr>
      </w:pPr>
      <w:r>
        <w:rPr>
          <w:rStyle w:val="FootnoteReference"/>
        </w:rPr>
        <w:footnoteRef/>
      </w:r>
      <w:r>
        <w:t xml:space="preserve"> </w:t>
      </w:r>
      <w:r>
        <w:rPr>
          <w:i/>
          <w:iCs/>
        </w:rPr>
        <w:t>Mulder v South British Insurance Co Ltd</w:t>
      </w:r>
      <w:r>
        <w:t xml:space="preserve"> 1957 2 SA 444 (W).</w:t>
      </w:r>
    </w:p>
  </w:footnote>
  <w:footnote w:id="441">
    <w:p w14:paraId="57B62391" w14:textId="51453E78" w:rsidR="00B85F5D" w:rsidRDefault="00B85F5D" w:rsidP="00376DEB">
      <w:pPr>
        <w:pStyle w:val="FootnoteText"/>
        <w:ind w:left="284" w:hanging="284"/>
      </w:pPr>
      <w:r>
        <w:rPr>
          <w:rStyle w:val="FootnoteReference"/>
        </w:rPr>
        <w:footnoteRef/>
      </w:r>
      <w:r>
        <w:t xml:space="preserve"> </w:t>
      </w:r>
      <w:r w:rsidR="00376DEB">
        <w:tab/>
      </w:r>
      <w:r>
        <w:rPr>
          <w:rFonts w:cs="Arial"/>
          <w:i/>
          <w:iCs/>
          <w:szCs w:val="24"/>
        </w:rPr>
        <w:t xml:space="preserve">Bester v Commercial Union Versekeringsmaatskappy van SA Bpk </w:t>
      </w:r>
      <w:r w:rsidRPr="006514ED">
        <w:rPr>
          <w:rFonts w:cs="Arial"/>
          <w:szCs w:val="24"/>
        </w:rPr>
        <w:t>1973 1 SALR 769 (A)</w:t>
      </w:r>
      <w:r w:rsidRPr="00C753E7">
        <w:rPr>
          <w:rFonts w:cs="Arial"/>
          <w:szCs w:val="24"/>
        </w:rPr>
        <w:t>:</w:t>
      </w:r>
      <w:r>
        <w:rPr>
          <w:rFonts w:cs="Arial"/>
          <w:szCs w:val="24"/>
        </w:rPr>
        <w:t>777C.</w:t>
      </w:r>
    </w:p>
  </w:footnote>
  <w:footnote w:id="442">
    <w:p w14:paraId="31B2518D" w14:textId="77777777" w:rsidR="00464629" w:rsidRPr="00B8019E" w:rsidRDefault="00464629" w:rsidP="00464629">
      <w:pPr>
        <w:pStyle w:val="FootnoteText"/>
        <w:ind w:left="284" w:hanging="284"/>
      </w:pPr>
      <w:r w:rsidRPr="00B8019E">
        <w:rPr>
          <w:rStyle w:val="FootnoteReference"/>
        </w:rPr>
        <w:footnoteRef/>
      </w:r>
      <w:r w:rsidRPr="00B8019E">
        <w:t xml:space="preserve"> </w:t>
      </w:r>
      <w:r>
        <w:tab/>
      </w:r>
      <w:r w:rsidRPr="00B8019E">
        <w:rPr>
          <w:rFonts w:cs="Arial"/>
          <w:i/>
          <w:iCs/>
          <w:szCs w:val="24"/>
        </w:rPr>
        <w:t xml:space="preserve">Waring &amp; Gillow Ltd. v Sherborne </w:t>
      </w:r>
      <w:r w:rsidRPr="006514ED">
        <w:rPr>
          <w:rFonts w:cs="Arial"/>
          <w:szCs w:val="24"/>
        </w:rPr>
        <w:t>1904 TS 340</w:t>
      </w:r>
      <w:r w:rsidRPr="00C753E7">
        <w:rPr>
          <w:rFonts w:cs="Arial"/>
          <w:szCs w:val="24"/>
        </w:rPr>
        <w:t>:</w:t>
      </w:r>
      <w:r>
        <w:rPr>
          <w:rFonts w:cs="Arial"/>
          <w:szCs w:val="24"/>
        </w:rPr>
        <w:t>340.</w:t>
      </w:r>
    </w:p>
  </w:footnote>
  <w:footnote w:id="443">
    <w:p w14:paraId="0FFD2E5C" w14:textId="77777777" w:rsidR="009A222E" w:rsidRDefault="009A222E" w:rsidP="009A222E">
      <w:pPr>
        <w:pStyle w:val="FootnoteText"/>
      </w:pPr>
      <w:r>
        <w:rPr>
          <w:rStyle w:val="FootnoteReference"/>
        </w:rPr>
        <w:footnoteRef/>
      </w:r>
      <w:r>
        <w:t xml:space="preserve"> </w:t>
      </w:r>
      <w:r>
        <w:rPr>
          <w:i/>
          <w:iCs/>
        </w:rPr>
        <w:t>Mulder v South British Insurance Co Ltd</w:t>
      </w:r>
      <w:r>
        <w:t xml:space="preserve"> 1957 2 SA 444 (W):444H-445A.</w:t>
      </w:r>
    </w:p>
  </w:footnote>
  <w:footnote w:id="444">
    <w:p w14:paraId="46D92098" w14:textId="77777777" w:rsidR="009A222E" w:rsidRDefault="009A222E" w:rsidP="009A222E">
      <w:pPr>
        <w:pStyle w:val="FootnoteText"/>
      </w:pPr>
      <w:r>
        <w:rPr>
          <w:rStyle w:val="FootnoteReference"/>
        </w:rPr>
        <w:footnoteRef/>
      </w:r>
      <w:r>
        <w:t xml:space="preserve"> </w:t>
      </w:r>
      <w:r>
        <w:rPr>
          <w:i/>
          <w:iCs/>
        </w:rPr>
        <w:t>Mulder v South British Insurance Co Ltd</w:t>
      </w:r>
      <w:r>
        <w:t xml:space="preserve"> 1957 2 SA 444 (W):450.</w:t>
      </w:r>
    </w:p>
  </w:footnote>
  <w:footnote w:id="445">
    <w:p w14:paraId="0C11A0C5" w14:textId="77777777" w:rsidR="002977D8" w:rsidRDefault="002977D8" w:rsidP="00F6619E">
      <w:pPr>
        <w:pStyle w:val="FootnoteText"/>
        <w:ind w:left="284" w:hanging="284"/>
      </w:pPr>
      <w:r>
        <w:rPr>
          <w:rStyle w:val="FootnoteReference"/>
        </w:rPr>
        <w:footnoteRef/>
      </w:r>
      <w:r>
        <w:t xml:space="preserve"> </w:t>
      </w:r>
      <w:r>
        <w:tab/>
      </w:r>
      <w:r>
        <w:rPr>
          <w:rFonts w:cs="Arial"/>
          <w:i/>
          <w:iCs/>
          <w:szCs w:val="24"/>
        </w:rPr>
        <w:t xml:space="preserve">Bester v Commercial Union Versekeringsmaatskappy van SA Bpk </w:t>
      </w:r>
      <w:r w:rsidRPr="006514ED">
        <w:rPr>
          <w:rFonts w:cs="Arial"/>
          <w:szCs w:val="24"/>
        </w:rPr>
        <w:t>1973 1 SALR 769 (A)</w:t>
      </w:r>
      <w:r>
        <w:rPr>
          <w:rFonts w:cs="Arial"/>
          <w:szCs w:val="24"/>
        </w:rPr>
        <w:t>:774-775.</w:t>
      </w:r>
    </w:p>
  </w:footnote>
  <w:footnote w:id="446">
    <w:p w14:paraId="4E935C68" w14:textId="12C91A67" w:rsidR="004B5BA4" w:rsidRDefault="004B5BA4">
      <w:pPr>
        <w:pStyle w:val="FootnoteText"/>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sidRPr="00D66CC3">
        <w:rPr>
          <w:rFonts w:cs="Arial"/>
          <w:szCs w:val="24"/>
        </w:rPr>
        <w:t>:</w:t>
      </w:r>
      <w:r>
        <w:rPr>
          <w:rFonts w:cs="Arial"/>
          <w:szCs w:val="24"/>
        </w:rPr>
        <w:t>781.</w:t>
      </w:r>
    </w:p>
  </w:footnote>
  <w:footnote w:id="447">
    <w:p w14:paraId="4A3333C6" w14:textId="77777777" w:rsidR="004B5BA4" w:rsidRDefault="004B5BA4" w:rsidP="004B5BA4">
      <w:pPr>
        <w:pStyle w:val="FootnoteText"/>
      </w:pPr>
      <w:r>
        <w:rPr>
          <w:rStyle w:val="FootnoteReference"/>
        </w:rPr>
        <w:footnoteRef/>
      </w:r>
      <w:r>
        <w:t xml:space="preserve"> </w:t>
      </w:r>
      <w:r>
        <w:rPr>
          <w:rFonts w:cs="Arial"/>
          <w:i/>
          <w:iCs/>
          <w:szCs w:val="24"/>
        </w:rPr>
        <w:t xml:space="preserve">Bester v Commercial Union Versekeringsmaatskappy van SA Bpk </w:t>
      </w:r>
      <w:r w:rsidRPr="006514ED">
        <w:rPr>
          <w:rFonts w:cs="Arial"/>
          <w:szCs w:val="24"/>
        </w:rPr>
        <w:t>1973 1 SALR 769 (A)</w:t>
      </w:r>
      <w:r w:rsidRPr="00D66CC3">
        <w:rPr>
          <w:rFonts w:cs="Arial"/>
          <w:szCs w:val="24"/>
        </w:rPr>
        <w:t>:</w:t>
      </w:r>
      <w:r>
        <w:rPr>
          <w:rFonts w:cs="Arial"/>
          <w:szCs w:val="24"/>
        </w:rPr>
        <w:t>781.</w:t>
      </w:r>
    </w:p>
  </w:footnote>
  <w:footnote w:id="448">
    <w:p w14:paraId="687009D4" w14:textId="550C875E" w:rsidR="00673A75" w:rsidRDefault="00673A75">
      <w:pPr>
        <w:pStyle w:val="FootnoteText"/>
      </w:pPr>
      <w:r>
        <w:rPr>
          <w:rStyle w:val="FootnoteReference"/>
        </w:rPr>
        <w:footnoteRef/>
      </w:r>
      <w:r>
        <w:t xml:space="preserve"> </w:t>
      </w:r>
      <w:r>
        <w:rPr>
          <w:rFonts w:cs="Arial"/>
          <w:i/>
          <w:iCs/>
          <w:szCs w:val="24"/>
        </w:rPr>
        <w:t xml:space="preserve">Masiba and Another v Constantia Insurance Co Ltd and Another </w:t>
      </w:r>
      <w:r w:rsidRPr="00340689">
        <w:rPr>
          <w:rFonts w:cs="Arial"/>
          <w:szCs w:val="24"/>
        </w:rPr>
        <w:t>1982 4 SA 333 (C)</w:t>
      </w:r>
      <w:r w:rsidR="009E16DA" w:rsidRPr="00340689">
        <w:rPr>
          <w:rFonts w:cs="Arial"/>
          <w:szCs w:val="24"/>
        </w:rPr>
        <w:t>.</w:t>
      </w:r>
    </w:p>
  </w:footnote>
  <w:footnote w:id="449">
    <w:p w14:paraId="2CE08F92" w14:textId="77777777" w:rsidR="00985075" w:rsidRPr="00D66CC3" w:rsidRDefault="00985075" w:rsidP="00985075">
      <w:pPr>
        <w:pStyle w:val="FootnoteText"/>
      </w:pPr>
      <w:r>
        <w:rPr>
          <w:rStyle w:val="FootnoteReference"/>
        </w:rPr>
        <w:footnoteRef/>
      </w:r>
      <w:r>
        <w:t xml:space="preserve"> </w:t>
      </w:r>
      <w:r>
        <w:rPr>
          <w:rFonts w:cs="Arial"/>
          <w:i/>
          <w:iCs/>
          <w:szCs w:val="24"/>
        </w:rPr>
        <w:t xml:space="preserve">Masiba and Another v Constantia Insurance Co Ltd and Another </w:t>
      </w:r>
      <w:r w:rsidRPr="00340689">
        <w:rPr>
          <w:rFonts w:cs="Arial"/>
          <w:szCs w:val="24"/>
        </w:rPr>
        <w:t>1982 4 SA 333 (C):333F-334A.</w:t>
      </w:r>
    </w:p>
  </w:footnote>
  <w:footnote w:id="450">
    <w:p w14:paraId="01F94684" w14:textId="77777777" w:rsidR="004327F7" w:rsidRDefault="004327F7" w:rsidP="004327F7">
      <w:pPr>
        <w:pStyle w:val="FootnoteText"/>
        <w:ind w:left="284" w:hanging="284"/>
      </w:pPr>
      <w:r>
        <w:rPr>
          <w:rStyle w:val="FootnoteReference"/>
        </w:rPr>
        <w:footnoteRef/>
      </w:r>
      <w:r>
        <w:t xml:space="preserve"> </w:t>
      </w:r>
      <w:r>
        <w:tab/>
      </w:r>
      <w:r>
        <w:rPr>
          <w:rFonts w:cs="Arial"/>
          <w:i/>
          <w:iCs/>
          <w:szCs w:val="24"/>
        </w:rPr>
        <w:t xml:space="preserve">Masiba and Another v Constantia Insurance Co Ltd and Another </w:t>
      </w:r>
      <w:r w:rsidRPr="00340689">
        <w:rPr>
          <w:rFonts w:cs="Arial"/>
          <w:szCs w:val="24"/>
        </w:rPr>
        <w:t>1982 4 SA 333 (C)</w:t>
      </w:r>
      <w:r>
        <w:rPr>
          <w:rFonts w:cs="Arial"/>
          <w:szCs w:val="24"/>
        </w:rPr>
        <w:t>:343C-D.</w:t>
      </w:r>
    </w:p>
  </w:footnote>
  <w:footnote w:id="451">
    <w:p w14:paraId="6A8E614E" w14:textId="72B36222" w:rsidR="00492A06" w:rsidRDefault="00492A06">
      <w:pPr>
        <w:pStyle w:val="FootnoteText"/>
      </w:pPr>
      <w:r>
        <w:rPr>
          <w:rStyle w:val="FootnoteReference"/>
        </w:rPr>
        <w:footnoteRef/>
      </w:r>
      <w:r>
        <w:t xml:space="preserve"> </w:t>
      </w:r>
      <w:r>
        <w:rPr>
          <w:i/>
          <w:iCs/>
        </w:rPr>
        <w:t>Majiet v Santam Limited</w:t>
      </w:r>
      <w:r>
        <w:t xml:space="preserve"> 1997 4 All SA 555 (C)</w:t>
      </w:r>
      <w:r w:rsidR="00D66CC3">
        <w:t>.</w:t>
      </w:r>
    </w:p>
  </w:footnote>
  <w:footnote w:id="452">
    <w:p w14:paraId="7B1425EF" w14:textId="6252CAE4" w:rsidR="006C3F04" w:rsidRPr="006C3F04" w:rsidRDefault="006C3F04">
      <w:pPr>
        <w:pStyle w:val="FootnoteText"/>
      </w:pPr>
      <w:r>
        <w:rPr>
          <w:rStyle w:val="FootnoteReference"/>
        </w:rPr>
        <w:footnoteRef/>
      </w:r>
      <w:r>
        <w:t xml:space="preserve"> </w:t>
      </w:r>
      <w:r>
        <w:rPr>
          <w:i/>
          <w:iCs/>
        </w:rPr>
        <w:t xml:space="preserve">Majiet v Santam Limited </w:t>
      </w:r>
      <w:r>
        <w:t>1997 4 All SA 555 (C):556i-j</w:t>
      </w:r>
      <w:r w:rsidR="00401303">
        <w:t>; 562</w:t>
      </w:r>
      <w:r w:rsidR="00D87130">
        <w:t>d</w:t>
      </w:r>
      <w:r w:rsidR="00206020">
        <w:t>-e</w:t>
      </w:r>
      <w:r>
        <w:t>.</w:t>
      </w:r>
    </w:p>
  </w:footnote>
  <w:footnote w:id="453">
    <w:p w14:paraId="50FEEA07" w14:textId="7306CD51" w:rsidR="00234BEA" w:rsidRDefault="00234BEA">
      <w:pPr>
        <w:pStyle w:val="FootnoteText"/>
      </w:pPr>
      <w:r>
        <w:rPr>
          <w:rStyle w:val="FootnoteReference"/>
        </w:rPr>
        <w:footnoteRef/>
      </w:r>
      <w:r>
        <w:t xml:space="preserve"> </w:t>
      </w:r>
      <w:r>
        <w:rPr>
          <w:i/>
          <w:iCs/>
        </w:rPr>
        <w:t xml:space="preserve">Majiet v Santam Limited </w:t>
      </w:r>
      <w:r>
        <w:t>1997 4 All SA 555 (C):558a.</w:t>
      </w:r>
    </w:p>
  </w:footnote>
  <w:footnote w:id="454">
    <w:p w14:paraId="6B55461F" w14:textId="33AAE95C" w:rsidR="00AD3E83" w:rsidRDefault="00AD3E83">
      <w:pPr>
        <w:pStyle w:val="FootnoteText"/>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w:t>
      </w:r>
    </w:p>
  </w:footnote>
  <w:footnote w:id="455">
    <w:p w14:paraId="399834F9" w14:textId="396EA23D" w:rsidR="005E5524" w:rsidRDefault="005E5524">
      <w:pPr>
        <w:pStyle w:val="FootnoteText"/>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w:t>
      </w:r>
      <w:r w:rsidR="00292C89" w:rsidRPr="00292C89">
        <w:rPr>
          <w:rFonts w:cs="Arial"/>
          <w:szCs w:val="24"/>
        </w:rPr>
        <w:t xml:space="preserve"> </w:t>
      </w:r>
      <w:r w:rsidR="00292C89">
        <w:rPr>
          <w:rFonts w:cs="Arial"/>
          <w:szCs w:val="24"/>
        </w:rPr>
        <w:t xml:space="preserve">205G-H, </w:t>
      </w:r>
      <w:r>
        <w:rPr>
          <w:rFonts w:cs="Arial"/>
          <w:szCs w:val="24"/>
        </w:rPr>
        <w:t>207I-208A.</w:t>
      </w:r>
    </w:p>
  </w:footnote>
  <w:footnote w:id="456">
    <w:p w14:paraId="1048FF95" w14:textId="2D9C555C" w:rsidR="001F2D4C" w:rsidRDefault="001F2D4C">
      <w:pPr>
        <w:pStyle w:val="FootnoteText"/>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:213E-F.</w:t>
      </w:r>
    </w:p>
  </w:footnote>
  <w:footnote w:id="457">
    <w:p w14:paraId="64A08F6D" w14:textId="18C0C336" w:rsidR="00AB225A" w:rsidRDefault="00AB225A" w:rsidP="0085129A">
      <w:pPr>
        <w:pStyle w:val="FootnoteText"/>
        <w:ind w:left="284" w:hanging="284"/>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:215B-C</w:t>
      </w:r>
      <w:r w:rsidR="0085129A">
        <w:rPr>
          <w:rFonts w:cs="Arial"/>
          <w:szCs w:val="24"/>
        </w:rPr>
        <w:t>, E. The Court was satisfied that public policy required it to hold the bus driver liable for the damage, and that such order was just, reasonable and fair.</w:t>
      </w:r>
    </w:p>
  </w:footnote>
  <w:footnote w:id="458">
    <w:p w14:paraId="426B0815" w14:textId="2FD96201" w:rsidR="00B7120E" w:rsidRDefault="00B7120E" w:rsidP="00DC22AB">
      <w:pPr>
        <w:pStyle w:val="FootnoteText"/>
        <w:ind w:left="284" w:hanging="284"/>
      </w:pPr>
      <w:r>
        <w:rPr>
          <w:rStyle w:val="FootnoteReference"/>
        </w:rPr>
        <w:footnoteRef/>
      </w:r>
      <w:r>
        <w:t xml:space="preserve"> </w:t>
      </w:r>
      <w:r w:rsidRPr="007A31D6">
        <w:rPr>
          <w:rFonts w:cs="Arial"/>
          <w:i/>
          <w:iCs/>
          <w:szCs w:val="24"/>
        </w:rPr>
        <w:t xml:space="preserve">Barnard v Santam Bpk </w:t>
      </w:r>
      <w:r w:rsidRPr="004A2251">
        <w:rPr>
          <w:rFonts w:cs="Arial"/>
          <w:szCs w:val="24"/>
        </w:rPr>
        <w:t>1999 1 SA 202 (SCA)</w:t>
      </w:r>
      <w:r>
        <w:rPr>
          <w:rFonts w:cs="Arial"/>
          <w:szCs w:val="24"/>
        </w:rPr>
        <w:t>:205G.</w:t>
      </w:r>
      <w:r w:rsidR="00C37B6C">
        <w:rPr>
          <w:rFonts w:cs="Arial"/>
          <w:szCs w:val="24"/>
        </w:rPr>
        <w:t xml:space="preserve"> See also the case of </w:t>
      </w:r>
      <w:r w:rsidR="00C37B6C">
        <w:rPr>
          <w:i/>
          <w:iCs/>
          <w:lang w:val="en-GB"/>
        </w:rPr>
        <w:t xml:space="preserve">Swartbooi v Road Accident Fund </w:t>
      </w:r>
      <w:r w:rsidR="00C37B6C">
        <w:rPr>
          <w:lang w:val="en-GB"/>
        </w:rPr>
        <w:t>(2013 1 SA 30 (WCC)</w:t>
      </w:r>
      <w:r w:rsidR="00DC22AB">
        <w:rPr>
          <w:lang w:val="en-GB"/>
        </w:rPr>
        <w:t>:36D), where the deceased’s mother received award after telephonically learning that her son died after the driver of the vehicle he was travelling in lost control resulting from a burst tyre.</w:t>
      </w:r>
    </w:p>
  </w:footnote>
  <w:footnote w:id="459">
    <w:p w14:paraId="7149DBCF" w14:textId="32B785F6" w:rsidR="00C678B4" w:rsidRDefault="00C678B4">
      <w:pPr>
        <w:pStyle w:val="FootnoteText"/>
      </w:pPr>
      <w:r>
        <w:rPr>
          <w:rStyle w:val="FootnoteReference"/>
        </w:rPr>
        <w:footnoteRef/>
      </w:r>
      <w:r>
        <w:t xml:space="preserve"> </w:t>
      </w:r>
      <w:r>
        <w:rPr>
          <w:rFonts w:cs="Arial"/>
          <w:i/>
          <w:iCs/>
          <w:szCs w:val="24"/>
        </w:rPr>
        <w:t>Road Accident Fund v Sauls</w:t>
      </w:r>
      <w:r w:rsidRPr="004A2251">
        <w:rPr>
          <w:rFonts w:cs="Arial"/>
          <w:szCs w:val="24"/>
        </w:rPr>
        <w:t xml:space="preserve"> 2002 2 SA 55 (SCA)</w:t>
      </w:r>
      <w:r>
        <w:rPr>
          <w:rFonts w:cs="Arial"/>
          <w:szCs w:val="24"/>
        </w:rPr>
        <w:t>.</w:t>
      </w:r>
    </w:p>
  </w:footnote>
  <w:footnote w:id="460">
    <w:p w14:paraId="0A30AB1D" w14:textId="29B5B390" w:rsidR="00C339F2" w:rsidRDefault="00C339F2">
      <w:pPr>
        <w:pStyle w:val="FootnoteText"/>
      </w:pPr>
      <w:r>
        <w:rPr>
          <w:rStyle w:val="FootnoteReference"/>
        </w:rPr>
        <w:footnoteRef/>
      </w:r>
      <w:r>
        <w:t xml:space="preserve"> </w:t>
      </w:r>
      <w:r>
        <w:rPr>
          <w:rFonts w:cs="Arial"/>
          <w:i/>
          <w:iCs/>
          <w:szCs w:val="24"/>
        </w:rPr>
        <w:t>Road Accident Fund v Sauls</w:t>
      </w:r>
      <w:r w:rsidRPr="004A2251">
        <w:rPr>
          <w:rFonts w:cs="Arial"/>
          <w:szCs w:val="24"/>
        </w:rPr>
        <w:t xml:space="preserve"> 2002 2 SA 55 (SCA)</w:t>
      </w:r>
      <w:r>
        <w:rPr>
          <w:rFonts w:cs="Arial"/>
          <w:szCs w:val="24"/>
        </w:rPr>
        <w:t>:59E</w:t>
      </w:r>
      <w:r w:rsidR="00A862D2">
        <w:rPr>
          <w:rFonts w:cs="Arial"/>
          <w:szCs w:val="24"/>
        </w:rPr>
        <w:t>, H</w:t>
      </w:r>
      <w:r>
        <w:rPr>
          <w:rFonts w:cs="Arial"/>
          <w:szCs w:val="24"/>
        </w:rPr>
        <w:t>.</w:t>
      </w:r>
    </w:p>
  </w:footnote>
  <w:footnote w:id="461">
    <w:p w14:paraId="19535B94" w14:textId="513C563F" w:rsidR="00F82895" w:rsidRPr="00F82895" w:rsidRDefault="00F82895">
      <w:pPr>
        <w:pStyle w:val="FootnoteText"/>
        <w:rPr>
          <w:lang w:val="en-GB"/>
        </w:rPr>
      </w:pPr>
      <w:r>
        <w:rPr>
          <w:rStyle w:val="FootnoteReference"/>
        </w:rPr>
        <w:footnoteRef/>
      </w:r>
      <w:r>
        <w:t xml:space="preserve"> </w:t>
      </w:r>
      <w:r>
        <w:rPr>
          <w:rFonts w:cs="Arial"/>
          <w:i/>
          <w:iCs/>
          <w:szCs w:val="24"/>
        </w:rPr>
        <w:t>Road Accident Fund v Sauls</w:t>
      </w:r>
      <w:r w:rsidRPr="004A2251">
        <w:rPr>
          <w:rFonts w:cs="Arial"/>
          <w:szCs w:val="24"/>
        </w:rPr>
        <w:t xml:space="preserve"> 2002 2 SA 55 (SCA)</w:t>
      </w:r>
      <w:r>
        <w:rPr>
          <w:rFonts w:cs="Arial"/>
          <w:szCs w:val="24"/>
        </w:rPr>
        <w:t>:58G-H.</w:t>
      </w:r>
    </w:p>
  </w:footnote>
  <w:footnote w:id="462">
    <w:p w14:paraId="252BFCD3" w14:textId="4F72802F" w:rsidR="00841A5F" w:rsidRDefault="00841A5F">
      <w:pPr>
        <w:pStyle w:val="FootnoteText"/>
      </w:pPr>
      <w:r>
        <w:rPr>
          <w:rStyle w:val="FootnoteReference"/>
        </w:rPr>
        <w:footnoteRef/>
      </w:r>
      <w:r>
        <w:t xml:space="preserve"> </w:t>
      </w:r>
      <w:r>
        <w:rPr>
          <w:rFonts w:cs="Arial"/>
          <w:i/>
          <w:iCs/>
          <w:szCs w:val="24"/>
        </w:rPr>
        <w:t>Road Accident Fund v Sauls</w:t>
      </w:r>
      <w:r w:rsidRPr="004A2251">
        <w:rPr>
          <w:rFonts w:cs="Arial"/>
          <w:szCs w:val="24"/>
        </w:rPr>
        <w:t xml:space="preserve"> 2002 2 SA 55 (SCA)</w:t>
      </w:r>
      <w:r>
        <w:rPr>
          <w:rFonts w:cs="Arial"/>
          <w:szCs w:val="24"/>
        </w:rPr>
        <w:t>:</w:t>
      </w:r>
      <w:r w:rsidR="00F82895">
        <w:rPr>
          <w:rFonts w:cs="Arial"/>
          <w:szCs w:val="24"/>
        </w:rPr>
        <w:t>61A-C.</w:t>
      </w:r>
    </w:p>
  </w:footnote>
  <w:footnote w:id="463">
    <w:p w14:paraId="22E138A5" w14:textId="37286184" w:rsidR="00A4749F" w:rsidRPr="00A4749F" w:rsidRDefault="00A4749F">
      <w:pPr>
        <w:pStyle w:val="FootnoteText"/>
        <w:rPr>
          <w:lang w:val="en-GB"/>
        </w:rPr>
      </w:pPr>
      <w:r>
        <w:rPr>
          <w:rStyle w:val="FootnoteReference"/>
        </w:rPr>
        <w:footnoteRef/>
      </w:r>
      <w:r>
        <w:t xml:space="preserve"> </w:t>
      </w:r>
      <w:r>
        <w:rPr>
          <w:rFonts w:cs="Arial"/>
          <w:i/>
          <w:iCs/>
          <w:szCs w:val="24"/>
        </w:rPr>
        <w:t>Road Accident Fund v Sauls</w:t>
      </w:r>
      <w:r w:rsidRPr="004A2251">
        <w:rPr>
          <w:rFonts w:cs="Arial"/>
          <w:szCs w:val="24"/>
        </w:rPr>
        <w:t xml:space="preserve"> 2002 2 SA 55 (SCA)</w:t>
      </w:r>
      <w:r>
        <w:rPr>
          <w:rFonts w:cs="Arial"/>
          <w:szCs w:val="24"/>
        </w:rPr>
        <w:t>:60C-E. Requiring either a “mere possibility”, or the precise or exact manner, of harm was unnecessary.</w:t>
      </w:r>
    </w:p>
  </w:footnote>
  <w:footnote w:id="464">
    <w:p w14:paraId="44358D45" w14:textId="77777777" w:rsidR="00E74E85" w:rsidRDefault="00E74E85" w:rsidP="00E74E85">
      <w:pPr>
        <w:pStyle w:val="FootnoteText"/>
        <w:ind w:left="284" w:hanging="284"/>
      </w:pPr>
      <w:r>
        <w:rPr>
          <w:rStyle w:val="FootnoteReference"/>
        </w:rPr>
        <w:footnoteRef/>
      </w:r>
      <w:r>
        <w:t xml:space="preserve"> </w:t>
      </w:r>
      <w:r>
        <w:tab/>
      </w:r>
      <w:bookmarkStart w:id="58" w:name="_Hlk183634258"/>
      <w:r>
        <w:rPr>
          <w:rFonts w:cs="Arial"/>
          <w:i/>
          <w:iCs/>
          <w:szCs w:val="24"/>
        </w:rPr>
        <w:t xml:space="preserve">Road Accident Fund v Sauls </w:t>
      </w:r>
      <w:r w:rsidRPr="00340689">
        <w:rPr>
          <w:rFonts w:cs="Arial"/>
          <w:szCs w:val="24"/>
        </w:rPr>
        <w:t>2002 2 SA 55 (SCA)</w:t>
      </w:r>
      <w:bookmarkEnd w:id="58"/>
      <w:r w:rsidRPr="00180047">
        <w:rPr>
          <w:rFonts w:cs="Arial"/>
          <w:szCs w:val="24"/>
        </w:rPr>
        <w:t>:</w:t>
      </w:r>
      <w:r>
        <w:rPr>
          <w:rFonts w:cs="Arial"/>
          <w:szCs w:val="24"/>
        </w:rPr>
        <w:t>61C.</w:t>
      </w:r>
    </w:p>
  </w:footnote>
  <w:footnote w:id="465">
    <w:p w14:paraId="5ACC51EC" w14:textId="782501F1" w:rsidR="008A119E" w:rsidRPr="008A119E" w:rsidRDefault="008A119E" w:rsidP="008A119E">
      <w:pPr>
        <w:pStyle w:val="FootnoteText"/>
        <w:ind w:left="284" w:hanging="284"/>
        <w:rPr>
          <w:lang w:val="en-GB"/>
        </w:rPr>
      </w:pPr>
      <w:r>
        <w:rPr>
          <w:rStyle w:val="FootnoteReference"/>
        </w:rPr>
        <w:footnoteRef/>
      </w:r>
      <w:r>
        <w:t xml:space="preserve"> </w:t>
      </w:r>
      <w:r>
        <w:rPr>
          <w:rFonts w:cs="Arial"/>
          <w:i/>
          <w:iCs/>
          <w:szCs w:val="24"/>
        </w:rPr>
        <w:t xml:space="preserve">Road Accident Fund v Sauls </w:t>
      </w:r>
      <w:r w:rsidRPr="00340689">
        <w:rPr>
          <w:rFonts w:cs="Arial"/>
          <w:szCs w:val="24"/>
        </w:rPr>
        <w:t>2002 2 SA 55 (SCA):</w:t>
      </w:r>
      <w:r>
        <w:rPr>
          <w:rFonts w:cs="Arial"/>
          <w:szCs w:val="24"/>
        </w:rPr>
        <w:t>62H. Claims are not limited to persons in relationships of a defined nature</w:t>
      </w:r>
      <w:r w:rsidR="007320B3">
        <w:rPr>
          <w:rFonts w:cs="Arial"/>
          <w:szCs w:val="24"/>
        </w:rPr>
        <w:t xml:space="preserve"> between the primary and secondary victims</w:t>
      </w:r>
      <w:r w:rsidR="00E537C5">
        <w:rPr>
          <w:rFonts w:cs="Arial"/>
          <w:szCs w:val="24"/>
        </w:rPr>
        <w:t xml:space="preserve"> (e.g., </w:t>
      </w:r>
      <w:r>
        <w:rPr>
          <w:rFonts w:cs="Arial"/>
          <w:szCs w:val="24"/>
        </w:rPr>
        <w:t>spouses</w:t>
      </w:r>
      <w:r w:rsidR="00E537C5">
        <w:rPr>
          <w:rFonts w:cs="Arial"/>
          <w:szCs w:val="24"/>
        </w:rPr>
        <w:t>, and parents and children).</w:t>
      </w:r>
    </w:p>
  </w:footnote>
  <w:footnote w:id="466">
    <w:p w14:paraId="6B006BFB" w14:textId="61882F9C" w:rsidR="00B861BB" w:rsidRPr="00B861BB" w:rsidRDefault="00B861BB">
      <w:pPr>
        <w:pStyle w:val="FootnoteText"/>
        <w:rPr>
          <w:lang w:val="en-GB"/>
        </w:rPr>
      </w:pPr>
      <w:r>
        <w:rPr>
          <w:rStyle w:val="FootnoteReference"/>
        </w:rPr>
        <w:footnoteRef/>
      </w:r>
      <w:r>
        <w:t xml:space="preserve"> </w:t>
      </w:r>
      <w:r>
        <w:rPr>
          <w:rFonts w:cs="Arial"/>
          <w:i/>
          <w:iCs/>
          <w:szCs w:val="24"/>
        </w:rPr>
        <w:t xml:space="preserve">Road Accident Fund v </w:t>
      </w:r>
      <w:r w:rsidRPr="00340689">
        <w:rPr>
          <w:rFonts w:cs="Arial"/>
          <w:i/>
          <w:iCs/>
          <w:szCs w:val="24"/>
        </w:rPr>
        <w:t xml:space="preserve">Sauls </w:t>
      </w:r>
      <w:r w:rsidRPr="00340689">
        <w:rPr>
          <w:rFonts w:cs="Arial"/>
          <w:szCs w:val="24"/>
        </w:rPr>
        <w:t>2002 2 SA 55 (SCA)</w:t>
      </w:r>
      <w:r w:rsidRPr="00180047">
        <w:rPr>
          <w:rFonts w:cs="Arial"/>
          <w:szCs w:val="24"/>
        </w:rPr>
        <w:t>:</w:t>
      </w:r>
      <w:r>
        <w:rPr>
          <w:rFonts w:cs="Arial"/>
          <w:szCs w:val="24"/>
        </w:rPr>
        <w:t>62F</w:t>
      </w:r>
      <w:r w:rsidR="004A211C">
        <w:rPr>
          <w:rFonts w:cs="Arial"/>
          <w:szCs w:val="24"/>
        </w:rPr>
        <w:t>.</w:t>
      </w:r>
    </w:p>
  </w:footnote>
  <w:footnote w:id="467">
    <w:p w14:paraId="5999904C" w14:textId="0456AB4A" w:rsidR="00C81DE3" w:rsidRPr="00C81DE3" w:rsidRDefault="00C81DE3">
      <w:pPr>
        <w:pStyle w:val="FootnoteText"/>
        <w:rPr>
          <w:lang w:val="en-GB"/>
        </w:rPr>
      </w:pPr>
      <w:r>
        <w:rPr>
          <w:rStyle w:val="FootnoteReference"/>
        </w:rPr>
        <w:footnoteRef/>
      </w:r>
      <w:r>
        <w:t xml:space="preserve"> </w:t>
      </w:r>
      <w:r>
        <w:rPr>
          <w:i/>
          <w:iCs/>
          <w:lang w:val="en-GB"/>
        </w:rPr>
        <w:t>Clinton-Parker v Administrator, Transvaal Dawkins v Administrator, Transvaal</w:t>
      </w:r>
      <w:r>
        <w:rPr>
          <w:lang w:val="en-GB"/>
        </w:rPr>
        <w:t xml:space="preserve"> 1996 2 SA 37 (W).</w:t>
      </w:r>
    </w:p>
  </w:footnote>
  <w:footnote w:id="468">
    <w:p w14:paraId="3C1F0123" w14:textId="50223403" w:rsidR="00C81DE3" w:rsidRPr="00C81DE3" w:rsidRDefault="00C81DE3">
      <w:pPr>
        <w:pStyle w:val="FootnoteText"/>
        <w:rPr>
          <w:lang w:val="en-GB"/>
        </w:rPr>
      </w:pPr>
      <w:r>
        <w:rPr>
          <w:rStyle w:val="FootnoteReference"/>
        </w:rPr>
        <w:footnoteRef/>
      </w:r>
      <w:r>
        <w:t xml:space="preserve"> </w:t>
      </w:r>
      <w:r>
        <w:rPr>
          <w:i/>
          <w:iCs/>
          <w:lang w:val="en-GB"/>
        </w:rPr>
        <w:t>Clinton-Parker v Administrator, Transvaal Dawkins v Administrator, Transvaal</w:t>
      </w:r>
      <w:r>
        <w:rPr>
          <w:lang w:val="en-GB"/>
        </w:rPr>
        <w:t xml:space="preserve"> 1996 2 SA 37 (W):40A</w:t>
      </w:r>
      <w:r w:rsidR="00900E47">
        <w:rPr>
          <w:lang w:val="en-GB"/>
        </w:rPr>
        <w:t xml:space="preserve"> H</w:t>
      </w:r>
      <w:r>
        <w:rPr>
          <w:lang w:val="en-GB"/>
        </w:rPr>
        <w:t>.</w:t>
      </w:r>
    </w:p>
  </w:footnote>
  <w:footnote w:id="469">
    <w:p w14:paraId="4938EBAF" w14:textId="53818344" w:rsidR="00985F5B" w:rsidRPr="00985F5B" w:rsidRDefault="00985F5B">
      <w:pPr>
        <w:pStyle w:val="FootnoteText"/>
        <w:rPr>
          <w:lang w:val="en-GB"/>
        </w:rPr>
      </w:pPr>
      <w:r>
        <w:rPr>
          <w:rStyle w:val="FootnoteReference"/>
        </w:rPr>
        <w:footnoteRef/>
      </w:r>
      <w:r>
        <w:t xml:space="preserve"> </w:t>
      </w:r>
      <w:r>
        <w:rPr>
          <w:i/>
          <w:iCs/>
          <w:lang w:val="en-GB"/>
        </w:rPr>
        <w:t>Clinton-Parker v Administrator, Transvaal Dawkins v Administrator, Transvaal</w:t>
      </w:r>
      <w:r>
        <w:rPr>
          <w:lang w:val="en-GB"/>
        </w:rPr>
        <w:t xml:space="preserve"> 1996 2 SA 37 (W):47B-C.</w:t>
      </w:r>
    </w:p>
  </w:footnote>
  <w:footnote w:id="470">
    <w:p w14:paraId="7D053457" w14:textId="38ADB438" w:rsidR="0006592B" w:rsidRPr="0006592B" w:rsidRDefault="0006592B">
      <w:pPr>
        <w:pStyle w:val="FootnoteText"/>
        <w:rPr>
          <w:lang w:val="en-GB"/>
        </w:rPr>
      </w:pPr>
      <w:r>
        <w:rPr>
          <w:rStyle w:val="FootnoteReference"/>
        </w:rPr>
        <w:footnoteRef/>
      </w:r>
      <w:r>
        <w:t xml:space="preserve"> </w:t>
      </w:r>
      <w:r>
        <w:rPr>
          <w:i/>
          <w:iCs/>
          <w:lang w:val="en-GB"/>
        </w:rPr>
        <w:t>Clinton-Parker v Administrator, Transvaal Dawkins v Administrator, Transvaal</w:t>
      </w:r>
      <w:r>
        <w:rPr>
          <w:lang w:val="en-GB"/>
        </w:rPr>
        <w:t xml:space="preserve"> 1996 2 SA 37 (W):69B.</w:t>
      </w:r>
    </w:p>
  </w:footnote>
  <w:footnote w:id="471">
    <w:p w14:paraId="2320586E" w14:textId="01918CDC" w:rsidR="0006592B" w:rsidRPr="0006592B" w:rsidRDefault="0006592B">
      <w:pPr>
        <w:pStyle w:val="FootnoteText"/>
        <w:rPr>
          <w:lang w:val="en-GB"/>
        </w:rPr>
      </w:pPr>
      <w:r>
        <w:rPr>
          <w:rStyle w:val="FootnoteReference"/>
        </w:rPr>
        <w:footnoteRef/>
      </w:r>
      <w:r>
        <w:t xml:space="preserve"> </w:t>
      </w:r>
      <w:r>
        <w:rPr>
          <w:i/>
          <w:iCs/>
          <w:lang w:val="en-GB"/>
        </w:rPr>
        <w:t>Clinton-Parker v Administrator, Transvaal Dawkins v Administrator, Transvaal</w:t>
      </w:r>
      <w:r>
        <w:rPr>
          <w:lang w:val="en-GB"/>
        </w:rPr>
        <w:t xml:space="preserve"> 1996 2 SA 37 (W):70F-G.</w:t>
      </w:r>
    </w:p>
  </w:footnote>
  <w:footnote w:id="472">
    <w:p w14:paraId="4427553F" w14:textId="33EA2538" w:rsidR="00F91A79" w:rsidRPr="00F91A79" w:rsidRDefault="00F91A79">
      <w:pPr>
        <w:pStyle w:val="FootnoteText"/>
        <w:rPr>
          <w:lang w:val="en-US"/>
        </w:rPr>
      </w:pPr>
      <w:r>
        <w:rPr>
          <w:rStyle w:val="FootnoteReference"/>
        </w:rPr>
        <w:footnoteRef/>
      </w:r>
      <w:r>
        <w:t xml:space="preserve"> </w:t>
      </w:r>
      <w:r w:rsidRPr="00B97525">
        <w:rPr>
          <w:rFonts w:cs="Arial"/>
          <w:i/>
          <w:iCs/>
        </w:rPr>
        <w:t xml:space="preserve">Fourie v Naranjo and Another </w:t>
      </w:r>
      <w:r w:rsidRPr="000670AF">
        <w:rPr>
          <w:rFonts w:cs="Arial"/>
        </w:rPr>
        <w:t>2008 1 SA 192 (C)</w:t>
      </w:r>
      <w:r w:rsidR="002959F8">
        <w:rPr>
          <w:rFonts w:cs="Arial"/>
        </w:rPr>
        <w:t>.</w:t>
      </w:r>
    </w:p>
  </w:footnote>
  <w:footnote w:id="473">
    <w:p w14:paraId="4E9A013C" w14:textId="72C969BB" w:rsidR="002959F8" w:rsidRPr="002959F8" w:rsidRDefault="002959F8">
      <w:pPr>
        <w:pStyle w:val="FootnoteText"/>
        <w:rPr>
          <w:lang w:val="en-GB"/>
        </w:rPr>
      </w:pPr>
      <w:r>
        <w:rPr>
          <w:rStyle w:val="FootnoteReference"/>
        </w:rPr>
        <w:footnoteRef/>
      </w:r>
      <w:r>
        <w:t xml:space="preserve"> </w:t>
      </w:r>
      <w:r w:rsidRPr="00B97525">
        <w:rPr>
          <w:rFonts w:cs="Arial"/>
          <w:i/>
          <w:iCs/>
        </w:rPr>
        <w:t xml:space="preserve">Fourie v Naranjo and Another </w:t>
      </w:r>
      <w:r w:rsidRPr="000670AF">
        <w:rPr>
          <w:rFonts w:cs="Arial"/>
        </w:rPr>
        <w:t>2008 1 SA 192 (C)</w:t>
      </w:r>
      <w:r>
        <w:rPr>
          <w:rFonts w:cs="Arial"/>
        </w:rPr>
        <w:t>201.</w:t>
      </w:r>
    </w:p>
  </w:footnote>
  <w:footnote w:id="474">
    <w:p w14:paraId="5E9AF23A" w14:textId="0564C217" w:rsidR="000670AF" w:rsidRPr="000670AF" w:rsidRDefault="000670AF">
      <w:pPr>
        <w:pStyle w:val="FootnoteText"/>
        <w:rPr>
          <w:lang w:val="en-GB"/>
        </w:rPr>
      </w:pPr>
      <w:r>
        <w:rPr>
          <w:rStyle w:val="FootnoteReference"/>
        </w:rPr>
        <w:footnoteRef/>
      </w:r>
      <w:r>
        <w:t xml:space="preserve"> </w:t>
      </w:r>
      <w:r w:rsidRPr="00B97525">
        <w:rPr>
          <w:rFonts w:cs="Arial"/>
          <w:i/>
          <w:iCs/>
        </w:rPr>
        <w:t xml:space="preserve">Fourie v Naranjo and Another </w:t>
      </w:r>
      <w:r w:rsidRPr="000670AF">
        <w:rPr>
          <w:rFonts w:cs="Arial"/>
        </w:rPr>
        <w:t>2008 1 SA 192 (C)</w:t>
      </w:r>
      <w:r>
        <w:rPr>
          <w:rFonts w:cs="Arial"/>
        </w:rPr>
        <w:t>:196E</w:t>
      </w:r>
      <w:r w:rsidR="00C0665B">
        <w:rPr>
          <w:rFonts w:cs="Arial"/>
        </w:rPr>
        <w:t>, 197B</w:t>
      </w:r>
    </w:p>
  </w:footnote>
  <w:footnote w:id="475">
    <w:p w14:paraId="1D98E9C5" w14:textId="27EDEB0D" w:rsidR="002959F8" w:rsidRPr="002959F8" w:rsidRDefault="002959F8">
      <w:pPr>
        <w:pStyle w:val="FootnoteText"/>
        <w:rPr>
          <w:lang w:val="en-GB"/>
        </w:rPr>
      </w:pPr>
      <w:r>
        <w:rPr>
          <w:rStyle w:val="FootnoteReference"/>
        </w:rPr>
        <w:footnoteRef/>
      </w:r>
      <w:r>
        <w:t xml:space="preserve"> </w:t>
      </w:r>
      <w:r w:rsidRPr="00B97525">
        <w:rPr>
          <w:rFonts w:cs="Arial"/>
          <w:i/>
          <w:iCs/>
        </w:rPr>
        <w:t xml:space="preserve">Fourie v Naranjo and Another </w:t>
      </w:r>
      <w:r w:rsidRPr="000670AF">
        <w:rPr>
          <w:rFonts w:cs="Arial"/>
        </w:rPr>
        <w:t>2008 1 SA 192 (C)</w:t>
      </w:r>
      <w:r>
        <w:rPr>
          <w:rFonts w:cs="Arial"/>
        </w:rPr>
        <w:t>:202B-C.</w:t>
      </w:r>
    </w:p>
  </w:footnote>
  <w:footnote w:id="476">
    <w:p w14:paraId="5165C576" w14:textId="77777777" w:rsidR="00292C89" w:rsidRDefault="00292C89" w:rsidP="00292C89">
      <w:pPr>
        <w:pStyle w:val="FootnoteText"/>
      </w:pPr>
      <w:r>
        <w:rPr>
          <w:rStyle w:val="FootnoteReference"/>
        </w:rPr>
        <w:footnoteRef/>
      </w:r>
      <w:r>
        <w:t xml:space="preserve"> </w:t>
      </w:r>
      <w:r>
        <w:rPr>
          <w:i/>
          <w:iCs/>
        </w:rPr>
        <w:t>Boswell v Minister of Police &amp; Another</w:t>
      </w:r>
      <w:r>
        <w:t xml:space="preserve"> 1978 3 SA 268 (E).</w:t>
      </w:r>
    </w:p>
  </w:footnote>
  <w:footnote w:id="477">
    <w:p w14:paraId="48552FA9" w14:textId="77777777" w:rsidR="00292C89" w:rsidRDefault="00292C89" w:rsidP="00292C89">
      <w:pPr>
        <w:pStyle w:val="FootnoteText"/>
      </w:pPr>
      <w:r>
        <w:rPr>
          <w:rStyle w:val="FootnoteReference"/>
        </w:rPr>
        <w:footnoteRef/>
      </w:r>
      <w:r>
        <w:t xml:space="preserve"> </w:t>
      </w:r>
      <w:r>
        <w:rPr>
          <w:i/>
          <w:iCs/>
        </w:rPr>
        <w:t>Boswell v Minister of Police &amp; Another</w:t>
      </w:r>
      <w:r>
        <w:t xml:space="preserve"> 1978 3 SA 268 (E):269F, H.</w:t>
      </w:r>
    </w:p>
  </w:footnote>
  <w:footnote w:id="478">
    <w:p w14:paraId="07124089" w14:textId="77777777" w:rsidR="00292C89" w:rsidRPr="00C52111" w:rsidRDefault="00292C89" w:rsidP="00292C89">
      <w:pPr>
        <w:pStyle w:val="FootnoteText"/>
      </w:pPr>
      <w:r>
        <w:rPr>
          <w:rStyle w:val="FootnoteReference"/>
        </w:rPr>
        <w:footnoteRef/>
      </w:r>
      <w:r>
        <w:t xml:space="preserve"> </w:t>
      </w:r>
      <w:r>
        <w:rPr>
          <w:i/>
          <w:iCs/>
        </w:rPr>
        <w:t>Boswell v Minister of Police &amp; Another</w:t>
      </w:r>
      <w:r>
        <w:t xml:space="preserve"> 1978 3 SA 268 (E):268F-H.</w:t>
      </w:r>
    </w:p>
  </w:footnote>
  <w:footnote w:id="479">
    <w:p w14:paraId="62428EF3" w14:textId="77777777" w:rsidR="00292C89" w:rsidRDefault="00292C89" w:rsidP="00292C89">
      <w:pPr>
        <w:pStyle w:val="FootnoteText"/>
      </w:pPr>
      <w:r>
        <w:rPr>
          <w:rStyle w:val="FootnoteReference"/>
        </w:rPr>
        <w:footnoteRef/>
      </w:r>
      <w:r>
        <w:t xml:space="preserve"> </w:t>
      </w:r>
      <w:r>
        <w:rPr>
          <w:i/>
          <w:iCs/>
        </w:rPr>
        <w:t>Boswell v Minister of Police &amp; Another</w:t>
      </w:r>
      <w:r>
        <w:t xml:space="preserve"> 1978 3 SA 268 (E):273G, 274G.</w:t>
      </w:r>
    </w:p>
  </w:footnote>
  <w:footnote w:id="480">
    <w:p w14:paraId="46549F61" w14:textId="2103A137" w:rsidR="001478D7" w:rsidRPr="001478D7" w:rsidRDefault="001478D7" w:rsidP="001478D7">
      <w:pPr>
        <w:pStyle w:val="FootnoteText"/>
        <w:tabs>
          <w:tab w:val="left" w:pos="284"/>
        </w:tabs>
        <w:rPr>
          <w:lang w:val="en-GB"/>
        </w:rPr>
      </w:pPr>
      <w:r>
        <w:rPr>
          <w:rStyle w:val="FootnoteReference"/>
        </w:rPr>
        <w:footnoteRef/>
      </w:r>
      <w:r>
        <w:t xml:space="preserve"> </w:t>
      </w:r>
      <w:r>
        <w:tab/>
      </w:r>
      <w:r w:rsidRPr="00B97525">
        <w:rPr>
          <w:rFonts w:cs="Arial"/>
          <w:i/>
          <w:iCs/>
          <w:szCs w:val="24"/>
        </w:rPr>
        <w:t xml:space="preserve">Potgieter v Rangasamy &amp; Another </w:t>
      </w:r>
      <w:r w:rsidRPr="00340689">
        <w:rPr>
          <w:rFonts w:cs="Arial"/>
          <w:szCs w:val="24"/>
        </w:rPr>
        <w:t>(1261/2008)</w:t>
      </w:r>
      <w:r w:rsidRPr="00B97525">
        <w:rPr>
          <w:rFonts w:cs="Arial"/>
          <w:i/>
          <w:iCs/>
          <w:szCs w:val="24"/>
        </w:rPr>
        <w:t xml:space="preserve"> </w:t>
      </w:r>
      <w:r w:rsidRPr="00340689">
        <w:rPr>
          <w:rFonts w:cs="Arial"/>
          <w:szCs w:val="24"/>
        </w:rPr>
        <w:t>2011 ZAECPEHC</w:t>
      </w:r>
      <w:r w:rsidR="00215EE4">
        <w:rPr>
          <w:rFonts w:cs="Arial"/>
          <w:szCs w:val="24"/>
        </w:rPr>
        <w:t>.</w:t>
      </w:r>
    </w:p>
  </w:footnote>
  <w:footnote w:id="481">
    <w:p w14:paraId="14BCE602" w14:textId="478CD19F" w:rsidR="00D50BF2" w:rsidRPr="00D50BF2" w:rsidRDefault="00D50BF2" w:rsidP="00D50BF2">
      <w:pPr>
        <w:pStyle w:val="FootnoteText"/>
        <w:tabs>
          <w:tab w:val="left" w:pos="284"/>
        </w:tabs>
        <w:rPr>
          <w:lang w:val="en-GB"/>
        </w:rPr>
      </w:pPr>
      <w:r>
        <w:rPr>
          <w:rStyle w:val="FootnoteReference"/>
        </w:rPr>
        <w:footnoteRef/>
      </w:r>
      <w:r>
        <w:t xml:space="preserve"> </w:t>
      </w:r>
      <w:r>
        <w:tab/>
      </w:r>
      <w:r w:rsidRPr="00B97525">
        <w:rPr>
          <w:rFonts w:cs="Arial"/>
          <w:i/>
          <w:iCs/>
          <w:szCs w:val="24"/>
        </w:rPr>
        <w:t xml:space="preserve">Potgieter v Rangasamy &amp; Another </w:t>
      </w:r>
      <w:r w:rsidRPr="00340689">
        <w:rPr>
          <w:rFonts w:cs="Arial"/>
          <w:szCs w:val="24"/>
        </w:rPr>
        <w:t>(1261/2008) 2011 ZAECPEHC</w:t>
      </w:r>
      <w:r w:rsidRPr="00B97525">
        <w:rPr>
          <w:rFonts w:cs="Arial"/>
          <w:szCs w:val="24"/>
        </w:rPr>
        <w:t>:</w:t>
      </w:r>
      <w:r w:rsidR="00420641">
        <w:rPr>
          <w:rFonts w:cs="Arial"/>
          <w:szCs w:val="24"/>
        </w:rPr>
        <w:t xml:space="preserve">pars. </w:t>
      </w:r>
      <w:r>
        <w:rPr>
          <w:rFonts w:cs="Arial"/>
          <w:szCs w:val="24"/>
        </w:rPr>
        <w:t>2, 7, 9.</w:t>
      </w:r>
    </w:p>
  </w:footnote>
  <w:footnote w:id="482">
    <w:p w14:paraId="4AF783DE" w14:textId="20344CEE" w:rsidR="00420641" w:rsidRPr="00420641" w:rsidRDefault="00420641" w:rsidP="00420641">
      <w:pPr>
        <w:pStyle w:val="FootnoteText"/>
        <w:tabs>
          <w:tab w:val="left" w:pos="284"/>
        </w:tabs>
        <w:rPr>
          <w:lang w:val="en-GB"/>
        </w:rPr>
      </w:pPr>
      <w:r>
        <w:rPr>
          <w:rStyle w:val="FootnoteReference"/>
        </w:rPr>
        <w:footnoteRef/>
      </w:r>
      <w:r>
        <w:t xml:space="preserve"> </w:t>
      </w:r>
      <w:r>
        <w:tab/>
      </w:r>
      <w:r w:rsidRPr="00B97525">
        <w:rPr>
          <w:rFonts w:cs="Arial"/>
          <w:i/>
          <w:iCs/>
          <w:szCs w:val="24"/>
        </w:rPr>
        <w:t xml:space="preserve">Potgieter v Rangasamy &amp; Another </w:t>
      </w:r>
      <w:r w:rsidRPr="00340689">
        <w:rPr>
          <w:rFonts w:cs="Arial"/>
          <w:szCs w:val="24"/>
        </w:rPr>
        <w:t>(1261/2008) 2011 ZAECPEHC</w:t>
      </w:r>
      <w:r w:rsidRPr="00B97525">
        <w:rPr>
          <w:rFonts w:cs="Arial"/>
          <w:szCs w:val="24"/>
        </w:rPr>
        <w:t>:</w:t>
      </w:r>
      <w:r>
        <w:rPr>
          <w:rFonts w:cs="Arial"/>
          <w:szCs w:val="24"/>
        </w:rPr>
        <w:t>par. 40.</w:t>
      </w:r>
    </w:p>
  </w:footnote>
  <w:footnote w:id="483">
    <w:p w14:paraId="57E3C2F9" w14:textId="77777777" w:rsidR="004F41F5" w:rsidRDefault="004F41F5" w:rsidP="004F41F5">
      <w:pPr>
        <w:pStyle w:val="FootnoteText"/>
        <w:ind w:left="284" w:hanging="284"/>
      </w:pPr>
      <w:r>
        <w:rPr>
          <w:rStyle w:val="FootnoteReference"/>
        </w:rPr>
        <w:footnoteRef/>
      </w:r>
      <w:r>
        <w:t xml:space="preserve"> </w:t>
      </w:r>
      <w:r>
        <w:tab/>
      </w:r>
      <w:r>
        <w:rPr>
          <w:rFonts w:cs="Arial"/>
          <w:i/>
          <w:iCs/>
          <w:szCs w:val="24"/>
        </w:rPr>
        <w:t xml:space="preserve">Road Accident Fund v Sauls </w:t>
      </w:r>
      <w:r w:rsidRPr="00340689">
        <w:rPr>
          <w:rFonts w:cs="Arial"/>
          <w:szCs w:val="24"/>
        </w:rPr>
        <w:t>2002 2 SA 55 (SCA)</w:t>
      </w:r>
      <w:r w:rsidRPr="00180047">
        <w:rPr>
          <w:rFonts w:cs="Arial"/>
          <w:szCs w:val="24"/>
        </w:rPr>
        <w:t>:</w:t>
      </w:r>
      <w:r>
        <w:rPr>
          <w:rFonts w:cs="Arial"/>
          <w:szCs w:val="24"/>
        </w:rPr>
        <w:t>62H-J.</w:t>
      </w:r>
    </w:p>
  </w:footnote>
  <w:footnote w:id="484">
    <w:p w14:paraId="289DBB4B" w14:textId="77777777" w:rsidR="00F65908" w:rsidRDefault="00F65908" w:rsidP="00F65908">
      <w:pPr>
        <w:pStyle w:val="FootnoteText"/>
      </w:pPr>
      <w:r>
        <w:rPr>
          <w:rStyle w:val="FootnoteReference"/>
        </w:rPr>
        <w:footnoteRef/>
      </w:r>
      <w:r>
        <w:t xml:space="preserve"> </w:t>
      </w:r>
      <w:r>
        <w:rPr>
          <w:rFonts w:cs="Arial"/>
          <w:i/>
          <w:iCs/>
          <w:szCs w:val="24"/>
        </w:rPr>
        <w:t>Masiba and Another v Constantia Insurance Co Ltd and Another</w:t>
      </w:r>
      <w:r w:rsidRPr="00FD7673">
        <w:rPr>
          <w:rFonts w:cs="Arial"/>
          <w:szCs w:val="24"/>
        </w:rPr>
        <w:t xml:space="preserve"> 1982 4 SA 333 (C):333D-E</w:t>
      </w:r>
      <w:r>
        <w:rPr>
          <w:rFonts w:cs="Arial"/>
          <w:i/>
          <w:iCs/>
          <w:szCs w:val="24"/>
        </w:rPr>
        <w:t>.</w:t>
      </w:r>
    </w:p>
  </w:footnote>
  <w:footnote w:id="485">
    <w:p w14:paraId="5D0E061E" w14:textId="77777777" w:rsidR="00F65908" w:rsidRPr="00F65908" w:rsidRDefault="00F65908" w:rsidP="00F65908">
      <w:pPr>
        <w:pStyle w:val="FootnoteText"/>
        <w:rPr>
          <w:lang w:val="en-GB"/>
        </w:rPr>
      </w:pPr>
      <w:r>
        <w:rPr>
          <w:rStyle w:val="FootnoteReference"/>
        </w:rPr>
        <w:footnoteRef/>
      </w:r>
      <w:r>
        <w:t xml:space="preserve"> </w:t>
      </w:r>
      <w:r>
        <w:rPr>
          <w:lang w:val="en-GB"/>
        </w:rPr>
        <w:t>See 3.4 and 4.7.2 above.</w:t>
      </w:r>
    </w:p>
  </w:footnote>
  <w:footnote w:id="486">
    <w:p w14:paraId="7EA453C8" w14:textId="15F7EF56" w:rsidR="00BE1DAF" w:rsidRPr="00BE1DAF" w:rsidRDefault="00BE1DAF">
      <w:pPr>
        <w:pStyle w:val="FootnoteText"/>
        <w:rPr>
          <w:lang w:val="en-GB"/>
        </w:rPr>
      </w:pPr>
      <w:r>
        <w:rPr>
          <w:rStyle w:val="FootnoteReference"/>
        </w:rPr>
        <w:footnoteRef/>
      </w:r>
      <w:r>
        <w:t xml:space="preserve"> </w:t>
      </w:r>
      <w:r>
        <w:rPr>
          <w:lang w:val="en-GB"/>
        </w:rPr>
        <w:t xml:space="preserve">See </w:t>
      </w:r>
      <w:r w:rsidR="00A3228A">
        <w:rPr>
          <w:lang w:val="en-GB"/>
        </w:rPr>
        <w:t>1.1</w:t>
      </w:r>
      <w:r>
        <w:rPr>
          <w:lang w:val="en-GB"/>
        </w:rPr>
        <w:t xml:space="preserve"> above.</w:t>
      </w:r>
    </w:p>
  </w:footnote>
  <w:footnote w:id="487">
    <w:p w14:paraId="1A3C8CA9" w14:textId="77777777" w:rsidR="00D7525E" w:rsidRPr="00AF2B36" w:rsidRDefault="00D7525E" w:rsidP="00D7525E">
      <w:pPr>
        <w:pStyle w:val="FootnoteText"/>
        <w:ind w:left="284" w:hanging="284"/>
        <w:rPr>
          <w:lang w:val="en-GB"/>
        </w:rPr>
      </w:pPr>
      <w:r>
        <w:rPr>
          <w:rStyle w:val="FootnoteReference"/>
        </w:rPr>
        <w:footnoteRef/>
      </w:r>
      <w:r>
        <w:t xml:space="preserve"> </w:t>
      </w:r>
      <w:r>
        <w:tab/>
      </w:r>
      <w:r>
        <w:rPr>
          <w:lang w:val="en-GB"/>
        </w:rPr>
        <w:t>Sonnekus 2023:175.</w:t>
      </w:r>
    </w:p>
  </w:footnote>
  <w:footnote w:id="488">
    <w:p w14:paraId="46312003" w14:textId="77777777" w:rsidR="00CA7ED4" w:rsidRPr="00A941FA" w:rsidRDefault="00CA7ED4" w:rsidP="00CA7ED4">
      <w:pPr>
        <w:pStyle w:val="FootnoteText"/>
        <w:tabs>
          <w:tab w:val="left" w:pos="284"/>
        </w:tabs>
        <w:ind w:left="284" w:hanging="284"/>
        <w:rPr>
          <w:lang w:val="en-GB"/>
        </w:rPr>
      </w:pPr>
      <w:r>
        <w:rPr>
          <w:rStyle w:val="FootnoteReference"/>
        </w:rPr>
        <w:footnoteRef/>
      </w:r>
      <w:r>
        <w:t xml:space="preserve"> </w:t>
      </w:r>
      <w:r>
        <w:tab/>
      </w:r>
      <w:r>
        <w:rPr>
          <w:lang w:val="en-GB"/>
        </w:rPr>
        <w:t>Schoeman-Malan 2013:116.</w:t>
      </w:r>
    </w:p>
  </w:footnote>
  <w:footnote w:id="489">
    <w:p w14:paraId="5DF3F772" w14:textId="77777777" w:rsidR="00972599" w:rsidRDefault="00972599" w:rsidP="00972599">
      <w:pPr>
        <w:pStyle w:val="FootnoteText"/>
        <w:ind w:left="284" w:hanging="284"/>
      </w:pPr>
      <w:r>
        <w:rPr>
          <w:rStyle w:val="FootnoteReference"/>
        </w:rPr>
        <w:footnoteRef/>
      </w:r>
      <w:r>
        <w:t xml:space="preserve"> </w:t>
      </w:r>
      <w:r>
        <w:tab/>
        <w:t>Schoeman-Malan 2013:114.</w:t>
      </w:r>
    </w:p>
  </w:footnote>
  <w:footnote w:id="490">
    <w:p w14:paraId="73BA2771" w14:textId="36AE15D3" w:rsidR="009A3D2C" w:rsidRPr="00EF5BB1" w:rsidRDefault="009A3D2C" w:rsidP="009A3D2C">
      <w:pPr>
        <w:pStyle w:val="FootnoteText"/>
        <w:ind w:left="284" w:hanging="284"/>
      </w:pPr>
      <w:r w:rsidRPr="00EF5BB1">
        <w:rPr>
          <w:rStyle w:val="FootnoteReference"/>
        </w:rPr>
        <w:footnoteRef/>
      </w:r>
      <w:r w:rsidRPr="00EF5BB1">
        <w:t xml:space="preserve"> </w:t>
      </w:r>
      <w:r w:rsidR="00EF5BB1" w:rsidRPr="00EF5BB1">
        <w:tab/>
        <w:t xml:space="preserve">Tyali “Couple and </w:t>
      </w:r>
      <w:r w:rsidR="00804F6D">
        <w:t>h</w:t>
      </w:r>
      <w:r w:rsidR="00EF5BB1" w:rsidRPr="00EF5BB1">
        <w:t xml:space="preserve">itmen sentenced for insurance payout murder”, </w:t>
      </w:r>
      <w:r w:rsidR="00EF5BB1" w:rsidRPr="00804F6D">
        <w:t>https://www.facebook.com/thenpaofsa/</w:t>
      </w:r>
      <w:r w:rsidR="00EF5BB1" w:rsidRPr="00EF5BB1">
        <w:t xml:space="preserve"> (accessed on 28 June 2024)</w:t>
      </w:r>
      <w:r w:rsidR="00804F6D">
        <w:t>.</w:t>
      </w:r>
    </w:p>
  </w:footnote>
  <w:footnote w:id="491">
    <w:p w14:paraId="47880AD1" w14:textId="77777777" w:rsidR="009A3D2C" w:rsidRPr="006502C4" w:rsidRDefault="009A3D2C" w:rsidP="009A3D2C">
      <w:pPr>
        <w:pStyle w:val="FootnoteText"/>
        <w:rPr>
          <w:lang w:val="en-GB"/>
        </w:rPr>
      </w:pPr>
      <w:r w:rsidRPr="00EF5BB1">
        <w:rPr>
          <w:rStyle w:val="FootnoteReference"/>
        </w:rPr>
        <w:footnoteRef/>
      </w:r>
      <w:r w:rsidRPr="00EF5BB1">
        <w:t xml:space="preserve"> </w:t>
      </w:r>
      <w:r w:rsidRPr="00EF5BB1">
        <w:rPr>
          <w:lang w:val="en-GB"/>
        </w:rPr>
        <w:t>Van der Walt</w:t>
      </w:r>
      <w:r>
        <w:rPr>
          <w:lang w:val="en-GB"/>
        </w:rPr>
        <w:t xml:space="preserve"> &amp; Sonnekus 1981:43.</w:t>
      </w:r>
    </w:p>
  </w:footnote>
  <w:footnote w:id="492">
    <w:p w14:paraId="22D5E780" w14:textId="77777777" w:rsidR="00BE219E" w:rsidRDefault="00BE219E" w:rsidP="00BE219E">
      <w:pPr>
        <w:pStyle w:val="FootnoteText"/>
      </w:pPr>
      <w:r>
        <w:rPr>
          <w:rStyle w:val="FootnoteReference"/>
        </w:rPr>
        <w:footnoteRef/>
      </w:r>
      <w:r>
        <w:t xml:space="preserve"> Schoeman-Malan 2013:114.</w:t>
      </w:r>
    </w:p>
  </w:footnote>
  <w:footnote w:id="493">
    <w:p w14:paraId="0B6F9010" w14:textId="4BA23A0B" w:rsidR="00BE219E" w:rsidRPr="00BE219E" w:rsidRDefault="00BE219E">
      <w:pPr>
        <w:pStyle w:val="FootnoteText"/>
        <w:rPr>
          <w:lang w:val="en-GB"/>
        </w:rPr>
      </w:pPr>
      <w:r>
        <w:rPr>
          <w:rStyle w:val="FootnoteReference"/>
        </w:rPr>
        <w:footnoteRef/>
      </w:r>
      <w:r>
        <w:t xml:space="preserve"> </w:t>
      </w:r>
      <w:r w:rsidR="00821F11">
        <w:t>See 2.2 above.</w:t>
      </w:r>
    </w:p>
  </w:footnote>
  <w:footnote w:id="494">
    <w:p w14:paraId="050DD4AD" w14:textId="5399D4BA" w:rsidR="00D16D74" w:rsidRPr="00D16D74" w:rsidRDefault="00D16D74">
      <w:pPr>
        <w:pStyle w:val="FootnoteText"/>
        <w:rPr>
          <w:lang w:val="en-GB"/>
        </w:rPr>
      </w:pPr>
      <w:r>
        <w:rPr>
          <w:rStyle w:val="FootnoteReference"/>
        </w:rPr>
        <w:footnoteRef/>
      </w:r>
      <w:r>
        <w:t xml:space="preserve"> </w:t>
      </w:r>
      <w:r w:rsidR="00821F11">
        <w:t xml:space="preserve">See </w:t>
      </w:r>
      <w:r w:rsidR="00A3228A">
        <w:t>Chapter II above.</w:t>
      </w:r>
    </w:p>
  </w:footnote>
  <w:footnote w:id="495">
    <w:p w14:paraId="12D466AD" w14:textId="77777777" w:rsidR="00D16D74" w:rsidRPr="00D10754" w:rsidRDefault="00D16D74" w:rsidP="00D16D74">
      <w:pPr>
        <w:pStyle w:val="FootnoteText"/>
        <w:ind w:left="284" w:hanging="284"/>
      </w:pPr>
      <w:r w:rsidRPr="00FA3C7A">
        <w:rPr>
          <w:rStyle w:val="FootnoteReference"/>
        </w:rPr>
        <w:footnoteRef/>
      </w:r>
      <w:r w:rsidRPr="00FA3C7A">
        <w:t xml:space="preserve"> See par 1.3 above.</w:t>
      </w:r>
    </w:p>
  </w:footnote>
  <w:footnote w:id="496">
    <w:p w14:paraId="6D8D9E73" w14:textId="77777777" w:rsidR="005E763E" w:rsidRPr="00E6449D" w:rsidRDefault="005E763E" w:rsidP="005E763E">
      <w:pPr>
        <w:pStyle w:val="FootnoteText"/>
        <w:ind w:left="284" w:hanging="284"/>
      </w:pPr>
      <w:r>
        <w:rPr>
          <w:rStyle w:val="FootnoteReference"/>
        </w:rPr>
        <w:footnoteRef/>
      </w:r>
      <w:r>
        <w:t xml:space="preserve"> </w:t>
      </w:r>
      <w:r>
        <w:rPr>
          <w:i/>
          <w:iCs/>
        </w:rPr>
        <w:t>Gafin NO v Kavin</w:t>
      </w:r>
      <w:r>
        <w:t xml:space="preserve"> 1980 4 All SA 354 (W):355; </w:t>
      </w:r>
      <w:r>
        <w:rPr>
          <w:rFonts w:cs="Arial"/>
          <w:szCs w:val="24"/>
        </w:rPr>
        <w:t>Schoeman-Malan 2013:141.</w:t>
      </w:r>
    </w:p>
  </w:footnote>
  <w:footnote w:id="497">
    <w:p w14:paraId="6D04959D" w14:textId="77777777" w:rsidR="005E763E" w:rsidRPr="00E921A8" w:rsidRDefault="005E763E" w:rsidP="005E763E">
      <w:pPr>
        <w:pStyle w:val="FootnoteText"/>
        <w:ind w:left="284" w:hanging="284"/>
      </w:pPr>
      <w:r>
        <w:rPr>
          <w:rStyle w:val="FootnoteReference"/>
        </w:rPr>
        <w:footnoteRef/>
      </w:r>
      <w:r>
        <w:t xml:space="preserve"> </w:t>
      </w:r>
      <w:r>
        <w:tab/>
        <w:t xml:space="preserve">Williams </w:t>
      </w:r>
      <w:r w:rsidRPr="00804F6D">
        <w:t>“The executor: dealing with disqualified heirs</w:t>
      </w:r>
      <w:r>
        <w:t xml:space="preserve">”, </w:t>
      </w:r>
      <w:r w:rsidRPr="00804F6D">
        <w:t>https://www.fanews.co.za/article/magazine-archives-fanews-fanuus/60/life/1313/the-executor-dealing-with-disqualified-heirs/15952</w:t>
      </w:r>
      <w:r>
        <w:t xml:space="preserve"> (accessed on 8 November 2024).</w:t>
      </w:r>
    </w:p>
  </w:footnote>
  <w:footnote w:id="498">
    <w:p w14:paraId="22C5D1F6" w14:textId="0950B44D" w:rsidR="00B523E1" w:rsidRDefault="00B523E1" w:rsidP="00B523E1">
      <w:pPr>
        <w:pStyle w:val="FootnoteText"/>
        <w:ind w:left="284" w:hanging="284"/>
      </w:pPr>
      <w:r>
        <w:rPr>
          <w:rStyle w:val="FootnoteReference"/>
        </w:rPr>
        <w:footnoteRef/>
      </w:r>
      <w:r>
        <w:t xml:space="preserve"> Barns &amp; Thompson 2014:130.</w:t>
      </w:r>
    </w:p>
  </w:footnote>
  <w:footnote w:id="499">
    <w:p w14:paraId="1A1492D3" w14:textId="77777777" w:rsidR="00B523E1" w:rsidRPr="006022CA" w:rsidRDefault="00B523E1" w:rsidP="00B523E1">
      <w:pPr>
        <w:pStyle w:val="FootnoteText"/>
        <w:ind w:left="284" w:hanging="284"/>
        <w:rPr>
          <w:lang w:val="en-GB"/>
        </w:rPr>
      </w:pPr>
      <w:r>
        <w:rPr>
          <w:rStyle w:val="FootnoteReference"/>
        </w:rPr>
        <w:footnoteRef/>
      </w:r>
      <w:r>
        <w:t xml:space="preserve"> </w:t>
      </w:r>
      <w:r>
        <w:rPr>
          <w:lang w:val="en-GB"/>
        </w:rPr>
        <w:t>Van der Walt &amp; Sonnekus 1981:39,44; Sonnekus &amp; Van der Walt 1992:147.</w:t>
      </w:r>
    </w:p>
  </w:footnote>
  <w:footnote w:id="500">
    <w:p w14:paraId="225174EE" w14:textId="77777777" w:rsidR="00B523E1" w:rsidRDefault="00B523E1" w:rsidP="00B523E1">
      <w:pPr>
        <w:pStyle w:val="FootnoteText"/>
      </w:pPr>
      <w:r>
        <w:rPr>
          <w:rStyle w:val="FootnoteReference"/>
        </w:rPr>
        <w:footnoteRef/>
      </w:r>
      <w:r>
        <w:t xml:space="preserve"> Sonnekus 2010:177.</w:t>
      </w:r>
    </w:p>
  </w:footnote>
  <w:footnote w:id="501">
    <w:p w14:paraId="67440143" w14:textId="77777777" w:rsidR="00B523E1" w:rsidRDefault="00B523E1" w:rsidP="00B523E1">
      <w:pPr>
        <w:pStyle w:val="FootnoteText"/>
        <w:ind w:left="284" w:hanging="284"/>
      </w:pPr>
      <w:r>
        <w:rPr>
          <w:rStyle w:val="FootnoteReference"/>
        </w:rPr>
        <w:footnoteRef/>
      </w:r>
      <w:r>
        <w:t xml:space="preserve"> </w:t>
      </w:r>
      <w:r w:rsidRPr="00E91EB8">
        <w:rPr>
          <w:rFonts w:cs="Arial"/>
          <w:i/>
          <w:iCs/>
          <w:szCs w:val="24"/>
        </w:rPr>
        <w:t>Taylor v Pim</w:t>
      </w:r>
      <w:r>
        <w:rPr>
          <w:rFonts w:cs="Arial"/>
          <w:i/>
          <w:iCs/>
          <w:szCs w:val="24"/>
        </w:rPr>
        <w:t xml:space="preserve"> </w:t>
      </w:r>
      <w:r>
        <w:rPr>
          <w:rFonts w:cs="Arial"/>
          <w:szCs w:val="24"/>
        </w:rPr>
        <w:t xml:space="preserve">1903 24 NLR 484:493; </w:t>
      </w:r>
      <w:r>
        <w:rPr>
          <w:i/>
          <w:iCs/>
        </w:rPr>
        <w:t>Smit v The Master of the High Court, Western Cape and Others</w:t>
      </w:r>
      <w:r>
        <w:t xml:space="preserve"> [2022] ZAWCHC 56 (26 April 2022):par. 124.</w:t>
      </w:r>
    </w:p>
  </w:footnote>
  <w:footnote w:id="502">
    <w:p w14:paraId="7C0C6C16" w14:textId="3DD924C4" w:rsidR="00A7586C" w:rsidRPr="000A22EF" w:rsidRDefault="00A7586C" w:rsidP="00A7586C">
      <w:pPr>
        <w:pStyle w:val="FootnoteText"/>
        <w:ind w:left="284" w:hanging="284"/>
        <w:rPr>
          <w:lang w:val="en-GB"/>
        </w:rPr>
      </w:pPr>
      <w:r>
        <w:rPr>
          <w:rStyle w:val="FootnoteReference"/>
        </w:rPr>
        <w:footnoteRef/>
      </w:r>
      <w:r>
        <w:t xml:space="preserve"> </w:t>
      </w:r>
      <w:r w:rsidR="00B523E1">
        <w:t xml:space="preserve">Sonnekus 2023:187; </w:t>
      </w:r>
      <w:r w:rsidR="00B523E1">
        <w:rPr>
          <w:lang w:val="en-GB"/>
        </w:rPr>
        <w:t xml:space="preserve">Thirion 2013:48; </w:t>
      </w:r>
      <w:r>
        <w:rPr>
          <w:lang w:val="en-GB"/>
        </w:rPr>
        <w:t>Van der Walt &amp; Sonnekus 1981:38.</w:t>
      </w:r>
    </w:p>
  </w:footnote>
  <w:footnote w:id="503">
    <w:p w14:paraId="316A235C" w14:textId="77777777" w:rsidR="00734ABD" w:rsidRDefault="00734ABD" w:rsidP="00734ABD">
      <w:pPr>
        <w:pStyle w:val="FootnoteText"/>
      </w:pPr>
      <w:r>
        <w:rPr>
          <w:rStyle w:val="FootnoteReference"/>
        </w:rPr>
        <w:footnoteRef/>
      </w:r>
      <w:r>
        <w:t xml:space="preserve"> De Waal &amp; Zimmerman 2011:176.</w:t>
      </w:r>
    </w:p>
  </w:footnote>
  <w:footnote w:id="504">
    <w:p w14:paraId="063CCEA5" w14:textId="77777777" w:rsidR="005E763E" w:rsidRPr="005667FF" w:rsidRDefault="005E763E" w:rsidP="005E763E">
      <w:pPr>
        <w:pStyle w:val="FootnoteText"/>
        <w:ind w:left="284" w:hanging="284"/>
        <w:rPr>
          <w:lang w:val="en-GB"/>
        </w:rPr>
      </w:pPr>
      <w:r>
        <w:rPr>
          <w:rStyle w:val="FootnoteReference"/>
        </w:rPr>
        <w:footnoteRef/>
      </w:r>
      <w:r>
        <w:t xml:space="preserve"> </w:t>
      </w:r>
      <w:r>
        <w:rPr>
          <w:lang w:val="en-GB"/>
        </w:rPr>
        <w:t xml:space="preserve">De Waal &amp; Zimmermann 2011:176-177; </w:t>
      </w:r>
      <w:r>
        <w:t>Schoeman-Malan 2013:119.</w:t>
      </w:r>
    </w:p>
  </w:footnote>
  <w:footnote w:id="505">
    <w:p w14:paraId="41BC56ED" w14:textId="77777777" w:rsidR="00B523E1" w:rsidRDefault="00B523E1" w:rsidP="00B523E1">
      <w:pPr>
        <w:pStyle w:val="FootnoteText"/>
        <w:ind w:left="284" w:hanging="284"/>
      </w:pPr>
      <w:r>
        <w:rPr>
          <w:rStyle w:val="FootnoteReference"/>
        </w:rPr>
        <w:footnoteRef/>
      </w:r>
      <w:r>
        <w:t xml:space="preserve"> </w:t>
      </w:r>
      <w:r>
        <w:rPr>
          <w:i/>
          <w:iCs/>
        </w:rPr>
        <w:t>Casey NO v The Master &amp; Others</w:t>
      </w:r>
      <w:r>
        <w:t xml:space="preserve"> 1992 4 SA 505 (N):511C-D.</w:t>
      </w:r>
    </w:p>
  </w:footnote>
  <w:footnote w:id="506">
    <w:p w14:paraId="715FA36D" w14:textId="1B096CA6" w:rsidR="00B523E1" w:rsidRPr="00EC2C61" w:rsidRDefault="00B523E1" w:rsidP="00B523E1">
      <w:pPr>
        <w:pStyle w:val="FootnoteText"/>
      </w:pPr>
      <w:r w:rsidRPr="00EC2C61">
        <w:rPr>
          <w:rStyle w:val="FootnoteReference"/>
        </w:rPr>
        <w:footnoteRef/>
      </w:r>
      <w:r w:rsidRPr="00EC2C61">
        <w:t xml:space="preserve"> </w:t>
      </w:r>
      <w:r>
        <w:t xml:space="preserve">Du </w:t>
      </w:r>
      <w:r w:rsidRPr="00EC2C61">
        <w:rPr>
          <w:lang w:val="en-GB"/>
        </w:rPr>
        <w:t>De Waal &amp; Zimmerman 2011:178</w:t>
      </w:r>
      <w:r w:rsidR="00A3228A">
        <w:rPr>
          <w:lang w:val="en-GB"/>
        </w:rPr>
        <w:t>.</w:t>
      </w:r>
    </w:p>
  </w:footnote>
  <w:footnote w:id="507">
    <w:p w14:paraId="7D0D8AEC" w14:textId="77777777" w:rsidR="00B523E1" w:rsidRDefault="00B523E1" w:rsidP="00B523E1">
      <w:pPr>
        <w:pStyle w:val="FootnoteText"/>
      </w:pPr>
      <w:r w:rsidRPr="00EC2C61">
        <w:rPr>
          <w:rStyle w:val="FootnoteReference"/>
        </w:rPr>
        <w:footnoteRef/>
      </w:r>
      <w:r w:rsidRPr="00EC2C61">
        <w:t xml:space="preserve"> </w:t>
      </w:r>
      <w:r w:rsidRPr="00EC2C61">
        <w:rPr>
          <w:i/>
          <w:iCs/>
        </w:rPr>
        <w:t>Danielz NO v De</w:t>
      </w:r>
      <w:r>
        <w:rPr>
          <w:i/>
          <w:iCs/>
        </w:rPr>
        <w:t xml:space="preserve"> Wet &amp; Another</w:t>
      </w:r>
      <w:r>
        <w:t xml:space="preserve"> 2009 6 SA 42 (C):par. 35.</w:t>
      </w:r>
    </w:p>
  </w:footnote>
  <w:footnote w:id="508">
    <w:p w14:paraId="3F3A1D36" w14:textId="08252F7A" w:rsidR="00FA4EC2" w:rsidRPr="00FA4EC2" w:rsidRDefault="00FA4EC2">
      <w:pPr>
        <w:pStyle w:val="FootnoteText"/>
        <w:rPr>
          <w:lang w:val="en-GB"/>
        </w:rPr>
      </w:pPr>
      <w:r>
        <w:rPr>
          <w:rStyle w:val="FootnoteReference"/>
        </w:rPr>
        <w:footnoteRef/>
      </w:r>
      <w:r>
        <w:t xml:space="preserve"> </w:t>
      </w:r>
      <w:r>
        <w:rPr>
          <w:lang w:val="en-GB"/>
        </w:rPr>
        <w:t>See 3.3 above.</w:t>
      </w:r>
    </w:p>
  </w:footnote>
  <w:footnote w:id="509">
    <w:p w14:paraId="7ED97061" w14:textId="77777777" w:rsidR="00F2625B" w:rsidRDefault="00F2625B" w:rsidP="00F2625B">
      <w:pPr>
        <w:pStyle w:val="FootnoteText"/>
        <w:ind w:left="284" w:hanging="284"/>
      </w:pPr>
      <w:r>
        <w:rPr>
          <w:rStyle w:val="FootnoteReference"/>
        </w:rPr>
        <w:footnoteRef/>
      </w:r>
      <w:r>
        <w:t xml:space="preserve"> </w:t>
      </w:r>
      <w:r>
        <w:tab/>
        <w:t>Schoeman-Malan 2013:115.</w:t>
      </w:r>
    </w:p>
  </w:footnote>
  <w:footnote w:id="510">
    <w:p w14:paraId="7C93B1AD" w14:textId="04300F89" w:rsidR="004C6EF3" w:rsidRPr="00807DB9" w:rsidRDefault="004C6EF3" w:rsidP="00E8612E">
      <w:pPr>
        <w:pStyle w:val="FootnoteText"/>
        <w:ind w:left="284" w:hanging="284"/>
      </w:pPr>
      <w:r>
        <w:rPr>
          <w:rStyle w:val="FootnoteReference"/>
        </w:rPr>
        <w:footnoteRef/>
      </w:r>
      <w:r>
        <w:t xml:space="preserve"> </w:t>
      </w:r>
      <w:r w:rsidR="001D0B73">
        <w:t>Steyn</w:t>
      </w:r>
      <w:r>
        <w:t xml:space="preserve"> 2016:2</w:t>
      </w:r>
      <w:r w:rsidR="00D138C0">
        <w:t xml:space="preserve">2; </w:t>
      </w:r>
      <w:r w:rsidR="00B462A9">
        <w:rPr>
          <w:i/>
          <w:iCs/>
        </w:rPr>
        <w:t>Ex parte Meier &amp; Andere</w:t>
      </w:r>
      <w:r w:rsidR="00B462A9">
        <w:t xml:space="preserve"> 1980 3 SA 154 (T):155G,156F</w:t>
      </w:r>
      <w:r w:rsidR="00D138C0">
        <w:t xml:space="preserve">; </w:t>
      </w:r>
      <w:r w:rsidR="00807DB9">
        <w:rPr>
          <w:i/>
          <w:iCs/>
        </w:rPr>
        <w:t>Gafin</w:t>
      </w:r>
      <w:r w:rsidR="00515103">
        <w:rPr>
          <w:i/>
          <w:iCs/>
        </w:rPr>
        <w:t xml:space="preserve"> NO</w:t>
      </w:r>
      <w:r w:rsidR="00807DB9">
        <w:rPr>
          <w:i/>
          <w:iCs/>
        </w:rPr>
        <w:t xml:space="preserve"> v Kavin</w:t>
      </w:r>
      <w:r w:rsidR="00807DB9">
        <w:t xml:space="preserve"> 1980 4 All SA 354 (W):354</w:t>
      </w:r>
      <w:r w:rsidR="00E6449D">
        <w:t>.</w:t>
      </w:r>
    </w:p>
  </w:footnote>
  <w:footnote w:id="511">
    <w:p w14:paraId="12BA5EC5" w14:textId="23D8C89A" w:rsidR="00DB0291" w:rsidRDefault="00DB0291" w:rsidP="00DB0291">
      <w:pPr>
        <w:pStyle w:val="FootnoteText"/>
        <w:ind w:left="284" w:hanging="284"/>
      </w:pPr>
      <w:r>
        <w:rPr>
          <w:rStyle w:val="FootnoteReference"/>
        </w:rPr>
        <w:footnoteRef/>
      </w:r>
      <w:r>
        <w:t xml:space="preserve"> </w:t>
      </w:r>
      <w:r w:rsidR="00A3228A">
        <w:t xml:space="preserve">Hofmeyr </w:t>
      </w:r>
      <w:r w:rsidR="00E9269D">
        <w:t>&amp;</w:t>
      </w:r>
      <w:r w:rsidR="00A3228A">
        <w:t xml:space="preserve"> Paleker 2023:143; </w:t>
      </w:r>
      <w:r>
        <w:t>Barns &amp; Thompson 2014:131</w:t>
      </w:r>
      <w:r w:rsidR="00A3228A">
        <w:t>.</w:t>
      </w:r>
    </w:p>
  </w:footnote>
  <w:footnote w:id="512">
    <w:p w14:paraId="0F8EB806" w14:textId="77777777" w:rsidR="00DC2DF8" w:rsidRDefault="00DC2DF8" w:rsidP="00DC2DF8">
      <w:pPr>
        <w:pStyle w:val="FootnoteText"/>
      </w:pPr>
      <w:r>
        <w:rPr>
          <w:rStyle w:val="FootnoteReference"/>
        </w:rPr>
        <w:footnoteRef/>
      </w:r>
      <w:r>
        <w:t xml:space="preserve"> Barns &amp; Thompson 2014:127.</w:t>
      </w:r>
    </w:p>
  </w:footnote>
  <w:footnote w:id="513">
    <w:p w14:paraId="4BF7E5A8" w14:textId="77777777" w:rsidR="0073774E" w:rsidRDefault="0073774E" w:rsidP="0073774E">
      <w:pPr>
        <w:pStyle w:val="FootnoteText"/>
      </w:pPr>
      <w:r>
        <w:rPr>
          <w:rStyle w:val="FootnoteReference"/>
        </w:rPr>
        <w:footnoteRef/>
      </w:r>
      <w:r>
        <w:t xml:space="preserve"> Schoeman-Malan 2013:141.</w:t>
      </w:r>
    </w:p>
  </w:footnote>
  <w:footnote w:id="514">
    <w:p w14:paraId="1DEB998C" w14:textId="77777777" w:rsidR="00EE223C" w:rsidRDefault="00EE223C" w:rsidP="00EE223C">
      <w:pPr>
        <w:pStyle w:val="FootnoteText"/>
      </w:pPr>
      <w:r>
        <w:rPr>
          <w:rStyle w:val="FootnoteReference"/>
        </w:rPr>
        <w:footnoteRef/>
      </w:r>
      <w:r>
        <w:t xml:space="preserve"> Schoeman-Malan 2013:115.</w:t>
      </w:r>
    </w:p>
  </w:footnote>
  <w:footnote w:id="515">
    <w:p w14:paraId="3DF1EFA1" w14:textId="77777777" w:rsidR="004C79EB" w:rsidRDefault="004C79EB" w:rsidP="004C79EB">
      <w:pPr>
        <w:pStyle w:val="FootnoteText"/>
      </w:pPr>
      <w:r>
        <w:rPr>
          <w:rStyle w:val="FootnoteReference"/>
        </w:rPr>
        <w:footnoteRef/>
      </w:r>
      <w:r>
        <w:t xml:space="preserve"> De Waal &amp; Schoeman-Malan 2015:240; Schoeman-Malan 2013:122.</w:t>
      </w:r>
    </w:p>
  </w:footnote>
  <w:footnote w:id="516">
    <w:p w14:paraId="0582BD4C" w14:textId="77777777" w:rsidR="004C79EB" w:rsidRDefault="004C79EB" w:rsidP="004C79EB">
      <w:pPr>
        <w:pStyle w:val="FootnoteText"/>
      </w:pPr>
      <w:r>
        <w:rPr>
          <w:rStyle w:val="FootnoteReference"/>
        </w:rPr>
        <w:footnoteRef/>
      </w:r>
      <w:r>
        <w:t xml:space="preserve"> Schoeman-Malan 2013:140.</w:t>
      </w:r>
    </w:p>
  </w:footnote>
  <w:footnote w:id="517">
    <w:p w14:paraId="3248D5D8" w14:textId="77777777" w:rsidR="00FD7A23" w:rsidRDefault="00FD7A23" w:rsidP="00FD7A23">
      <w:pPr>
        <w:pStyle w:val="FootnoteText"/>
      </w:pPr>
      <w:r>
        <w:rPr>
          <w:rStyle w:val="FootnoteReference"/>
        </w:rPr>
        <w:footnoteRef/>
      </w:r>
      <w:r>
        <w:t xml:space="preserve"> Sonnekus 2023:189.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122F7"/>
    <w:multiLevelType w:val="multilevel"/>
    <w:tmpl w:val="E398CB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7D4F31"/>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F931A8"/>
    <w:multiLevelType w:val="hybridMultilevel"/>
    <w:tmpl w:val="5E10028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D082060"/>
    <w:multiLevelType w:val="hybridMultilevel"/>
    <w:tmpl w:val="F69093A0"/>
    <w:lvl w:ilvl="0" w:tplc="1C09000F">
      <w:start w:val="8"/>
      <w:numFmt w:val="decimal"/>
      <w:lvlText w:val="%1."/>
      <w:lvlJc w:val="left"/>
      <w:pPr>
        <w:ind w:left="6173" w:hanging="360"/>
      </w:pPr>
      <w:rPr>
        <w:rFonts w:hint="default"/>
      </w:rPr>
    </w:lvl>
    <w:lvl w:ilvl="1" w:tplc="1C090019" w:tentative="1">
      <w:start w:val="1"/>
      <w:numFmt w:val="lowerLetter"/>
      <w:lvlText w:val="%2."/>
      <w:lvlJc w:val="left"/>
      <w:pPr>
        <w:ind w:left="6893" w:hanging="360"/>
      </w:pPr>
    </w:lvl>
    <w:lvl w:ilvl="2" w:tplc="1C09001B" w:tentative="1">
      <w:start w:val="1"/>
      <w:numFmt w:val="lowerRoman"/>
      <w:lvlText w:val="%3."/>
      <w:lvlJc w:val="right"/>
      <w:pPr>
        <w:ind w:left="7613" w:hanging="180"/>
      </w:pPr>
    </w:lvl>
    <w:lvl w:ilvl="3" w:tplc="1C09000F" w:tentative="1">
      <w:start w:val="1"/>
      <w:numFmt w:val="decimal"/>
      <w:lvlText w:val="%4."/>
      <w:lvlJc w:val="left"/>
      <w:pPr>
        <w:ind w:left="8333" w:hanging="360"/>
      </w:pPr>
    </w:lvl>
    <w:lvl w:ilvl="4" w:tplc="1C090019" w:tentative="1">
      <w:start w:val="1"/>
      <w:numFmt w:val="lowerLetter"/>
      <w:lvlText w:val="%5."/>
      <w:lvlJc w:val="left"/>
      <w:pPr>
        <w:ind w:left="9053" w:hanging="360"/>
      </w:pPr>
    </w:lvl>
    <w:lvl w:ilvl="5" w:tplc="1C09001B" w:tentative="1">
      <w:start w:val="1"/>
      <w:numFmt w:val="lowerRoman"/>
      <w:lvlText w:val="%6."/>
      <w:lvlJc w:val="right"/>
      <w:pPr>
        <w:ind w:left="9773" w:hanging="180"/>
      </w:pPr>
    </w:lvl>
    <w:lvl w:ilvl="6" w:tplc="1C09000F" w:tentative="1">
      <w:start w:val="1"/>
      <w:numFmt w:val="decimal"/>
      <w:lvlText w:val="%7."/>
      <w:lvlJc w:val="left"/>
      <w:pPr>
        <w:ind w:left="10493" w:hanging="360"/>
      </w:pPr>
    </w:lvl>
    <w:lvl w:ilvl="7" w:tplc="1C090019" w:tentative="1">
      <w:start w:val="1"/>
      <w:numFmt w:val="lowerLetter"/>
      <w:lvlText w:val="%8."/>
      <w:lvlJc w:val="left"/>
      <w:pPr>
        <w:ind w:left="11213" w:hanging="360"/>
      </w:pPr>
    </w:lvl>
    <w:lvl w:ilvl="8" w:tplc="1C09001B" w:tentative="1">
      <w:start w:val="1"/>
      <w:numFmt w:val="lowerRoman"/>
      <w:lvlText w:val="%9."/>
      <w:lvlJc w:val="right"/>
      <w:pPr>
        <w:ind w:left="11933" w:hanging="180"/>
      </w:pPr>
    </w:lvl>
  </w:abstractNum>
  <w:abstractNum w:abstractNumId="4" w15:restartNumberingAfterBreak="0">
    <w:nsid w:val="0E7A1B8A"/>
    <w:multiLevelType w:val="multilevel"/>
    <w:tmpl w:val="540255D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019439D"/>
    <w:multiLevelType w:val="hybridMultilevel"/>
    <w:tmpl w:val="485EC17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0571175"/>
    <w:multiLevelType w:val="hybridMultilevel"/>
    <w:tmpl w:val="C31C7F4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1E06FEC"/>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3172AA"/>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6C24441"/>
    <w:multiLevelType w:val="multilevel"/>
    <w:tmpl w:val="AE8E1F5E"/>
    <w:lvl w:ilvl="0">
      <w:start w:val="1"/>
      <w:numFmt w:val="decimal"/>
      <w:lvlText w:val="%1"/>
      <w:lvlJc w:val="left"/>
      <w:pPr>
        <w:ind w:left="720" w:hanging="720"/>
      </w:pPr>
      <w:rPr>
        <w:rFonts w:hint="default"/>
      </w:rPr>
    </w:lvl>
    <w:lvl w:ilvl="1">
      <w:start w:val="1"/>
      <w:numFmt w:val="decimal"/>
      <w:lvlText w:val="%1.%2"/>
      <w:lvlJc w:val="left"/>
      <w:pPr>
        <w:ind w:left="6674"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C407C87"/>
    <w:multiLevelType w:val="hybridMultilevel"/>
    <w:tmpl w:val="46488F98"/>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1" w15:restartNumberingAfterBreak="0">
    <w:nsid w:val="1C872EF1"/>
    <w:multiLevelType w:val="multilevel"/>
    <w:tmpl w:val="CA9077D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DE63042"/>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E75B56"/>
    <w:multiLevelType w:val="multilevel"/>
    <w:tmpl w:val="BF0E1D64"/>
    <w:lvl w:ilvl="0">
      <w:start w:val="3"/>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E990A0F"/>
    <w:multiLevelType w:val="hybridMultilevel"/>
    <w:tmpl w:val="3D8C922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20145480"/>
    <w:multiLevelType w:val="multilevel"/>
    <w:tmpl w:val="F7D41A40"/>
    <w:lvl w:ilvl="0">
      <w:start w:val="2"/>
      <w:numFmt w:val="decimal"/>
      <w:lvlText w:val="%1"/>
      <w:lvlJc w:val="left"/>
      <w:pPr>
        <w:ind w:left="525" w:hanging="525"/>
      </w:pPr>
      <w:rPr>
        <w:rFonts w:hint="default"/>
        <w:b w:val="0"/>
      </w:rPr>
    </w:lvl>
    <w:lvl w:ilvl="1">
      <w:start w:val="4"/>
      <w:numFmt w:val="decimal"/>
      <w:lvlText w:val="%1.%2"/>
      <w:lvlJc w:val="left"/>
      <w:pPr>
        <w:ind w:left="525" w:hanging="525"/>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6" w15:restartNumberingAfterBreak="0">
    <w:nsid w:val="22513C99"/>
    <w:multiLevelType w:val="hybridMultilevel"/>
    <w:tmpl w:val="0CE8970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5031BBB"/>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6A84049"/>
    <w:multiLevelType w:val="hybridMultilevel"/>
    <w:tmpl w:val="D6DA0ACA"/>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9" w15:restartNumberingAfterBreak="0">
    <w:nsid w:val="27482D95"/>
    <w:multiLevelType w:val="multilevel"/>
    <w:tmpl w:val="B234F1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A06634F"/>
    <w:multiLevelType w:val="multilevel"/>
    <w:tmpl w:val="E398CBF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AB46C1E"/>
    <w:multiLevelType w:val="hybridMultilevel"/>
    <w:tmpl w:val="370C153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2B1D3A94"/>
    <w:multiLevelType w:val="hybridMultilevel"/>
    <w:tmpl w:val="EA7E7168"/>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2C527B98"/>
    <w:multiLevelType w:val="multilevel"/>
    <w:tmpl w:val="7F3C81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133334D"/>
    <w:multiLevelType w:val="multilevel"/>
    <w:tmpl w:val="67F0D46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i w:val="0"/>
        <w:i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2E24855"/>
    <w:multiLevelType w:val="multilevel"/>
    <w:tmpl w:val="6D024C7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3C950DE"/>
    <w:multiLevelType w:val="hybridMultilevel"/>
    <w:tmpl w:val="A0C2A214"/>
    <w:lvl w:ilvl="0" w:tplc="5E52F376">
      <w:start w:val="1"/>
      <w:numFmt w:val="lowerRoman"/>
      <w:lvlText w:val="%1)"/>
      <w:lvlJc w:val="left"/>
      <w:pPr>
        <w:ind w:left="720" w:hanging="360"/>
      </w:pPr>
      <w:rPr>
        <w:rFonts w:ascii="Arial" w:eastAsiaTheme="minorHAnsi" w:hAnsi="Arial"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0A2F8E"/>
    <w:multiLevelType w:val="multilevel"/>
    <w:tmpl w:val="2C46CCF4"/>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8" w15:restartNumberingAfterBreak="0">
    <w:nsid w:val="381D6A04"/>
    <w:multiLevelType w:val="hybridMultilevel"/>
    <w:tmpl w:val="5EE62B38"/>
    <w:lvl w:ilvl="0" w:tplc="4E50E712">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424B7E72"/>
    <w:multiLevelType w:val="hybridMultilevel"/>
    <w:tmpl w:val="6218A48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4E4B564D"/>
    <w:multiLevelType w:val="multilevel"/>
    <w:tmpl w:val="25D0E8F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245796D"/>
    <w:multiLevelType w:val="multilevel"/>
    <w:tmpl w:val="86A03D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3F65C23"/>
    <w:multiLevelType w:val="hybridMultilevel"/>
    <w:tmpl w:val="FEB4ECB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559E4E8A"/>
    <w:multiLevelType w:val="multilevel"/>
    <w:tmpl w:val="A33842F4"/>
    <w:lvl w:ilvl="0">
      <w:start w:val="2"/>
      <w:numFmt w:val="decimal"/>
      <w:lvlText w:val="%1"/>
      <w:lvlJc w:val="left"/>
      <w:pPr>
        <w:ind w:left="525" w:hanging="525"/>
      </w:pPr>
      <w:rPr>
        <w:rFonts w:hint="default"/>
        <w:b w:val="0"/>
      </w:rPr>
    </w:lvl>
    <w:lvl w:ilvl="1">
      <w:start w:val="4"/>
      <w:numFmt w:val="decimal"/>
      <w:lvlText w:val="%1.%2"/>
      <w:lvlJc w:val="left"/>
      <w:pPr>
        <w:ind w:left="525" w:hanging="525"/>
      </w:pPr>
      <w:rPr>
        <w:rFonts w:hint="default"/>
        <w:b w:val="0"/>
      </w:rPr>
    </w:lvl>
    <w:lvl w:ilvl="2">
      <w:start w:val="2"/>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34" w15:restartNumberingAfterBreak="0">
    <w:nsid w:val="55E279D4"/>
    <w:multiLevelType w:val="hybridMultilevel"/>
    <w:tmpl w:val="3CB0BFA0"/>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5" w15:restartNumberingAfterBreak="0">
    <w:nsid w:val="55EB4F3E"/>
    <w:multiLevelType w:val="hybridMultilevel"/>
    <w:tmpl w:val="99582980"/>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6" w15:restartNumberingAfterBreak="0">
    <w:nsid w:val="56400E6F"/>
    <w:multiLevelType w:val="multilevel"/>
    <w:tmpl w:val="AFA85F0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96B1453"/>
    <w:multiLevelType w:val="multilevel"/>
    <w:tmpl w:val="CA70D5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9CF144F"/>
    <w:multiLevelType w:val="multilevel"/>
    <w:tmpl w:val="6B5C31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5A152B2E"/>
    <w:multiLevelType w:val="multilevel"/>
    <w:tmpl w:val="E398CB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F4070FB"/>
    <w:multiLevelType w:val="multilevel"/>
    <w:tmpl w:val="398295C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67B43D82"/>
    <w:multiLevelType w:val="hybridMultilevel"/>
    <w:tmpl w:val="EF18011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42" w15:restartNumberingAfterBreak="0">
    <w:nsid w:val="6CE715DD"/>
    <w:multiLevelType w:val="hybridMultilevel"/>
    <w:tmpl w:val="D88C34F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71715E72"/>
    <w:multiLevelType w:val="multilevel"/>
    <w:tmpl w:val="0A26D0B4"/>
    <w:lvl w:ilvl="0">
      <w:start w:val="3"/>
      <w:numFmt w:val="decimal"/>
      <w:lvlText w:val="%1"/>
      <w:lvlJc w:val="left"/>
      <w:pPr>
        <w:ind w:left="360" w:hanging="360"/>
      </w:pPr>
      <w:rPr>
        <w:rFonts w:hint="default"/>
      </w:rPr>
    </w:lvl>
    <w:lvl w:ilvl="1">
      <w:start w:val="1"/>
      <w:numFmt w:val="decimal"/>
      <w:lvlText w:val="%1.%2"/>
      <w:lvlJc w:val="left"/>
      <w:pPr>
        <w:ind w:left="885" w:hanging="360"/>
      </w:pPr>
      <w:rPr>
        <w:rFonts w:hint="default"/>
        <w:b/>
      </w:rPr>
    </w:lvl>
    <w:lvl w:ilvl="2">
      <w:start w:val="1"/>
      <w:numFmt w:val="decimal"/>
      <w:lvlText w:val="%1.%2.%3"/>
      <w:lvlJc w:val="left"/>
      <w:pPr>
        <w:ind w:left="4123" w:hanging="720"/>
      </w:pPr>
      <w:rPr>
        <w:rFonts w:hint="default"/>
        <w:i w:val="0"/>
        <w:iCs w:val="0"/>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000" w:hanging="1800"/>
      </w:pPr>
      <w:rPr>
        <w:rFonts w:hint="default"/>
      </w:rPr>
    </w:lvl>
  </w:abstractNum>
  <w:abstractNum w:abstractNumId="44" w15:restartNumberingAfterBreak="0">
    <w:nsid w:val="73670F82"/>
    <w:multiLevelType w:val="hybridMultilevel"/>
    <w:tmpl w:val="F10620D8"/>
    <w:lvl w:ilvl="0" w:tplc="0409000F">
      <w:start w:val="1"/>
      <w:numFmt w:val="decimal"/>
      <w:lvlText w:val="%1."/>
      <w:lvlJc w:val="left"/>
      <w:pPr>
        <w:ind w:left="5039" w:hanging="360"/>
      </w:pPr>
      <w:rPr>
        <w:rFonts w:hint="default"/>
      </w:rPr>
    </w:lvl>
    <w:lvl w:ilvl="1" w:tplc="C7E4153E">
      <w:start w:val="1"/>
      <w:numFmt w:val="decimal"/>
      <w:lvlText w:val="7.%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FF4CF7"/>
    <w:multiLevelType w:val="multilevel"/>
    <w:tmpl w:val="BCDCD16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4CB6AAF"/>
    <w:multiLevelType w:val="hybridMultilevel"/>
    <w:tmpl w:val="11CE918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15:restartNumberingAfterBreak="0">
    <w:nsid w:val="7E96196D"/>
    <w:multiLevelType w:val="multilevel"/>
    <w:tmpl w:val="E398CBF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692730573">
    <w:abstractNumId w:val="32"/>
  </w:num>
  <w:num w:numId="2" w16cid:durableId="1742634949">
    <w:abstractNumId w:val="44"/>
  </w:num>
  <w:num w:numId="3" w16cid:durableId="1848016727">
    <w:abstractNumId w:val="27"/>
  </w:num>
  <w:num w:numId="4" w16cid:durableId="279605301">
    <w:abstractNumId w:val="11"/>
  </w:num>
  <w:num w:numId="5" w16cid:durableId="590237016">
    <w:abstractNumId w:val="3"/>
  </w:num>
  <w:num w:numId="6" w16cid:durableId="2138987940">
    <w:abstractNumId w:val="28"/>
  </w:num>
  <w:num w:numId="7" w16cid:durableId="1477844169">
    <w:abstractNumId w:val="37"/>
  </w:num>
  <w:num w:numId="8" w16cid:durableId="828061593">
    <w:abstractNumId w:val="45"/>
  </w:num>
  <w:num w:numId="9" w16cid:durableId="1610239326">
    <w:abstractNumId w:val="4"/>
  </w:num>
  <w:num w:numId="10" w16cid:durableId="49306717">
    <w:abstractNumId w:val="13"/>
  </w:num>
  <w:num w:numId="11" w16cid:durableId="275449048">
    <w:abstractNumId w:val="30"/>
  </w:num>
  <w:num w:numId="12" w16cid:durableId="1249001536">
    <w:abstractNumId w:val="26"/>
  </w:num>
  <w:num w:numId="13" w16cid:durableId="69083416">
    <w:abstractNumId w:val="25"/>
  </w:num>
  <w:num w:numId="14" w16cid:durableId="515509786">
    <w:abstractNumId w:val="21"/>
  </w:num>
  <w:num w:numId="15" w16cid:durableId="1686831827">
    <w:abstractNumId w:val="46"/>
  </w:num>
  <w:num w:numId="16" w16cid:durableId="533007157">
    <w:abstractNumId w:val="40"/>
  </w:num>
  <w:num w:numId="17" w16cid:durableId="438723093">
    <w:abstractNumId w:val="23"/>
  </w:num>
  <w:num w:numId="18" w16cid:durableId="1028142950">
    <w:abstractNumId w:val="15"/>
  </w:num>
  <w:num w:numId="19" w16cid:durableId="177937324">
    <w:abstractNumId w:val="33"/>
  </w:num>
  <w:num w:numId="20" w16cid:durableId="1493253819">
    <w:abstractNumId w:val="43"/>
  </w:num>
  <w:num w:numId="21" w16cid:durableId="511723863">
    <w:abstractNumId w:val="35"/>
  </w:num>
  <w:num w:numId="22" w16cid:durableId="1782531281">
    <w:abstractNumId w:val="24"/>
  </w:num>
  <w:num w:numId="23" w16cid:durableId="1804956359">
    <w:abstractNumId w:val="10"/>
  </w:num>
  <w:num w:numId="24" w16cid:durableId="701563929">
    <w:abstractNumId w:val="42"/>
  </w:num>
  <w:num w:numId="25" w16cid:durableId="1841002211">
    <w:abstractNumId w:val="29"/>
  </w:num>
  <w:num w:numId="26" w16cid:durableId="1843162264">
    <w:abstractNumId w:val="9"/>
  </w:num>
  <w:num w:numId="27" w16cid:durableId="117259008">
    <w:abstractNumId w:val="14"/>
  </w:num>
  <w:num w:numId="28" w16cid:durableId="662244887">
    <w:abstractNumId w:val="0"/>
  </w:num>
  <w:num w:numId="29" w16cid:durableId="24793433">
    <w:abstractNumId w:val="47"/>
  </w:num>
  <w:num w:numId="30" w16cid:durableId="2024820889">
    <w:abstractNumId w:val="36"/>
  </w:num>
  <w:num w:numId="31" w16cid:durableId="1795979186">
    <w:abstractNumId w:val="20"/>
  </w:num>
  <w:num w:numId="32" w16cid:durableId="1338926553">
    <w:abstractNumId w:val="39"/>
  </w:num>
  <w:num w:numId="33" w16cid:durableId="137579679">
    <w:abstractNumId w:val="16"/>
  </w:num>
  <w:num w:numId="34" w16cid:durableId="1572543181">
    <w:abstractNumId w:val="38"/>
  </w:num>
  <w:num w:numId="35" w16cid:durableId="1008487135">
    <w:abstractNumId w:val="8"/>
  </w:num>
  <w:num w:numId="36" w16cid:durableId="1975867014">
    <w:abstractNumId w:val="17"/>
  </w:num>
  <w:num w:numId="37" w16cid:durableId="1155797787">
    <w:abstractNumId w:val="12"/>
  </w:num>
  <w:num w:numId="38" w16cid:durableId="2129082811">
    <w:abstractNumId w:val="1"/>
  </w:num>
  <w:num w:numId="39" w16cid:durableId="403647283">
    <w:abstractNumId w:val="7"/>
  </w:num>
  <w:num w:numId="40" w16cid:durableId="636181568">
    <w:abstractNumId w:val="31"/>
  </w:num>
  <w:num w:numId="41" w16cid:durableId="352465246">
    <w:abstractNumId w:val="18"/>
  </w:num>
  <w:num w:numId="42" w16cid:durableId="382678658">
    <w:abstractNumId w:val="41"/>
  </w:num>
  <w:num w:numId="43" w16cid:durableId="1097755750">
    <w:abstractNumId w:val="34"/>
  </w:num>
  <w:num w:numId="44" w16cid:durableId="339696382">
    <w:abstractNumId w:val="6"/>
  </w:num>
  <w:num w:numId="45" w16cid:durableId="2111468688">
    <w:abstractNumId w:val="2"/>
  </w:num>
  <w:num w:numId="46" w16cid:durableId="210389387">
    <w:abstractNumId w:val="19"/>
  </w:num>
  <w:num w:numId="47" w16cid:durableId="1712613612">
    <w:abstractNumId w:val="22"/>
  </w:num>
  <w:num w:numId="48" w16cid:durableId="17493843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A01"/>
    <w:rsid w:val="00000C97"/>
    <w:rsid w:val="00001641"/>
    <w:rsid w:val="00002077"/>
    <w:rsid w:val="00002FE8"/>
    <w:rsid w:val="00003CB7"/>
    <w:rsid w:val="00003E92"/>
    <w:rsid w:val="000044E4"/>
    <w:rsid w:val="000045E6"/>
    <w:rsid w:val="00004FAF"/>
    <w:rsid w:val="000056AA"/>
    <w:rsid w:val="00006419"/>
    <w:rsid w:val="00006B6B"/>
    <w:rsid w:val="00006C7E"/>
    <w:rsid w:val="00006D4D"/>
    <w:rsid w:val="000100B5"/>
    <w:rsid w:val="00012FA1"/>
    <w:rsid w:val="00014130"/>
    <w:rsid w:val="0001510E"/>
    <w:rsid w:val="000201E5"/>
    <w:rsid w:val="000212AC"/>
    <w:rsid w:val="00021ECA"/>
    <w:rsid w:val="0002565D"/>
    <w:rsid w:val="000257E4"/>
    <w:rsid w:val="00026531"/>
    <w:rsid w:val="0002724F"/>
    <w:rsid w:val="0002729A"/>
    <w:rsid w:val="00027850"/>
    <w:rsid w:val="00031525"/>
    <w:rsid w:val="00031C04"/>
    <w:rsid w:val="00032DA5"/>
    <w:rsid w:val="000348D5"/>
    <w:rsid w:val="00036C25"/>
    <w:rsid w:val="0003799E"/>
    <w:rsid w:val="000405A0"/>
    <w:rsid w:val="00041902"/>
    <w:rsid w:val="000435AA"/>
    <w:rsid w:val="000440E6"/>
    <w:rsid w:val="0004469E"/>
    <w:rsid w:val="00044B5F"/>
    <w:rsid w:val="00044C38"/>
    <w:rsid w:val="0004547F"/>
    <w:rsid w:val="00046315"/>
    <w:rsid w:val="00046889"/>
    <w:rsid w:val="0004713E"/>
    <w:rsid w:val="000472F0"/>
    <w:rsid w:val="00050BE5"/>
    <w:rsid w:val="00050C2B"/>
    <w:rsid w:val="00051B13"/>
    <w:rsid w:val="00051B6B"/>
    <w:rsid w:val="00051CEE"/>
    <w:rsid w:val="00051CFF"/>
    <w:rsid w:val="000536F5"/>
    <w:rsid w:val="0005749B"/>
    <w:rsid w:val="000602CC"/>
    <w:rsid w:val="000608C8"/>
    <w:rsid w:val="00060BCF"/>
    <w:rsid w:val="00060D29"/>
    <w:rsid w:val="00060FA3"/>
    <w:rsid w:val="0006159A"/>
    <w:rsid w:val="0006296A"/>
    <w:rsid w:val="000631C9"/>
    <w:rsid w:val="00065145"/>
    <w:rsid w:val="0006592B"/>
    <w:rsid w:val="00065EC4"/>
    <w:rsid w:val="00066BC2"/>
    <w:rsid w:val="00066CA0"/>
    <w:rsid w:val="000670AF"/>
    <w:rsid w:val="00067578"/>
    <w:rsid w:val="00070687"/>
    <w:rsid w:val="00070DDE"/>
    <w:rsid w:val="00072BEE"/>
    <w:rsid w:val="0007419F"/>
    <w:rsid w:val="000746BF"/>
    <w:rsid w:val="0007529C"/>
    <w:rsid w:val="00075369"/>
    <w:rsid w:val="0007576C"/>
    <w:rsid w:val="00076EE5"/>
    <w:rsid w:val="0007790F"/>
    <w:rsid w:val="00077BC7"/>
    <w:rsid w:val="00077F92"/>
    <w:rsid w:val="000810B5"/>
    <w:rsid w:val="00081240"/>
    <w:rsid w:val="000827A5"/>
    <w:rsid w:val="0008326A"/>
    <w:rsid w:val="000834B8"/>
    <w:rsid w:val="00083C3B"/>
    <w:rsid w:val="00084F5B"/>
    <w:rsid w:val="0008698B"/>
    <w:rsid w:val="000870B0"/>
    <w:rsid w:val="0008763E"/>
    <w:rsid w:val="000876BE"/>
    <w:rsid w:val="00087AA8"/>
    <w:rsid w:val="000900A8"/>
    <w:rsid w:val="0009048A"/>
    <w:rsid w:val="00091A68"/>
    <w:rsid w:val="000925A1"/>
    <w:rsid w:val="0009271B"/>
    <w:rsid w:val="00092A3A"/>
    <w:rsid w:val="00094046"/>
    <w:rsid w:val="00094199"/>
    <w:rsid w:val="00094470"/>
    <w:rsid w:val="00095292"/>
    <w:rsid w:val="000952A8"/>
    <w:rsid w:val="00096351"/>
    <w:rsid w:val="00096711"/>
    <w:rsid w:val="000A0622"/>
    <w:rsid w:val="000A0B71"/>
    <w:rsid w:val="000A13C8"/>
    <w:rsid w:val="000A22EF"/>
    <w:rsid w:val="000A362A"/>
    <w:rsid w:val="000A3B14"/>
    <w:rsid w:val="000A449E"/>
    <w:rsid w:val="000A46D2"/>
    <w:rsid w:val="000A5BF9"/>
    <w:rsid w:val="000A603F"/>
    <w:rsid w:val="000A69B5"/>
    <w:rsid w:val="000B0C2B"/>
    <w:rsid w:val="000B1108"/>
    <w:rsid w:val="000B3582"/>
    <w:rsid w:val="000B5D27"/>
    <w:rsid w:val="000B67EE"/>
    <w:rsid w:val="000B773E"/>
    <w:rsid w:val="000C03AF"/>
    <w:rsid w:val="000C0A30"/>
    <w:rsid w:val="000C0F7D"/>
    <w:rsid w:val="000C1B23"/>
    <w:rsid w:val="000C2346"/>
    <w:rsid w:val="000C366E"/>
    <w:rsid w:val="000C4209"/>
    <w:rsid w:val="000C4CF0"/>
    <w:rsid w:val="000C5E0D"/>
    <w:rsid w:val="000C641B"/>
    <w:rsid w:val="000C6F3B"/>
    <w:rsid w:val="000C7D78"/>
    <w:rsid w:val="000D03C5"/>
    <w:rsid w:val="000D0533"/>
    <w:rsid w:val="000D0A3E"/>
    <w:rsid w:val="000D0BFD"/>
    <w:rsid w:val="000D31A4"/>
    <w:rsid w:val="000D44F7"/>
    <w:rsid w:val="000D4FF8"/>
    <w:rsid w:val="000D6A28"/>
    <w:rsid w:val="000D7075"/>
    <w:rsid w:val="000E16E3"/>
    <w:rsid w:val="000E2A9E"/>
    <w:rsid w:val="000E449D"/>
    <w:rsid w:val="000E54FA"/>
    <w:rsid w:val="000E6E76"/>
    <w:rsid w:val="000E76F4"/>
    <w:rsid w:val="000E7BA7"/>
    <w:rsid w:val="000F0052"/>
    <w:rsid w:val="000F069B"/>
    <w:rsid w:val="000F393B"/>
    <w:rsid w:val="000F3B29"/>
    <w:rsid w:val="000F40D3"/>
    <w:rsid w:val="000F500A"/>
    <w:rsid w:val="000F52D3"/>
    <w:rsid w:val="000F7482"/>
    <w:rsid w:val="000F7927"/>
    <w:rsid w:val="00101094"/>
    <w:rsid w:val="00101148"/>
    <w:rsid w:val="001017C9"/>
    <w:rsid w:val="00101F61"/>
    <w:rsid w:val="00102303"/>
    <w:rsid w:val="0010281C"/>
    <w:rsid w:val="00104094"/>
    <w:rsid w:val="00104635"/>
    <w:rsid w:val="00104C1B"/>
    <w:rsid w:val="00104EC8"/>
    <w:rsid w:val="00104ED9"/>
    <w:rsid w:val="0010611F"/>
    <w:rsid w:val="00106D3E"/>
    <w:rsid w:val="0010740B"/>
    <w:rsid w:val="00110B65"/>
    <w:rsid w:val="00111CB4"/>
    <w:rsid w:val="00111EE7"/>
    <w:rsid w:val="00114CB0"/>
    <w:rsid w:val="001152E3"/>
    <w:rsid w:val="00115CE2"/>
    <w:rsid w:val="0011748D"/>
    <w:rsid w:val="00117587"/>
    <w:rsid w:val="001176CE"/>
    <w:rsid w:val="0011788D"/>
    <w:rsid w:val="00120C33"/>
    <w:rsid w:val="001212BA"/>
    <w:rsid w:val="00121559"/>
    <w:rsid w:val="00122224"/>
    <w:rsid w:val="00122EC2"/>
    <w:rsid w:val="00123A01"/>
    <w:rsid w:val="00124C0B"/>
    <w:rsid w:val="00125108"/>
    <w:rsid w:val="00125C0B"/>
    <w:rsid w:val="00126F18"/>
    <w:rsid w:val="00127096"/>
    <w:rsid w:val="00127D02"/>
    <w:rsid w:val="001303A9"/>
    <w:rsid w:val="001313CF"/>
    <w:rsid w:val="00131BB8"/>
    <w:rsid w:val="001320FB"/>
    <w:rsid w:val="001328E4"/>
    <w:rsid w:val="00132FCD"/>
    <w:rsid w:val="00133688"/>
    <w:rsid w:val="00133FDD"/>
    <w:rsid w:val="001355C8"/>
    <w:rsid w:val="001360B5"/>
    <w:rsid w:val="00136ACF"/>
    <w:rsid w:val="00136CF5"/>
    <w:rsid w:val="00137FC1"/>
    <w:rsid w:val="00140705"/>
    <w:rsid w:val="0014132C"/>
    <w:rsid w:val="0014158E"/>
    <w:rsid w:val="00141D67"/>
    <w:rsid w:val="00142306"/>
    <w:rsid w:val="00142444"/>
    <w:rsid w:val="00142885"/>
    <w:rsid w:val="00143A06"/>
    <w:rsid w:val="00143AB7"/>
    <w:rsid w:val="00143F8F"/>
    <w:rsid w:val="0014453C"/>
    <w:rsid w:val="00144E68"/>
    <w:rsid w:val="001460AD"/>
    <w:rsid w:val="001478D7"/>
    <w:rsid w:val="00151705"/>
    <w:rsid w:val="00151E0B"/>
    <w:rsid w:val="00154886"/>
    <w:rsid w:val="0015569A"/>
    <w:rsid w:val="001566FD"/>
    <w:rsid w:val="00156E19"/>
    <w:rsid w:val="00156E33"/>
    <w:rsid w:val="00156FA9"/>
    <w:rsid w:val="00157144"/>
    <w:rsid w:val="001577CB"/>
    <w:rsid w:val="00157A5A"/>
    <w:rsid w:val="00157D50"/>
    <w:rsid w:val="00157D66"/>
    <w:rsid w:val="001604A1"/>
    <w:rsid w:val="0016205C"/>
    <w:rsid w:val="00162144"/>
    <w:rsid w:val="001629D9"/>
    <w:rsid w:val="00162DAD"/>
    <w:rsid w:val="00164434"/>
    <w:rsid w:val="00164B82"/>
    <w:rsid w:val="001668F9"/>
    <w:rsid w:val="00166C18"/>
    <w:rsid w:val="00167EB6"/>
    <w:rsid w:val="0017030F"/>
    <w:rsid w:val="0017222D"/>
    <w:rsid w:val="00174497"/>
    <w:rsid w:val="00175851"/>
    <w:rsid w:val="00176A0E"/>
    <w:rsid w:val="001771F0"/>
    <w:rsid w:val="00177C82"/>
    <w:rsid w:val="00180047"/>
    <w:rsid w:val="00181014"/>
    <w:rsid w:val="00181F3D"/>
    <w:rsid w:val="00184847"/>
    <w:rsid w:val="00184A60"/>
    <w:rsid w:val="00190217"/>
    <w:rsid w:val="00190F7E"/>
    <w:rsid w:val="0019118E"/>
    <w:rsid w:val="00191BA5"/>
    <w:rsid w:val="00192843"/>
    <w:rsid w:val="001963B5"/>
    <w:rsid w:val="00197A21"/>
    <w:rsid w:val="001A09DA"/>
    <w:rsid w:val="001A11A7"/>
    <w:rsid w:val="001A1C69"/>
    <w:rsid w:val="001A2219"/>
    <w:rsid w:val="001A2511"/>
    <w:rsid w:val="001A75AE"/>
    <w:rsid w:val="001A793B"/>
    <w:rsid w:val="001B0B6B"/>
    <w:rsid w:val="001B1A9E"/>
    <w:rsid w:val="001B1B3E"/>
    <w:rsid w:val="001B1CA9"/>
    <w:rsid w:val="001B1D28"/>
    <w:rsid w:val="001B3668"/>
    <w:rsid w:val="001B36ED"/>
    <w:rsid w:val="001B5702"/>
    <w:rsid w:val="001B635C"/>
    <w:rsid w:val="001B7699"/>
    <w:rsid w:val="001C0227"/>
    <w:rsid w:val="001C2574"/>
    <w:rsid w:val="001C46E6"/>
    <w:rsid w:val="001C5130"/>
    <w:rsid w:val="001C52FB"/>
    <w:rsid w:val="001C5F16"/>
    <w:rsid w:val="001C6059"/>
    <w:rsid w:val="001C630C"/>
    <w:rsid w:val="001C6B8E"/>
    <w:rsid w:val="001D06D6"/>
    <w:rsid w:val="001D0B73"/>
    <w:rsid w:val="001D2324"/>
    <w:rsid w:val="001D367C"/>
    <w:rsid w:val="001D3D14"/>
    <w:rsid w:val="001D4AB5"/>
    <w:rsid w:val="001D5A0C"/>
    <w:rsid w:val="001D6988"/>
    <w:rsid w:val="001D7255"/>
    <w:rsid w:val="001D7780"/>
    <w:rsid w:val="001E026A"/>
    <w:rsid w:val="001E1F55"/>
    <w:rsid w:val="001E2673"/>
    <w:rsid w:val="001E2E9F"/>
    <w:rsid w:val="001E33B0"/>
    <w:rsid w:val="001E34E6"/>
    <w:rsid w:val="001E5DAA"/>
    <w:rsid w:val="001E6471"/>
    <w:rsid w:val="001E6FE7"/>
    <w:rsid w:val="001E775D"/>
    <w:rsid w:val="001E7B5C"/>
    <w:rsid w:val="001E7B84"/>
    <w:rsid w:val="001F1921"/>
    <w:rsid w:val="001F1F3F"/>
    <w:rsid w:val="001F2AC9"/>
    <w:rsid w:val="001F2C00"/>
    <w:rsid w:val="001F2D4C"/>
    <w:rsid w:val="001F2F39"/>
    <w:rsid w:val="001F2FC0"/>
    <w:rsid w:val="001F33B4"/>
    <w:rsid w:val="001F3EAC"/>
    <w:rsid w:val="001F5490"/>
    <w:rsid w:val="001F7A93"/>
    <w:rsid w:val="001F7C15"/>
    <w:rsid w:val="002001A4"/>
    <w:rsid w:val="00200250"/>
    <w:rsid w:val="002002E0"/>
    <w:rsid w:val="00200329"/>
    <w:rsid w:val="0020347E"/>
    <w:rsid w:val="002037B5"/>
    <w:rsid w:val="002043DB"/>
    <w:rsid w:val="002050B8"/>
    <w:rsid w:val="00205123"/>
    <w:rsid w:val="00205625"/>
    <w:rsid w:val="00205AE2"/>
    <w:rsid w:val="00206020"/>
    <w:rsid w:val="002076A0"/>
    <w:rsid w:val="00207C3F"/>
    <w:rsid w:val="00210F94"/>
    <w:rsid w:val="00211427"/>
    <w:rsid w:val="00213F79"/>
    <w:rsid w:val="0021424A"/>
    <w:rsid w:val="00215915"/>
    <w:rsid w:val="00215EE4"/>
    <w:rsid w:val="002178A9"/>
    <w:rsid w:val="0022138F"/>
    <w:rsid w:val="00221999"/>
    <w:rsid w:val="00221E8F"/>
    <w:rsid w:val="00222580"/>
    <w:rsid w:val="002225A1"/>
    <w:rsid w:val="0022398D"/>
    <w:rsid w:val="002243CC"/>
    <w:rsid w:val="00224644"/>
    <w:rsid w:val="00224809"/>
    <w:rsid w:val="002252BB"/>
    <w:rsid w:val="00225FD6"/>
    <w:rsid w:val="002263E5"/>
    <w:rsid w:val="00227A6B"/>
    <w:rsid w:val="00227EE2"/>
    <w:rsid w:val="002303C2"/>
    <w:rsid w:val="002308F8"/>
    <w:rsid w:val="00230CC9"/>
    <w:rsid w:val="00231D77"/>
    <w:rsid w:val="0023356C"/>
    <w:rsid w:val="00233F78"/>
    <w:rsid w:val="00234049"/>
    <w:rsid w:val="00234214"/>
    <w:rsid w:val="00234BEA"/>
    <w:rsid w:val="00234E65"/>
    <w:rsid w:val="0023600A"/>
    <w:rsid w:val="0023632B"/>
    <w:rsid w:val="00236B5B"/>
    <w:rsid w:val="00236BA2"/>
    <w:rsid w:val="002374CB"/>
    <w:rsid w:val="0024041B"/>
    <w:rsid w:val="00240C09"/>
    <w:rsid w:val="002416C5"/>
    <w:rsid w:val="00242C0C"/>
    <w:rsid w:val="00244880"/>
    <w:rsid w:val="00246A40"/>
    <w:rsid w:val="00246A7B"/>
    <w:rsid w:val="002505DD"/>
    <w:rsid w:val="0025188D"/>
    <w:rsid w:val="0025347C"/>
    <w:rsid w:val="002542D0"/>
    <w:rsid w:val="002556F9"/>
    <w:rsid w:val="00256DAC"/>
    <w:rsid w:val="00256EA0"/>
    <w:rsid w:val="00260107"/>
    <w:rsid w:val="002612A4"/>
    <w:rsid w:val="002617A2"/>
    <w:rsid w:val="0026302A"/>
    <w:rsid w:val="002630FC"/>
    <w:rsid w:val="00263993"/>
    <w:rsid w:val="002641C2"/>
    <w:rsid w:val="0026485D"/>
    <w:rsid w:val="00265369"/>
    <w:rsid w:val="00265ACF"/>
    <w:rsid w:val="002665D3"/>
    <w:rsid w:val="00266BE2"/>
    <w:rsid w:val="002700FC"/>
    <w:rsid w:val="00271304"/>
    <w:rsid w:val="002732A7"/>
    <w:rsid w:val="00275743"/>
    <w:rsid w:val="00276065"/>
    <w:rsid w:val="00277AC4"/>
    <w:rsid w:val="002800C5"/>
    <w:rsid w:val="0028173B"/>
    <w:rsid w:val="0028186F"/>
    <w:rsid w:val="0028213C"/>
    <w:rsid w:val="00282A53"/>
    <w:rsid w:val="0028352C"/>
    <w:rsid w:val="00283719"/>
    <w:rsid w:val="0028551C"/>
    <w:rsid w:val="00286213"/>
    <w:rsid w:val="002864EB"/>
    <w:rsid w:val="00286DF8"/>
    <w:rsid w:val="0028737B"/>
    <w:rsid w:val="00291585"/>
    <w:rsid w:val="00291EAC"/>
    <w:rsid w:val="00292C89"/>
    <w:rsid w:val="002932D5"/>
    <w:rsid w:val="00293FF2"/>
    <w:rsid w:val="002959F8"/>
    <w:rsid w:val="00296ED4"/>
    <w:rsid w:val="002977D8"/>
    <w:rsid w:val="00297FC3"/>
    <w:rsid w:val="002A0C1D"/>
    <w:rsid w:val="002A0E14"/>
    <w:rsid w:val="002A1008"/>
    <w:rsid w:val="002A155F"/>
    <w:rsid w:val="002A2F7B"/>
    <w:rsid w:val="002A36EA"/>
    <w:rsid w:val="002A463A"/>
    <w:rsid w:val="002A487D"/>
    <w:rsid w:val="002A5D8A"/>
    <w:rsid w:val="002A60BD"/>
    <w:rsid w:val="002A675D"/>
    <w:rsid w:val="002A7CDA"/>
    <w:rsid w:val="002B1616"/>
    <w:rsid w:val="002B254C"/>
    <w:rsid w:val="002B25A4"/>
    <w:rsid w:val="002B28B3"/>
    <w:rsid w:val="002B49F4"/>
    <w:rsid w:val="002B53F1"/>
    <w:rsid w:val="002B5410"/>
    <w:rsid w:val="002B5711"/>
    <w:rsid w:val="002B5C86"/>
    <w:rsid w:val="002B7411"/>
    <w:rsid w:val="002B7969"/>
    <w:rsid w:val="002B7F30"/>
    <w:rsid w:val="002C0228"/>
    <w:rsid w:val="002C2B0E"/>
    <w:rsid w:val="002C4AB1"/>
    <w:rsid w:val="002C5CAD"/>
    <w:rsid w:val="002C75A5"/>
    <w:rsid w:val="002D01ED"/>
    <w:rsid w:val="002D024E"/>
    <w:rsid w:val="002D08DA"/>
    <w:rsid w:val="002D0A8C"/>
    <w:rsid w:val="002D1506"/>
    <w:rsid w:val="002D1611"/>
    <w:rsid w:val="002D1DA3"/>
    <w:rsid w:val="002D2DAD"/>
    <w:rsid w:val="002D2EAA"/>
    <w:rsid w:val="002D6287"/>
    <w:rsid w:val="002D636B"/>
    <w:rsid w:val="002D637C"/>
    <w:rsid w:val="002D7C4B"/>
    <w:rsid w:val="002D7EDD"/>
    <w:rsid w:val="002E15C6"/>
    <w:rsid w:val="002E1E61"/>
    <w:rsid w:val="002E1F44"/>
    <w:rsid w:val="002E222B"/>
    <w:rsid w:val="002E29C2"/>
    <w:rsid w:val="002E2ED7"/>
    <w:rsid w:val="002E4809"/>
    <w:rsid w:val="002E48AD"/>
    <w:rsid w:val="002E512D"/>
    <w:rsid w:val="002E56FD"/>
    <w:rsid w:val="002E6960"/>
    <w:rsid w:val="002E7091"/>
    <w:rsid w:val="002E7483"/>
    <w:rsid w:val="002F0C8C"/>
    <w:rsid w:val="002F1A85"/>
    <w:rsid w:val="002F2989"/>
    <w:rsid w:val="002F2BC5"/>
    <w:rsid w:val="002F355E"/>
    <w:rsid w:val="002F4207"/>
    <w:rsid w:val="002F64FA"/>
    <w:rsid w:val="002F789B"/>
    <w:rsid w:val="00300258"/>
    <w:rsid w:val="00300900"/>
    <w:rsid w:val="00300C0D"/>
    <w:rsid w:val="003013C5"/>
    <w:rsid w:val="00302606"/>
    <w:rsid w:val="00302841"/>
    <w:rsid w:val="00303FF9"/>
    <w:rsid w:val="00304627"/>
    <w:rsid w:val="00306D88"/>
    <w:rsid w:val="0031060D"/>
    <w:rsid w:val="003117CE"/>
    <w:rsid w:val="00311A8B"/>
    <w:rsid w:val="00311BD4"/>
    <w:rsid w:val="00312471"/>
    <w:rsid w:val="00313290"/>
    <w:rsid w:val="003132A8"/>
    <w:rsid w:val="00313350"/>
    <w:rsid w:val="00313DE6"/>
    <w:rsid w:val="00314704"/>
    <w:rsid w:val="00314FDB"/>
    <w:rsid w:val="00317517"/>
    <w:rsid w:val="00317F10"/>
    <w:rsid w:val="003207F3"/>
    <w:rsid w:val="00320DDC"/>
    <w:rsid w:val="00323758"/>
    <w:rsid w:val="00323EB5"/>
    <w:rsid w:val="00325F4C"/>
    <w:rsid w:val="00326AB8"/>
    <w:rsid w:val="00327189"/>
    <w:rsid w:val="0032739C"/>
    <w:rsid w:val="003319A8"/>
    <w:rsid w:val="00331BB9"/>
    <w:rsid w:val="00332654"/>
    <w:rsid w:val="003329A5"/>
    <w:rsid w:val="0033348E"/>
    <w:rsid w:val="003337AC"/>
    <w:rsid w:val="003342E7"/>
    <w:rsid w:val="00335AAA"/>
    <w:rsid w:val="00335C94"/>
    <w:rsid w:val="00337AEC"/>
    <w:rsid w:val="003400C3"/>
    <w:rsid w:val="003402C8"/>
    <w:rsid w:val="00340689"/>
    <w:rsid w:val="00341849"/>
    <w:rsid w:val="00342024"/>
    <w:rsid w:val="00342435"/>
    <w:rsid w:val="003442BD"/>
    <w:rsid w:val="00344CF8"/>
    <w:rsid w:val="00344EFA"/>
    <w:rsid w:val="0034505F"/>
    <w:rsid w:val="00345667"/>
    <w:rsid w:val="003457A6"/>
    <w:rsid w:val="00345E10"/>
    <w:rsid w:val="00346FF1"/>
    <w:rsid w:val="003505B1"/>
    <w:rsid w:val="00350A1C"/>
    <w:rsid w:val="00350BC2"/>
    <w:rsid w:val="0035169A"/>
    <w:rsid w:val="0035236F"/>
    <w:rsid w:val="00352484"/>
    <w:rsid w:val="00353071"/>
    <w:rsid w:val="00355231"/>
    <w:rsid w:val="00356308"/>
    <w:rsid w:val="0035747D"/>
    <w:rsid w:val="003578DC"/>
    <w:rsid w:val="00360283"/>
    <w:rsid w:val="00360D46"/>
    <w:rsid w:val="00360F7E"/>
    <w:rsid w:val="00361B27"/>
    <w:rsid w:val="00361DB7"/>
    <w:rsid w:val="00362473"/>
    <w:rsid w:val="00362781"/>
    <w:rsid w:val="00362CF1"/>
    <w:rsid w:val="0037056C"/>
    <w:rsid w:val="0037155C"/>
    <w:rsid w:val="00373348"/>
    <w:rsid w:val="00373E68"/>
    <w:rsid w:val="00376DEB"/>
    <w:rsid w:val="00377445"/>
    <w:rsid w:val="003774AC"/>
    <w:rsid w:val="003779CD"/>
    <w:rsid w:val="00380AC8"/>
    <w:rsid w:val="003818E1"/>
    <w:rsid w:val="00382144"/>
    <w:rsid w:val="00382A35"/>
    <w:rsid w:val="00384559"/>
    <w:rsid w:val="00384B27"/>
    <w:rsid w:val="00386003"/>
    <w:rsid w:val="00386651"/>
    <w:rsid w:val="00386991"/>
    <w:rsid w:val="00386E05"/>
    <w:rsid w:val="00387AFD"/>
    <w:rsid w:val="003903F4"/>
    <w:rsid w:val="00390EC7"/>
    <w:rsid w:val="003912C0"/>
    <w:rsid w:val="003917F2"/>
    <w:rsid w:val="00391BDC"/>
    <w:rsid w:val="00391F00"/>
    <w:rsid w:val="003946A8"/>
    <w:rsid w:val="00394B8C"/>
    <w:rsid w:val="00394E88"/>
    <w:rsid w:val="00396483"/>
    <w:rsid w:val="0039743D"/>
    <w:rsid w:val="00397750"/>
    <w:rsid w:val="00397A15"/>
    <w:rsid w:val="003A192A"/>
    <w:rsid w:val="003A2840"/>
    <w:rsid w:val="003A5F00"/>
    <w:rsid w:val="003A60A8"/>
    <w:rsid w:val="003A624F"/>
    <w:rsid w:val="003A66CC"/>
    <w:rsid w:val="003A6E25"/>
    <w:rsid w:val="003A7C06"/>
    <w:rsid w:val="003B13B9"/>
    <w:rsid w:val="003B1664"/>
    <w:rsid w:val="003B1955"/>
    <w:rsid w:val="003B1C2A"/>
    <w:rsid w:val="003B2531"/>
    <w:rsid w:val="003B3F3C"/>
    <w:rsid w:val="003B5733"/>
    <w:rsid w:val="003B5A85"/>
    <w:rsid w:val="003B5EE2"/>
    <w:rsid w:val="003B666E"/>
    <w:rsid w:val="003B6F0A"/>
    <w:rsid w:val="003C0BB0"/>
    <w:rsid w:val="003C209A"/>
    <w:rsid w:val="003C2772"/>
    <w:rsid w:val="003C3EBE"/>
    <w:rsid w:val="003C40D2"/>
    <w:rsid w:val="003C4DAF"/>
    <w:rsid w:val="003C52FF"/>
    <w:rsid w:val="003C6BF2"/>
    <w:rsid w:val="003C7198"/>
    <w:rsid w:val="003D084F"/>
    <w:rsid w:val="003D0871"/>
    <w:rsid w:val="003D0CDC"/>
    <w:rsid w:val="003D1D11"/>
    <w:rsid w:val="003D3033"/>
    <w:rsid w:val="003D398C"/>
    <w:rsid w:val="003D3ED6"/>
    <w:rsid w:val="003D3FE4"/>
    <w:rsid w:val="003D4782"/>
    <w:rsid w:val="003D5812"/>
    <w:rsid w:val="003D5FBF"/>
    <w:rsid w:val="003D63BE"/>
    <w:rsid w:val="003D6E08"/>
    <w:rsid w:val="003E01C2"/>
    <w:rsid w:val="003E08DB"/>
    <w:rsid w:val="003E135E"/>
    <w:rsid w:val="003E1E28"/>
    <w:rsid w:val="003E2611"/>
    <w:rsid w:val="003E26B7"/>
    <w:rsid w:val="003E30F1"/>
    <w:rsid w:val="003E3162"/>
    <w:rsid w:val="003E4F14"/>
    <w:rsid w:val="003E690B"/>
    <w:rsid w:val="003E6F4F"/>
    <w:rsid w:val="003E7276"/>
    <w:rsid w:val="003E78EE"/>
    <w:rsid w:val="003F15A2"/>
    <w:rsid w:val="003F3019"/>
    <w:rsid w:val="003F3230"/>
    <w:rsid w:val="003F3B7B"/>
    <w:rsid w:val="003F487F"/>
    <w:rsid w:val="003F5A46"/>
    <w:rsid w:val="003F5F53"/>
    <w:rsid w:val="003F6438"/>
    <w:rsid w:val="003F68A3"/>
    <w:rsid w:val="004009AB"/>
    <w:rsid w:val="00401303"/>
    <w:rsid w:val="00402219"/>
    <w:rsid w:val="0040350C"/>
    <w:rsid w:val="0040570B"/>
    <w:rsid w:val="00405878"/>
    <w:rsid w:val="004066C1"/>
    <w:rsid w:val="00406CEB"/>
    <w:rsid w:val="0040714C"/>
    <w:rsid w:val="00407E6F"/>
    <w:rsid w:val="00410932"/>
    <w:rsid w:val="00410C95"/>
    <w:rsid w:val="00411980"/>
    <w:rsid w:val="0041244F"/>
    <w:rsid w:val="004139E4"/>
    <w:rsid w:val="00415318"/>
    <w:rsid w:val="004159B7"/>
    <w:rsid w:val="00415E5B"/>
    <w:rsid w:val="00416AF5"/>
    <w:rsid w:val="00420641"/>
    <w:rsid w:val="004222E4"/>
    <w:rsid w:val="00422C09"/>
    <w:rsid w:val="00423472"/>
    <w:rsid w:val="004256BA"/>
    <w:rsid w:val="00425770"/>
    <w:rsid w:val="0042579E"/>
    <w:rsid w:val="0042753A"/>
    <w:rsid w:val="00427683"/>
    <w:rsid w:val="00427A94"/>
    <w:rsid w:val="004308BF"/>
    <w:rsid w:val="004317E9"/>
    <w:rsid w:val="004327F7"/>
    <w:rsid w:val="00433DE5"/>
    <w:rsid w:val="004341AA"/>
    <w:rsid w:val="004353C1"/>
    <w:rsid w:val="00435D02"/>
    <w:rsid w:val="00435F64"/>
    <w:rsid w:val="00437791"/>
    <w:rsid w:val="00437796"/>
    <w:rsid w:val="00437DD4"/>
    <w:rsid w:val="00442353"/>
    <w:rsid w:val="004423A0"/>
    <w:rsid w:val="00442E82"/>
    <w:rsid w:val="0044329F"/>
    <w:rsid w:val="00443C02"/>
    <w:rsid w:val="00444B8D"/>
    <w:rsid w:val="00450B2E"/>
    <w:rsid w:val="00453819"/>
    <w:rsid w:val="00453FF7"/>
    <w:rsid w:val="00454FE1"/>
    <w:rsid w:val="00455E83"/>
    <w:rsid w:val="00456655"/>
    <w:rsid w:val="00456B69"/>
    <w:rsid w:val="004622F8"/>
    <w:rsid w:val="0046266D"/>
    <w:rsid w:val="00463BC8"/>
    <w:rsid w:val="00464629"/>
    <w:rsid w:val="004655A7"/>
    <w:rsid w:val="0046612F"/>
    <w:rsid w:val="00466CE4"/>
    <w:rsid w:val="00467588"/>
    <w:rsid w:val="00471A3C"/>
    <w:rsid w:val="00472145"/>
    <w:rsid w:val="00472F23"/>
    <w:rsid w:val="00475530"/>
    <w:rsid w:val="00476FDA"/>
    <w:rsid w:val="00477BFA"/>
    <w:rsid w:val="00480245"/>
    <w:rsid w:val="00482DD6"/>
    <w:rsid w:val="004834C2"/>
    <w:rsid w:val="00484558"/>
    <w:rsid w:val="00484B4F"/>
    <w:rsid w:val="0048582B"/>
    <w:rsid w:val="00490019"/>
    <w:rsid w:val="00491988"/>
    <w:rsid w:val="00492A06"/>
    <w:rsid w:val="0049312A"/>
    <w:rsid w:val="00493889"/>
    <w:rsid w:val="0049430C"/>
    <w:rsid w:val="00494F05"/>
    <w:rsid w:val="004952C8"/>
    <w:rsid w:val="00495A5F"/>
    <w:rsid w:val="00495ACE"/>
    <w:rsid w:val="00496A37"/>
    <w:rsid w:val="00496E15"/>
    <w:rsid w:val="00496E86"/>
    <w:rsid w:val="004972B8"/>
    <w:rsid w:val="00497C55"/>
    <w:rsid w:val="00497CAF"/>
    <w:rsid w:val="00497EBF"/>
    <w:rsid w:val="004A05D0"/>
    <w:rsid w:val="004A0736"/>
    <w:rsid w:val="004A14AF"/>
    <w:rsid w:val="004A158D"/>
    <w:rsid w:val="004A15A5"/>
    <w:rsid w:val="004A1BF6"/>
    <w:rsid w:val="004A211C"/>
    <w:rsid w:val="004A2251"/>
    <w:rsid w:val="004A263E"/>
    <w:rsid w:val="004A279C"/>
    <w:rsid w:val="004A2A01"/>
    <w:rsid w:val="004A356B"/>
    <w:rsid w:val="004A36CD"/>
    <w:rsid w:val="004A3B9C"/>
    <w:rsid w:val="004A5083"/>
    <w:rsid w:val="004A5E34"/>
    <w:rsid w:val="004A60CB"/>
    <w:rsid w:val="004A62A5"/>
    <w:rsid w:val="004A6428"/>
    <w:rsid w:val="004A6DDE"/>
    <w:rsid w:val="004A7E07"/>
    <w:rsid w:val="004B2119"/>
    <w:rsid w:val="004B3B87"/>
    <w:rsid w:val="004B4E3C"/>
    <w:rsid w:val="004B5296"/>
    <w:rsid w:val="004B57C5"/>
    <w:rsid w:val="004B5BA4"/>
    <w:rsid w:val="004B5F04"/>
    <w:rsid w:val="004B6840"/>
    <w:rsid w:val="004B777E"/>
    <w:rsid w:val="004C12E3"/>
    <w:rsid w:val="004C1750"/>
    <w:rsid w:val="004C1ACE"/>
    <w:rsid w:val="004C1D63"/>
    <w:rsid w:val="004C2865"/>
    <w:rsid w:val="004C438C"/>
    <w:rsid w:val="004C493B"/>
    <w:rsid w:val="004C5FF3"/>
    <w:rsid w:val="004C6AAD"/>
    <w:rsid w:val="004C6EF3"/>
    <w:rsid w:val="004C7380"/>
    <w:rsid w:val="004C79EB"/>
    <w:rsid w:val="004D0E4B"/>
    <w:rsid w:val="004D246F"/>
    <w:rsid w:val="004D2940"/>
    <w:rsid w:val="004D2B7D"/>
    <w:rsid w:val="004D413B"/>
    <w:rsid w:val="004D4906"/>
    <w:rsid w:val="004D619E"/>
    <w:rsid w:val="004D6A0C"/>
    <w:rsid w:val="004D731D"/>
    <w:rsid w:val="004D753D"/>
    <w:rsid w:val="004D7D5D"/>
    <w:rsid w:val="004D7F90"/>
    <w:rsid w:val="004E00A3"/>
    <w:rsid w:val="004E1332"/>
    <w:rsid w:val="004E1A91"/>
    <w:rsid w:val="004E271D"/>
    <w:rsid w:val="004E33CA"/>
    <w:rsid w:val="004E356C"/>
    <w:rsid w:val="004E3B71"/>
    <w:rsid w:val="004E4AB5"/>
    <w:rsid w:val="004E4D65"/>
    <w:rsid w:val="004E5C78"/>
    <w:rsid w:val="004E5DD0"/>
    <w:rsid w:val="004E66C5"/>
    <w:rsid w:val="004E70CB"/>
    <w:rsid w:val="004E7F51"/>
    <w:rsid w:val="004F1795"/>
    <w:rsid w:val="004F2121"/>
    <w:rsid w:val="004F2A8C"/>
    <w:rsid w:val="004F411D"/>
    <w:rsid w:val="004F41F5"/>
    <w:rsid w:val="004F7F82"/>
    <w:rsid w:val="0050096C"/>
    <w:rsid w:val="00500F12"/>
    <w:rsid w:val="00501F91"/>
    <w:rsid w:val="0050316E"/>
    <w:rsid w:val="0050473C"/>
    <w:rsid w:val="005049E2"/>
    <w:rsid w:val="00505F29"/>
    <w:rsid w:val="00510342"/>
    <w:rsid w:val="00510752"/>
    <w:rsid w:val="00511481"/>
    <w:rsid w:val="00511F10"/>
    <w:rsid w:val="00513184"/>
    <w:rsid w:val="00513268"/>
    <w:rsid w:val="00515103"/>
    <w:rsid w:val="0051584C"/>
    <w:rsid w:val="0051588F"/>
    <w:rsid w:val="00516DF3"/>
    <w:rsid w:val="00517371"/>
    <w:rsid w:val="00517E47"/>
    <w:rsid w:val="00520CA2"/>
    <w:rsid w:val="00521441"/>
    <w:rsid w:val="00521601"/>
    <w:rsid w:val="00525309"/>
    <w:rsid w:val="00526368"/>
    <w:rsid w:val="005274B0"/>
    <w:rsid w:val="005274C5"/>
    <w:rsid w:val="00527815"/>
    <w:rsid w:val="00527D47"/>
    <w:rsid w:val="0053103F"/>
    <w:rsid w:val="00532412"/>
    <w:rsid w:val="00532D1D"/>
    <w:rsid w:val="00534293"/>
    <w:rsid w:val="005358F7"/>
    <w:rsid w:val="00535E12"/>
    <w:rsid w:val="00536B6C"/>
    <w:rsid w:val="00540289"/>
    <w:rsid w:val="005407BF"/>
    <w:rsid w:val="00540A25"/>
    <w:rsid w:val="005420F3"/>
    <w:rsid w:val="00542983"/>
    <w:rsid w:val="00542B0B"/>
    <w:rsid w:val="0054345C"/>
    <w:rsid w:val="00543694"/>
    <w:rsid w:val="00543B80"/>
    <w:rsid w:val="005447C8"/>
    <w:rsid w:val="00544964"/>
    <w:rsid w:val="00545460"/>
    <w:rsid w:val="00545EA5"/>
    <w:rsid w:val="00546282"/>
    <w:rsid w:val="00550BBF"/>
    <w:rsid w:val="005533AE"/>
    <w:rsid w:val="00554591"/>
    <w:rsid w:val="00554711"/>
    <w:rsid w:val="005548DE"/>
    <w:rsid w:val="00554991"/>
    <w:rsid w:val="00554FD8"/>
    <w:rsid w:val="00555CD0"/>
    <w:rsid w:val="00556125"/>
    <w:rsid w:val="00556386"/>
    <w:rsid w:val="00557249"/>
    <w:rsid w:val="00557D90"/>
    <w:rsid w:val="00560576"/>
    <w:rsid w:val="00560936"/>
    <w:rsid w:val="00560A0C"/>
    <w:rsid w:val="00560F47"/>
    <w:rsid w:val="00561F04"/>
    <w:rsid w:val="005623A3"/>
    <w:rsid w:val="00562611"/>
    <w:rsid w:val="0056265E"/>
    <w:rsid w:val="00564E5F"/>
    <w:rsid w:val="005662B3"/>
    <w:rsid w:val="005667FF"/>
    <w:rsid w:val="00566EA3"/>
    <w:rsid w:val="00573690"/>
    <w:rsid w:val="00573B1E"/>
    <w:rsid w:val="00574CF1"/>
    <w:rsid w:val="0057575A"/>
    <w:rsid w:val="00575A4A"/>
    <w:rsid w:val="00576D94"/>
    <w:rsid w:val="00577CAE"/>
    <w:rsid w:val="00581052"/>
    <w:rsid w:val="005822CD"/>
    <w:rsid w:val="00583659"/>
    <w:rsid w:val="00584171"/>
    <w:rsid w:val="0058637A"/>
    <w:rsid w:val="0058650E"/>
    <w:rsid w:val="005908AA"/>
    <w:rsid w:val="00591D93"/>
    <w:rsid w:val="0059206E"/>
    <w:rsid w:val="00593E8F"/>
    <w:rsid w:val="00594A57"/>
    <w:rsid w:val="00594D15"/>
    <w:rsid w:val="0059501C"/>
    <w:rsid w:val="005960AF"/>
    <w:rsid w:val="00596C36"/>
    <w:rsid w:val="005A2646"/>
    <w:rsid w:val="005A2C11"/>
    <w:rsid w:val="005A323D"/>
    <w:rsid w:val="005A4210"/>
    <w:rsid w:val="005A5051"/>
    <w:rsid w:val="005A513D"/>
    <w:rsid w:val="005A52D9"/>
    <w:rsid w:val="005A5557"/>
    <w:rsid w:val="005A5F98"/>
    <w:rsid w:val="005A621C"/>
    <w:rsid w:val="005A64FF"/>
    <w:rsid w:val="005A6638"/>
    <w:rsid w:val="005A6D2A"/>
    <w:rsid w:val="005A763E"/>
    <w:rsid w:val="005A7C40"/>
    <w:rsid w:val="005B0C29"/>
    <w:rsid w:val="005B1330"/>
    <w:rsid w:val="005B1514"/>
    <w:rsid w:val="005B15AE"/>
    <w:rsid w:val="005B1C41"/>
    <w:rsid w:val="005B20AF"/>
    <w:rsid w:val="005B2768"/>
    <w:rsid w:val="005B2E6C"/>
    <w:rsid w:val="005B5EDB"/>
    <w:rsid w:val="005B61A9"/>
    <w:rsid w:val="005B6D6E"/>
    <w:rsid w:val="005C0528"/>
    <w:rsid w:val="005C085A"/>
    <w:rsid w:val="005C1317"/>
    <w:rsid w:val="005C21B2"/>
    <w:rsid w:val="005C28C2"/>
    <w:rsid w:val="005C2B29"/>
    <w:rsid w:val="005C510F"/>
    <w:rsid w:val="005C5D45"/>
    <w:rsid w:val="005C78A0"/>
    <w:rsid w:val="005D0842"/>
    <w:rsid w:val="005D0F37"/>
    <w:rsid w:val="005D207E"/>
    <w:rsid w:val="005D3A8F"/>
    <w:rsid w:val="005D3C5C"/>
    <w:rsid w:val="005D49D7"/>
    <w:rsid w:val="005E010D"/>
    <w:rsid w:val="005E10E4"/>
    <w:rsid w:val="005E1B9B"/>
    <w:rsid w:val="005E40F9"/>
    <w:rsid w:val="005E5524"/>
    <w:rsid w:val="005E5F98"/>
    <w:rsid w:val="005E6C4C"/>
    <w:rsid w:val="005E7107"/>
    <w:rsid w:val="005E763E"/>
    <w:rsid w:val="005F0D16"/>
    <w:rsid w:val="005F19DC"/>
    <w:rsid w:val="005F2F74"/>
    <w:rsid w:val="005F5905"/>
    <w:rsid w:val="005F5D66"/>
    <w:rsid w:val="005F658F"/>
    <w:rsid w:val="005F6622"/>
    <w:rsid w:val="005F6F07"/>
    <w:rsid w:val="005F7A5A"/>
    <w:rsid w:val="0060159D"/>
    <w:rsid w:val="006019D9"/>
    <w:rsid w:val="00601ACB"/>
    <w:rsid w:val="006022CA"/>
    <w:rsid w:val="00603F04"/>
    <w:rsid w:val="00603F78"/>
    <w:rsid w:val="0060422A"/>
    <w:rsid w:val="006057B2"/>
    <w:rsid w:val="00605AF0"/>
    <w:rsid w:val="00605E1B"/>
    <w:rsid w:val="00607111"/>
    <w:rsid w:val="00607DAF"/>
    <w:rsid w:val="00610130"/>
    <w:rsid w:val="00610ED2"/>
    <w:rsid w:val="00611147"/>
    <w:rsid w:val="00613E28"/>
    <w:rsid w:val="0061519C"/>
    <w:rsid w:val="00615F21"/>
    <w:rsid w:val="00616097"/>
    <w:rsid w:val="00616DB0"/>
    <w:rsid w:val="00617087"/>
    <w:rsid w:val="00617B4D"/>
    <w:rsid w:val="006208B4"/>
    <w:rsid w:val="00620BE1"/>
    <w:rsid w:val="0062105A"/>
    <w:rsid w:val="00621648"/>
    <w:rsid w:val="00623358"/>
    <w:rsid w:val="00623430"/>
    <w:rsid w:val="00623F9A"/>
    <w:rsid w:val="006243E2"/>
    <w:rsid w:val="006248E9"/>
    <w:rsid w:val="00624C29"/>
    <w:rsid w:val="00625A57"/>
    <w:rsid w:val="00632BA8"/>
    <w:rsid w:val="00633513"/>
    <w:rsid w:val="00633F4D"/>
    <w:rsid w:val="006345CB"/>
    <w:rsid w:val="0063460D"/>
    <w:rsid w:val="00635833"/>
    <w:rsid w:val="00635C13"/>
    <w:rsid w:val="00635ED4"/>
    <w:rsid w:val="006361C1"/>
    <w:rsid w:val="00636E20"/>
    <w:rsid w:val="006377C7"/>
    <w:rsid w:val="00640120"/>
    <w:rsid w:val="00640240"/>
    <w:rsid w:val="006415EE"/>
    <w:rsid w:val="006417DD"/>
    <w:rsid w:val="00641863"/>
    <w:rsid w:val="0064284A"/>
    <w:rsid w:val="00643994"/>
    <w:rsid w:val="006449C9"/>
    <w:rsid w:val="00645192"/>
    <w:rsid w:val="00646AAF"/>
    <w:rsid w:val="006502C4"/>
    <w:rsid w:val="006507E4"/>
    <w:rsid w:val="00650ADA"/>
    <w:rsid w:val="0065100D"/>
    <w:rsid w:val="006514ED"/>
    <w:rsid w:val="00651866"/>
    <w:rsid w:val="00652099"/>
    <w:rsid w:val="00652EEB"/>
    <w:rsid w:val="0065356B"/>
    <w:rsid w:val="00653CD7"/>
    <w:rsid w:val="00654E5D"/>
    <w:rsid w:val="0065624A"/>
    <w:rsid w:val="0065796C"/>
    <w:rsid w:val="006605E2"/>
    <w:rsid w:val="006609C1"/>
    <w:rsid w:val="00660AB8"/>
    <w:rsid w:val="00661A3F"/>
    <w:rsid w:val="00666D68"/>
    <w:rsid w:val="00667377"/>
    <w:rsid w:val="006678CC"/>
    <w:rsid w:val="006702F1"/>
    <w:rsid w:val="00670717"/>
    <w:rsid w:val="00673A75"/>
    <w:rsid w:val="00675ED7"/>
    <w:rsid w:val="00675FD8"/>
    <w:rsid w:val="00676298"/>
    <w:rsid w:val="006767E3"/>
    <w:rsid w:val="00676AF2"/>
    <w:rsid w:val="0067776C"/>
    <w:rsid w:val="00677AD2"/>
    <w:rsid w:val="00677E4E"/>
    <w:rsid w:val="00680575"/>
    <w:rsid w:val="00680FF7"/>
    <w:rsid w:val="00682908"/>
    <w:rsid w:val="00682A6C"/>
    <w:rsid w:val="00683DEC"/>
    <w:rsid w:val="0068423E"/>
    <w:rsid w:val="006849D2"/>
    <w:rsid w:val="00687116"/>
    <w:rsid w:val="006871F3"/>
    <w:rsid w:val="00690305"/>
    <w:rsid w:val="00690F3F"/>
    <w:rsid w:val="006912C9"/>
    <w:rsid w:val="00691468"/>
    <w:rsid w:val="00691526"/>
    <w:rsid w:val="00691944"/>
    <w:rsid w:val="0069253A"/>
    <w:rsid w:val="00692876"/>
    <w:rsid w:val="00692B79"/>
    <w:rsid w:val="00692ECF"/>
    <w:rsid w:val="0069311C"/>
    <w:rsid w:val="00693BB4"/>
    <w:rsid w:val="00694357"/>
    <w:rsid w:val="006952D4"/>
    <w:rsid w:val="006963A1"/>
    <w:rsid w:val="00696C54"/>
    <w:rsid w:val="00696F22"/>
    <w:rsid w:val="00697904"/>
    <w:rsid w:val="006A06DB"/>
    <w:rsid w:val="006A0712"/>
    <w:rsid w:val="006A08A5"/>
    <w:rsid w:val="006A0AEB"/>
    <w:rsid w:val="006A2137"/>
    <w:rsid w:val="006A28D3"/>
    <w:rsid w:val="006A3334"/>
    <w:rsid w:val="006A453D"/>
    <w:rsid w:val="006A5802"/>
    <w:rsid w:val="006A68EB"/>
    <w:rsid w:val="006A6951"/>
    <w:rsid w:val="006A6ACC"/>
    <w:rsid w:val="006A6F65"/>
    <w:rsid w:val="006A7ADF"/>
    <w:rsid w:val="006B0B4C"/>
    <w:rsid w:val="006B0CD7"/>
    <w:rsid w:val="006B0EC2"/>
    <w:rsid w:val="006B119C"/>
    <w:rsid w:val="006B17AB"/>
    <w:rsid w:val="006B1952"/>
    <w:rsid w:val="006B4C59"/>
    <w:rsid w:val="006B5763"/>
    <w:rsid w:val="006B70C9"/>
    <w:rsid w:val="006C0231"/>
    <w:rsid w:val="006C0E7C"/>
    <w:rsid w:val="006C2A84"/>
    <w:rsid w:val="006C3E34"/>
    <w:rsid w:val="006C3F04"/>
    <w:rsid w:val="006C40F9"/>
    <w:rsid w:val="006C5696"/>
    <w:rsid w:val="006C7330"/>
    <w:rsid w:val="006C78A2"/>
    <w:rsid w:val="006D008E"/>
    <w:rsid w:val="006D0096"/>
    <w:rsid w:val="006D0748"/>
    <w:rsid w:val="006D09D3"/>
    <w:rsid w:val="006D11C0"/>
    <w:rsid w:val="006D14A6"/>
    <w:rsid w:val="006D3D25"/>
    <w:rsid w:val="006D41B4"/>
    <w:rsid w:val="006D4438"/>
    <w:rsid w:val="006D576D"/>
    <w:rsid w:val="006D57D4"/>
    <w:rsid w:val="006D5825"/>
    <w:rsid w:val="006D5890"/>
    <w:rsid w:val="006D5D08"/>
    <w:rsid w:val="006D7CAB"/>
    <w:rsid w:val="006E1211"/>
    <w:rsid w:val="006E174D"/>
    <w:rsid w:val="006E1888"/>
    <w:rsid w:val="006E1A3C"/>
    <w:rsid w:val="006E25E2"/>
    <w:rsid w:val="006E3C59"/>
    <w:rsid w:val="006E3D1B"/>
    <w:rsid w:val="006E3D2D"/>
    <w:rsid w:val="006E4226"/>
    <w:rsid w:val="006E4601"/>
    <w:rsid w:val="006E4CDD"/>
    <w:rsid w:val="006E63A4"/>
    <w:rsid w:val="006E6E11"/>
    <w:rsid w:val="006E7430"/>
    <w:rsid w:val="006E7965"/>
    <w:rsid w:val="006E7FDC"/>
    <w:rsid w:val="006F0817"/>
    <w:rsid w:val="006F1182"/>
    <w:rsid w:val="006F14C1"/>
    <w:rsid w:val="006F1B7A"/>
    <w:rsid w:val="006F1FD2"/>
    <w:rsid w:val="006F2C6D"/>
    <w:rsid w:val="006F2D42"/>
    <w:rsid w:val="006F3B2C"/>
    <w:rsid w:val="006F5824"/>
    <w:rsid w:val="006F6621"/>
    <w:rsid w:val="006F6FAC"/>
    <w:rsid w:val="006F76ED"/>
    <w:rsid w:val="0070037D"/>
    <w:rsid w:val="00701274"/>
    <w:rsid w:val="0070156A"/>
    <w:rsid w:val="00701AB6"/>
    <w:rsid w:val="00702EC6"/>
    <w:rsid w:val="00702FC5"/>
    <w:rsid w:val="00703288"/>
    <w:rsid w:val="007033A6"/>
    <w:rsid w:val="007037DC"/>
    <w:rsid w:val="007072F4"/>
    <w:rsid w:val="0071063D"/>
    <w:rsid w:val="00710C13"/>
    <w:rsid w:val="007159FD"/>
    <w:rsid w:val="0071646E"/>
    <w:rsid w:val="0071659C"/>
    <w:rsid w:val="00716CA3"/>
    <w:rsid w:val="007174CE"/>
    <w:rsid w:val="00717617"/>
    <w:rsid w:val="00717967"/>
    <w:rsid w:val="00717F59"/>
    <w:rsid w:val="00720CE5"/>
    <w:rsid w:val="00720CEA"/>
    <w:rsid w:val="007213EE"/>
    <w:rsid w:val="00723E96"/>
    <w:rsid w:val="00724571"/>
    <w:rsid w:val="0072487D"/>
    <w:rsid w:val="00724FA8"/>
    <w:rsid w:val="00725910"/>
    <w:rsid w:val="00725983"/>
    <w:rsid w:val="007320B3"/>
    <w:rsid w:val="00732577"/>
    <w:rsid w:val="00733F0E"/>
    <w:rsid w:val="007343C1"/>
    <w:rsid w:val="0073487D"/>
    <w:rsid w:val="00734ABD"/>
    <w:rsid w:val="00736C82"/>
    <w:rsid w:val="0073774E"/>
    <w:rsid w:val="00737E34"/>
    <w:rsid w:val="00741289"/>
    <w:rsid w:val="0074192B"/>
    <w:rsid w:val="00742F42"/>
    <w:rsid w:val="00742F94"/>
    <w:rsid w:val="0074341B"/>
    <w:rsid w:val="00744089"/>
    <w:rsid w:val="00745596"/>
    <w:rsid w:val="00746FF0"/>
    <w:rsid w:val="007476AD"/>
    <w:rsid w:val="0075255D"/>
    <w:rsid w:val="0075259A"/>
    <w:rsid w:val="00752996"/>
    <w:rsid w:val="00752DB4"/>
    <w:rsid w:val="00753545"/>
    <w:rsid w:val="00753681"/>
    <w:rsid w:val="00753A8D"/>
    <w:rsid w:val="00753F3C"/>
    <w:rsid w:val="00754711"/>
    <w:rsid w:val="00754A7F"/>
    <w:rsid w:val="00754C6C"/>
    <w:rsid w:val="00756325"/>
    <w:rsid w:val="00756369"/>
    <w:rsid w:val="00757723"/>
    <w:rsid w:val="00757AD9"/>
    <w:rsid w:val="007606F2"/>
    <w:rsid w:val="00761248"/>
    <w:rsid w:val="00761C1D"/>
    <w:rsid w:val="007622B5"/>
    <w:rsid w:val="0076356E"/>
    <w:rsid w:val="0076385F"/>
    <w:rsid w:val="00763BC3"/>
    <w:rsid w:val="00770058"/>
    <w:rsid w:val="00770658"/>
    <w:rsid w:val="007724EE"/>
    <w:rsid w:val="00772D1E"/>
    <w:rsid w:val="007733BF"/>
    <w:rsid w:val="00774E14"/>
    <w:rsid w:val="00775DF0"/>
    <w:rsid w:val="00775F0D"/>
    <w:rsid w:val="00777E5D"/>
    <w:rsid w:val="0078000B"/>
    <w:rsid w:val="00780726"/>
    <w:rsid w:val="007820E7"/>
    <w:rsid w:val="00782DB2"/>
    <w:rsid w:val="007836BA"/>
    <w:rsid w:val="00784DCC"/>
    <w:rsid w:val="007861BE"/>
    <w:rsid w:val="00786564"/>
    <w:rsid w:val="0078748F"/>
    <w:rsid w:val="00787C33"/>
    <w:rsid w:val="00787C82"/>
    <w:rsid w:val="00787C9F"/>
    <w:rsid w:val="007904D4"/>
    <w:rsid w:val="0079061A"/>
    <w:rsid w:val="00791D0A"/>
    <w:rsid w:val="00792D58"/>
    <w:rsid w:val="0079362A"/>
    <w:rsid w:val="00793BD2"/>
    <w:rsid w:val="00793D1A"/>
    <w:rsid w:val="007941D1"/>
    <w:rsid w:val="0079466D"/>
    <w:rsid w:val="0079762B"/>
    <w:rsid w:val="007A176F"/>
    <w:rsid w:val="007A31D8"/>
    <w:rsid w:val="007A35FA"/>
    <w:rsid w:val="007A3886"/>
    <w:rsid w:val="007A3E9E"/>
    <w:rsid w:val="007A4C42"/>
    <w:rsid w:val="007A69F3"/>
    <w:rsid w:val="007A6DF2"/>
    <w:rsid w:val="007B2F57"/>
    <w:rsid w:val="007B371B"/>
    <w:rsid w:val="007B4864"/>
    <w:rsid w:val="007B4BD9"/>
    <w:rsid w:val="007B50EB"/>
    <w:rsid w:val="007B53CF"/>
    <w:rsid w:val="007B57D5"/>
    <w:rsid w:val="007B72CC"/>
    <w:rsid w:val="007B7F18"/>
    <w:rsid w:val="007C095E"/>
    <w:rsid w:val="007C1910"/>
    <w:rsid w:val="007C1F20"/>
    <w:rsid w:val="007C386E"/>
    <w:rsid w:val="007C409E"/>
    <w:rsid w:val="007C5765"/>
    <w:rsid w:val="007C794E"/>
    <w:rsid w:val="007D010C"/>
    <w:rsid w:val="007D12A3"/>
    <w:rsid w:val="007D2041"/>
    <w:rsid w:val="007D2211"/>
    <w:rsid w:val="007D2A0F"/>
    <w:rsid w:val="007D31B1"/>
    <w:rsid w:val="007D32B2"/>
    <w:rsid w:val="007D3DED"/>
    <w:rsid w:val="007D4621"/>
    <w:rsid w:val="007E06D5"/>
    <w:rsid w:val="007E0F9B"/>
    <w:rsid w:val="007E1018"/>
    <w:rsid w:val="007E120A"/>
    <w:rsid w:val="007E22EF"/>
    <w:rsid w:val="007E24BB"/>
    <w:rsid w:val="007E4036"/>
    <w:rsid w:val="007E41DE"/>
    <w:rsid w:val="007E485E"/>
    <w:rsid w:val="007E4C10"/>
    <w:rsid w:val="007E5960"/>
    <w:rsid w:val="007E5AF9"/>
    <w:rsid w:val="007E5DAB"/>
    <w:rsid w:val="007E776D"/>
    <w:rsid w:val="007F241F"/>
    <w:rsid w:val="007F36EA"/>
    <w:rsid w:val="007F37F0"/>
    <w:rsid w:val="007F436E"/>
    <w:rsid w:val="007F5825"/>
    <w:rsid w:val="007F6819"/>
    <w:rsid w:val="007F690B"/>
    <w:rsid w:val="007F6DB4"/>
    <w:rsid w:val="007F6E28"/>
    <w:rsid w:val="007F7664"/>
    <w:rsid w:val="008026F7"/>
    <w:rsid w:val="00803322"/>
    <w:rsid w:val="0080487D"/>
    <w:rsid w:val="00804F6D"/>
    <w:rsid w:val="00806F28"/>
    <w:rsid w:val="00807670"/>
    <w:rsid w:val="00807DB9"/>
    <w:rsid w:val="00810407"/>
    <w:rsid w:val="00810650"/>
    <w:rsid w:val="00810B2A"/>
    <w:rsid w:val="00811808"/>
    <w:rsid w:val="00811CAE"/>
    <w:rsid w:val="00812759"/>
    <w:rsid w:val="00813E65"/>
    <w:rsid w:val="008144EB"/>
    <w:rsid w:val="00814815"/>
    <w:rsid w:val="00815C9C"/>
    <w:rsid w:val="008169F8"/>
    <w:rsid w:val="0082076B"/>
    <w:rsid w:val="00821ED5"/>
    <w:rsid w:val="00821F11"/>
    <w:rsid w:val="00822283"/>
    <w:rsid w:val="00822E9F"/>
    <w:rsid w:val="00823FE9"/>
    <w:rsid w:val="0082552A"/>
    <w:rsid w:val="00825559"/>
    <w:rsid w:val="00826249"/>
    <w:rsid w:val="008262D5"/>
    <w:rsid w:val="008309B4"/>
    <w:rsid w:val="00831F07"/>
    <w:rsid w:val="008326B8"/>
    <w:rsid w:val="00832B83"/>
    <w:rsid w:val="00833082"/>
    <w:rsid w:val="00834A7D"/>
    <w:rsid w:val="00834CA9"/>
    <w:rsid w:val="0083582C"/>
    <w:rsid w:val="00835982"/>
    <w:rsid w:val="008372A0"/>
    <w:rsid w:val="00841A5F"/>
    <w:rsid w:val="008425D2"/>
    <w:rsid w:val="00842EAB"/>
    <w:rsid w:val="008430E2"/>
    <w:rsid w:val="00843426"/>
    <w:rsid w:val="0084424A"/>
    <w:rsid w:val="008462CB"/>
    <w:rsid w:val="0084667B"/>
    <w:rsid w:val="008468B3"/>
    <w:rsid w:val="00846E10"/>
    <w:rsid w:val="008471ED"/>
    <w:rsid w:val="0085008A"/>
    <w:rsid w:val="00850EBE"/>
    <w:rsid w:val="0085129A"/>
    <w:rsid w:val="0085220E"/>
    <w:rsid w:val="008524EC"/>
    <w:rsid w:val="00853EE9"/>
    <w:rsid w:val="00854C8E"/>
    <w:rsid w:val="00856E78"/>
    <w:rsid w:val="00857413"/>
    <w:rsid w:val="00857CB1"/>
    <w:rsid w:val="00860787"/>
    <w:rsid w:val="00860AF0"/>
    <w:rsid w:val="00860F01"/>
    <w:rsid w:val="00860F87"/>
    <w:rsid w:val="008614B6"/>
    <w:rsid w:val="00861E54"/>
    <w:rsid w:val="0086327A"/>
    <w:rsid w:val="00863CFC"/>
    <w:rsid w:val="008643B4"/>
    <w:rsid w:val="00864C78"/>
    <w:rsid w:val="0086518E"/>
    <w:rsid w:val="00865199"/>
    <w:rsid w:val="00865273"/>
    <w:rsid w:val="00867B5B"/>
    <w:rsid w:val="008705E7"/>
    <w:rsid w:val="00870D87"/>
    <w:rsid w:val="00871F87"/>
    <w:rsid w:val="00877D22"/>
    <w:rsid w:val="0088143E"/>
    <w:rsid w:val="0088219F"/>
    <w:rsid w:val="00883634"/>
    <w:rsid w:val="00883B0E"/>
    <w:rsid w:val="00885339"/>
    <w:rsid w:val="008873DB"/>
    <w:rsid w:val="00891D30"/>
    <w:rsid w:val="00892C0D"/>
    <w:rsid w:val="00893CE0"/>
    <w:rsid w:val="00894ED0"/>
    <w:rsid w:val="00896B2E"/>
    <w:rsid w:val="008972C0"/>
    <w:rsid w:val="008A058F"/>
    <w:rsid w:val="008A119E"/>
    <w:rsid w:val="008A1389"/>
    <w:rsid w:val="008A1E72"/>
    <w:rsid w:val="008A2489"/>
    <w:rsid w:val="008A2FA4"/>
    <w:rsid w:val="008A3549"/>
    <w:rsid w:val="008A5486"/>
    <w:rsid w:val="008A58FE"/>
    <w:rsid w:val="008A66D3"/>
    <w:rsid w:val="008B04FD"/>
    <w:rsid w:val="008B3948"/>
    <w:rsid w:val="008B4807"/>
    <w:rsid w:val="008B4AD2"/>
    <w:rsid w:val="008B4C8B"/>
    <w:rsid w:val="008B7F24"/>
    <w:rsid w:val="008C0875"/>
    <w:rsid w:val="008C0AB8"/>
    <w:rsid w:val="008C1348"/>
    <w:rsid w:val="008C1508"/>
    <w:rsid w:val="008C44BD"/>
    <w:rsid w:val="008C4A0C"/>
    <w:rsid w:val="008C6CD0"/>
    <w:rsid w:val="008C70A2"/>
    <w:rsid w:val="008D28CF"/>
    <w:rsid w:val="008D3009"/>
    <w:rsid w:val="008D3198"/>
    <w:rsid w:val="008D3594"/>
    <w:rsid w:val="008D3FF0"/>
    <w:rsid w:val="008D454E"/>
    <w:rsid w:val="008D583B"/>
    <w:rsid w:val="008D59A5"/>
    <w:rsid w:val="008D768A"/>
    <w:rsid w:val="008D77EE"/>
    <w:rsid w:val="008D7F54"/>
    <w:rsid w:val="008E05CD"/>
    <w:rsid w:val="008E0688"/>
    <w:rsid w:val="008E281B"/>
    <w:rsid w:val="008E2CF4"/>
    <w:rsid w:val="008E3A34"/>
    <w:rsid w:val="008E4202"/>
    <w:rsid w:val="008E4205"/>
    <w:rsid w:val="008E4A46"/>
    <w:rsid w:val="008E4DE6"/>
    <w:rsid w:val="008E59AF"/>
    <w:rsid w:val="008E686D"/>
    <w:rsid w:val="008E7684"/>
    <w:rsid w:val="008E7DFC"/>
    <w:rsid w:val="008F0005"/>
    <w:rsid w:val="008F016C"/>
    <w:rsid w:val="008F1A99"/>
    <w:rsid w:val="008F1D47"/>
    <w:rsid w:val="008F2786"/>
    <w:rsid w:val="008F2933"/>
    <w:rsid w:val="008F2B2E"/>
    <w:rsid w:val="008F3756"/>
    <w:rsid w:val="008F3A36"/>
    <w:rsid w:val="008F5202"/>
    <w:rsid w:val="008F5CFE"/>
    <w:rsid w:val="008F7261"/>
    <w:rsid w:val="009004D5"/>
    <w:rsid w:val="00900884"/>
    <w:rsid w:val="00900E47"/>
    <w:rsid w:val="0090162D"/>
    <w:rsid w:val="00901B9D"/>
    <w:rsid w:val="00901FA3"/>
    <w:rsid w:val="009024AA"/>
    <w:rsid w:val="00903E77"/>
    <w:rsid w:val="0090479A"/>
    <w:rsid w:val="00904EC5"/>
    <w:rsid w:val="009059DD"/>
    <w:rsid w:val="00905B7D"/>
    <w:rsid w:val="00905CAE"/>
    <w:rsid w:val="00905CFF"/>
    <w:rsid w:val="0090680C"/>
    <w:rsid w:val="00906838"/>
    <w:rsid w:val="00907C2E"/>
    <w:rsid w:val="0091058B"/>
    <w:rsid w:val="00910EE6"/>
    <w:rsid w:val="0091252F"/>
    <w:rsid w:val="00914A2D"/>
    <w:rsid w:val="00915369"/>
    <w:rsid w:val="0092149D"/>
    <w:rsid w:val="00921A8F"/>
    <w:rsid w:val="00923B4A"/>
    <w:rsid w:val="00923F10"/>
    <w:rsid w:val="009245A2"/>
    <w:rsid w:val="00924640"/>
    <w:rsid w:val="00925294"/>
    <w:rsid w:val="00925695"/>
    <w:rsid w:val="00927843"/>
    <w:rsid w:val="0093137F"/>
    <w:rsid w:val="0093301B"/>
    <w:rsid w:val="009339CC"/>
    <w:rsid w:val="00933C05"/>
    <w:rsid w:val="00933E0F"/>
    <w:rsid w:val="009351CD"/>
    <w:rsid w:val="0093628A"/>
    <w:rsid w:val="00936D74"/>
    <w:rsid w:val="00937C79"/>
    <w:rsid w:val="00937F2B"/>
    <w:rsid w:val="00941E42"/>
    <w:rsid w:val="0094227F"/>
    <w:rsid w:val="00943CE9"/>
    <w:rsid w:val="009459CA"/>
    <w:rsid w:val="0094604D"/>
    <w:rsid w:val="0094645E"/>
    <w:rsid w:val="0094691C"/>
    <w:rsid w:val="00947278"/>
    <w:rsid w:val="00947B24"/>
    <w:rsid w:val="00950070"/>
    <w:rsid w:val="009500C4"/>
    <w:rsid w:val="009507C5"/>
    <w:rsid w:val="009522F0"/>
    <w:rsid w:val="009525D6"/>
    <w:rsid w:val="00952BA0"/>
    <w:rsid w:val="009538E6"/>
    <w:rsid w:val="00954738"/>
    <w:rsid w:val="00954FCD"/>
    <w:rsid w:val="00955869"/>
    <w:rsid w:val="009558A2"/>
    <w:rsid w:val="00955DBD"/>
    <w:rsid w:val="00956BA7"/>
    <w:rsid w:val="00956F16"/>
    <w:rsid w:val="009606E1"/>
    <w:rsid w:val="009609B6"/>
    <w:rsid w:val="0096121E"/>
    <w:rsid w:val="00961458"/>
    <w:rsid w:val="00961DC1"/>
    <w:rsid w:val="009623E2"/>
    <w:rsid w:val="00964D41"/>
    <w:rsid w:val="0096572D"/>
    <w:rsid w:val="00965B9A"/>
    <w:rsid w:val="0096631F"/>
    <w:rsid w:val="00966A5B"/>
    <w:rsid w:val="00966BF8"/>
    <w:rsid w:val="00967701"/>
    <w:rsid w:val="00967865"/>
    <w:rsid w:val="0097033F"/>
    <w:rsid w:val="009708B5"/>
    <w:rsid w:val="00970A97"/>
    <w:rsid w:val="00971768"/>
    <w:rsid w:val="009722E1"/>
    <w:rsid w:val="00972599"/>
    <w:rsid w:val="00972881"/>
    <w:rsid w:val="00973AE6"/>
    <w:rsid w:val="00974D4B"/>
    <w:rsid w:val="00974F22"/>
    <w:rsid w:val="00975645"/>
    <w:rsid w:val="00975DF4"/>
    <w:rsid w:val="00975FCC"/>
    <w:rsid w:val="009760FE"/>
    <w:rsid w:val="00977269"/>
    <w:rsid w:val="00982419"/>
    <w:rsid w:val="009838E5"/>
    <w:rsid w:val="00984ADC"/>
    <w:rsid w:val="00984C11"/>
    <w:rsid w:val="00984CA6"/>
    <w:rsid w:val="00984D25"/>
    <w:rsid w:val="0098501B"/>
    <w:rsid w:val="00985075"/>
    <w:rsid w:val="00985F5B"/>
    <w:rsid w:val="009868AF"/>
    <w:rsid w:val="00986CF2"/>
    <w:rsid w:val="0098770F"/>
    <w:rsid w:val="00987F8D"/>
    <w:rsid w:val="009900B2"/>
    <w:rsid w:val="00990619"/>
    <w:rsid w:val="00990774"/>
    <w:rsid w:val="009938EE"/>
    <w:rsid w:val="00995BB5"/>
    <w:rsid w:val="00996791"/>
    <w:rsid w:val="0099789E"/>
    <w:rsid w:val="009A032C"/>
    <w:rsid w:val="009A138B"/>
    <w:rsid w:val="009A188E"/>
    <w:rsid w:val="009A222E"/>
    <w:rsid w:val="009A2A00"/>
    <w:rsid w:val="009A2E37"/>
    <w:rsid w:val="009A37A4"/>
    <w:rsid w:val="009A3D2C"/>
    <w:rsid w:val="009A4C46"/>
    <w:rsid w:val="009A55A4"/>
    <w:rsid w:val="009A5A5D"/>
    <w:rsid w:val="009A5AEB"/>
    <w:rsid w:val="009A5F3D"/>
    <w:rsid w:val="009A60ED"/>
    <w:rsid w:val="009A6681"/>
    <w:rsid w:val="009A6983"/>
    <w:rsid w:val="009A755D"/>
    <w:rsid w:val="009A7B99"/>
    <w:rsid w:val="009A7ECB"/>
    <w:rsid w:val="009B104B"/>
    <w:rsid w:val="009B1430"/>
    <w:rsid w:val="009B24C7"/>
    <w:rsid w:val="009B3CCA"/>
    <w:rsid w:val="009B4141"/>
    <w:rsid w:val="009B6E62"/>
    <w:rsid w:val="009C2F86"/>
    <w:rsid w:val="009C3D70"/>
    <w:rsid w:val="009C40EB"/>
    <w:rsid w:val="009C4BB6"/>
    <w:rsid w:val="009C4E75"/>
    <w:rsid w:val="009C575B"/>
    <w:rsid w:val="009C5EC3"/>
    <w:rsid w:val="009C623E"/>
    <w:rsid w:val="009C75B5"/>
    <w:rsid w:val="009C7F6B"/>
    <w:rsid w:val="009D00A0"/>
    <w:rsid w:val="009D0E89"/>
    <w:rsid w:val="009D193E"/>
    <w:rsid w:val="009D19EA"/>
    <w:rsid w:val="009D1DC9"/>
    <w:rsid w:val="009D33DB"/>
    <w:rsid w:val="009D3BBC"/>
    <w:rsid w:val="009D4382"/>
    <w:rsid w:val="009D5CFA"/>
    <w:rsid w:val="009D69B3"/>
    <w:rsid w:val="009D6A23"/>
    <w:rsid w:val="009D7FD5"/>
    <w:rsid w:val="009E0106"/>
    <w:rsid w:val="009E05F8"/>
    <w:rsid w:val="009E0923"/>
    <w:rsid w:val="009E0F60"/>
    <w:rsid w:val="009E16DA"/>
    <w:rsid w:val="009E17B4"/>
    <w:rsid w:val="009E2383"/>
    <w:rsid w:val="009E3B7F"/>
    <w:rsid w:val="009E3D6D"/>
    <w:rsid w:val="009E7030"/>
    <w:rsid w:val="009E7DD5"/>
    <w:rsid w:val="009F150C"/>
    <w:rsid w:val="009F2F09"/>
    <w:rsid w:val="009F3634"/>
    <w:rsid w:val="009F4A44"/>
    <w:rsid w:val="009F61D3"/>
    <w:rsid w:val="009F61D8"/>
    <w:rsid w:val="009F7269"/>
    <w:rsid w:val="009F7714"/>
    <w:rsid w:val="009F7AAD"/>
    <w:rsid w:val="009F7C1E"/>
    <w:rsid w:val="009F7C46"/>
    <w:rsid w:val="00A02521"/>
    <w:rsid w:val="00A02C7C"/>
    <w:rsid w:val="00A0301B"/>
    <w:rsid w:val="00A03251"/>
    <w:rsid w:val="00A035E1"/>
    <w:rsid w:val="00A04A56"/>
    <w:rsid w:val="00A04DDC"/>
    <w:rsid w:val="00A0545B"/>
    <w:rsid w:val="00A0559A"/>
    <w:rsid w:val="00A0680A"/>
    <w:rsid w:val="00A1055D"/>
    <w:rsid w:val="00A10C89"/>
    <w:rsid w:val="00A119AB"/>
    <w:rsid w:val="00A11EFE"/>
    <w:rsid w:val="00A129E7"/>
    <w:rsid w:val="00A12C4E"/>
    <w:rsid w:val="00A13A0E"/>
    <w:rsid w:val="00A14294"/>
    <w:rsid w:val="00A173A6"/>
    <w:rsid w:val="00A179E8"/>
    <w:rsid w:val="00A17AA9"/>
    <w:rsid w:val="00A17BE8"/>
    <w:rsid w:val="00A2010D"/>
    <w:rsid w:val="00A20F04"/>
    <w:rsid w:val="00A212E5"/>
    <w:rsid w:val="00A21670"/>
    <w:rsid w:val="00A217DA"/>
    <w:rsid w:val="00A2360B"/>
    <w:rsid w:val="00A23754"/>
    <w:rsid w:val="00A23781"/>
    <w:rsid w:val="00A24390"/>
    <w:rsid w:val="00A24D03"/>
    <w:rsid w:val="00A26E2D"/>
    <w:rsid w:val="00A31502"/>
    <w:rsid w:val="00A3228A"/>
    <w:rsid w:val="00A32894"/>
    <w:rsid w:val="00A32A07"/>
    <w:rsid w:val="00A337B2"/>
    <w:rsid w:val="00A33DBF"/>
    <w:rsid w:val="00A35201"/>
    <w:rsid w:val="00A3533B"/>
    <w:rsid w:val="00A3587E"/>
    <w:rsid w:val="00A400F0"/>
    <w:rsid w:val="00A4051B"/>
    <w:rsid w:val="00A41573"/>
    <w:rsid w:val="00A416EC"/>
    <w:rsid w:val="00A41E3D"/>
    <w:rsid w:val="00A41EFE"/>
    <w:rsid w:val="00A4338C"/>
    <w:rsid w:val="00A439B4"/>
    <w:rsid w:val="00A4445F"/>
    <w:rsid w:val="00A45919"/>
    <w:rsid w:val="00A46066"/>
    <w:rsid w:val="00A4681C"/>
    <w:rsid w:val="00A4749F"/>
    <w:rsid w:val="00A475BB"/>
    <w:rsid w:val="00A50F78"/>
    <w:rsid w:val="00A5237D"/>
    <w:rsid w:val="00A5458E"/>
    <w:rsid w:val="00A54991"/>
    <w:rsid w:val="00A54D60"/>
    <w:rsid w:val="00A54DF2"/>
    <w:rsid w:val="00A563E1"/>
    <w:rsid w:val="00A56A7B"/>
    <w:rsid w:val="00A577DB"/>
    <w:rsid w:val="00A5784A"/>
    <w:rsid w:val="00A57AE8"/>
    <w:rsid w:val="00A57DB2"/>
    <w:rsid w:val="00A60558"/>
    <w:rsid w:val="00A6134D"/>
    <w:rsid w:val="00A6379A"/>
    <w:rsid w:val="00A64291"/>
    <w:rsid w:val="00A648D4"/>
    <w:rsid w:val="00A6493F"/>
    <w:rsid w:val="00A64DB6"/>
    <w:rsid w:val="00A6551F"/>
    <w:rsid w:val="00A65D89"/>
    <w:rsid w:val="00A65F00"/>
    <w:rsid w:val="00A6758A"/>
    <w:rsid w:val="00A678A9"/>
    <w:rsid w:val="00A67ED7"/>
    <w:rsid w:val="00A700D4"/>
    <w:rsid w:val="00A716C6"/>
    <w:rsid w:val="00A72094"/>
    <w:rsid w:val="00A725F9"/>
    <w:rsid w:val="00A72944"/>
    <w:rsid w:val="00A73FE6"/>
    <w:rsid w:val="00A7521C"/>
    <w:rsid w:val="00A7586C"/>
    <w:rsid w:val="00A7591E"/>
    <w:rsid w:val="00A75ED0"/>
    <w:rsid w:val="00A76ADF"/>
    <w:rsid w:val="00A76F85"/>
    <w:rsid w:val="00A7799D"/>
    <w:rsid w:val="00A80E8C"/>
    <w:rsid w:val="00A8219A"/>
    <w:rsid w:val="00A8271E"/>
    <w:rsid w:val="00A833AC"/>
    <w:rsid w:val="00A837B2"/>
    <w:rsid w:val="00A83A3C"/>
    <w:rsid w:val="00A83C99"/>
    <w:rsid w:val="00A842CD"/>
    <w:rsid w:val="00A84DD3"/>
    <w:rsid w:val="00A84E8E"/>
    <w:rsid w:val="00A85EDD"/>
    <w:rsid w:val="00A862D2"/>
    <w:rsid w:val="00A87AB0"/>
    <w:rsid w:val="00A9078E"/>
    <w:rsid w:val="00A9082A"/>
    <w:rsid w:val="00A92277"/>
    <w:rsid w:val="00A937B8"/>
    <w:rsid w:val="00A941FA"/>
    <w:rsid w:val="00A952EF"/>
    <w:rsid w:val="00A97FD9"/>
    <w:rsid w:val="00AA090D"/>
    <w:rsid w:val="00AA2694"/>
    <w:rsid w:val="00AA38DC"/>
    <w:rsid w:val="00AA4773"/>
    <w:rsid w:val="00AA4F53"/>
    <w:rsid w:val="00AA708C"/>
    <w:rsid w:val="00AA7EA0"/>
    <w:rsid w:val="00AB10FF"/>
    <w:rsid w:val="00AB1A4D"/>
    <w:rsid w:val="00AB225A"/>
    <w:rsid w:val="00AB2C69"/>
    <w:rsid w:val="00AB2E7A"/>
    <w:rsid w:val="00AB3A3A"/>
    <w:rsid w:val="00AB3F18"/>
    <w:rsid w:val="00AB43E4"/>
    <w:rsid w:val="00AB43F0"/>
    <w:rsid w:val="00AB4586"/>
    <w:rsid w:val="00AB46E7"/>
    <w:rsid w:val="00AB4FEB"/>
    <w:rsid w:val="00AB51FC"/>
    <w:rsid w:val="00AB56F2"/>
    <w:rsid w:val="00AB581E"/>
    <w:rsid w:val="00AB5C9A"/>
    <w:rsid w:val="00AB6701"/>
    <w:rsid w:val="00AB6E01"/>
    <w:rsid w:val="00AB7E78"/>
    <w:rsid w:val="00AC230B"/>
    <w:rsid w:val="00AC2354"/>
    <w:rsid w:val="00AC5030"/>
    <w:rsid w:val="00AC50AB"/>
    <w:rsid w:val="00AC52E1"/>
    <w:rsid w:val="00AC55D7"/>
    <w:rsid w:val="00AC59D1"/>
    <w:rsid w:val="00AC5C61"/>
    <w:rsid w:val="00AC6D04"/>
    <w:rsid w:val="00AD21F2"/>
    <w:rsid w:val="00AD2C93"/>
    <w:rsid w:val="00AD314B"/>
    <w:rsid w:val="00AD3E83"/>
    <w:rsid w:val="00AD4445"/>
    <w:rsid w:val="00AD6016"/>
    <w:rsid w:val="00AD6133"/>
    <w:rsid w:val="00AD7C64"/>
    <w:rsid w:val="00AD7CDA"/>
    <w:rsid w:val="00AE03A8"/>
    <w:rsid w:val="00AE0458"/>
    <w:rsid w:val="00AE1578"/>
    <w:rsid w:val="00AE4210"/>
    <w:rsid w:val="00AE440A"/>
    <w:rsid w:val="00AE5282"/>
    <w:rsid w:val="00AE5289"/>
    <w:rsid w:val="00AE605F"/>
    <w:rsid w:val="00AE6EFE"/>
    <w:rsid w:val="00AE73C8"/>
    <w:rsid w:val="00AE7FCF"/>
    <w:rsid w:val="00AF0AE2"/>
    <w:rsid w:val="00AF102F"/>
    <w:rsid w:val="00AF1B1F"/>
    <w:rsid w:val="00AF2155"/>
    <w:rsid w:val="00AF21C0"/>
    <w:rsid w:val="00AF23CB"/>
    <w:rsid w:val="00AF29F7"/>
    <w:rsid w:val="00AF2D46"/>
    <w:rsid w:val="00AF34E1"/>
    <w:rsid w:val="00AF375F"/>
    <w:rsid w:val="00AF4886"/>
    <w:rsid w:val="00AF617A"/>
    <w:rsid w:val="00AF68A5"/>
    <w:rsid w:val="00AF6A78"/>
    <w:rsid w:val="00AF6F24"/>
    <w:rsid w:val="00AF7CB8"/>
    <w:rsid w:val="00B015B0"/>
    <w:rsid w:val="00B0669E"/>
    <w:rsid w:val="00B07A7C"/>
    <w:rsid w:val="00B1097E"/>
    <w:rsid w:val="00B10C43"/>
    <w:rsid w:val="00B10C69"/>
    <w:rsid w:val="00B117CE"/>
    <w:rsid w:val="00B11B59"/>
    <w:rsid w:val="00B12C12"/>
    <w:rsid w:val="00B13D46"/>
    <w:rsid w:val="00B14AE7"/>
    <w:rsid w:val="00B15586"/>
    <w:rsid w:val="00B15802"/>
    <w:rsid w:val="00B17D3A"/>
    <w:rsid w:val="00B20662"/>
    <w:rsid w:val="00B20AED"/>
    <w:rsid w:val="00B22342"/>
    <w:rsid w:val="00B223B9"/>
    <w:rsid w:val="00B226E2"/>
    <w:rsid w:val="00B2305D"/>
    <w:rsid w:val="00B246BA"/>
    <w:rsid w:val="00B24F38"/>
    <w:rsid w:val="00B257FA"/>
    <w:rsid w:val="00B261CE"/>
    <w:rsid w:val="00B27327"/>
    <w:rsid w:val="00B30EC5"/>
    <w:rsid w:val="00B31300"/>
    <w:rsid w:val="00B31ACF"/>
    <w:rsid w:val="00B31F2F"/>
    <w:rsid w:val="00B324D5"/>
    <w:rsid w:val="00B34721"/>
    <w:rsid w:val="00B36732"/>
    <w:rsid w:val="00B36846"/>
    <w:rsid w:val="00B36F81"/>
    <w:rsid w:val="00B370AB"/>
    <w:rsid w:val="00B37316"/>
    <w:rsid w:val="00B401AF"/>
    <w:rsid w:val="00B40B57"/>
    <w:rsid w:val="00B41880"/>
    <w:rsid w:val="00B42FE6"/>
    <w:rsid w:val="00B43E07"/>
    <w:rsid w:val="00B44867"/>
    <w:rsid w:val="00B45B6B"/>
    <w:rsid w:val="00B45DA0"/>
    <w:rsid w:val="00B462A9"/>
    <w:rsid w:val="00B463B8"/>
    <w:rsid w:val="00B46643"/>
    <w:rsid w:val="00B4682E"/>
    <w:rsid w:val="00B5018E"/>
    <w:rsid w:val="00B50C81"/>
    <w:rsid w:val="00B510DC"/>
    <w:rsid w:val="00B510DE"/>
    <w:rsid w:val="00B5131A"/>
    <w:rsid w:val="00B523E1"/>
    <w:rsid w:val="00B535EB"/>
    <w:rsid w:val="00B53DB9"/>
    <w:rsid w:val="00B558A5"/>
    <w:rsid w:val="00B558C7"/>
    <w:rsid w:val="00B567BB"/>
    <w:rsid w:val="00B56BC9"/>
    <w:rsid w:val="00B56C46"/>
    <w:rsid w:val="00B57794"/>
    <w:rsid w:val="00B60560"/>
    <w:rsid w:val="00B60565"/>
    <w:rsid w:val="00B62F5D"/>
    <w:rsid w:val="00B63705"/>
    <w:rsid w:val="00B64E6C"/>
    <w:rsid w:val="00B66DFD"/>
    <w:rsid w:val="00B67926"/>
    <w:rsid w:val="00B7120E"/>
    <w:rsid w:val="00B74608"/>
    <w:rsid w:val="00B747E2"/>
    <w:rsid w:val="00B74F9A"/>
    <w:rsid w:val="00B7574B"/>
    <w:rsid w:val="00B76FD6"/>
    <w:rsid w:val="00B772E4"/>
    <w:rsid w:val="00B775B6"/>
    <w:rsid w:val="00B77E60"/>
    <w:rsid w:val="00B808DF"/>
    <w:rsid w:val="00B80DA4"/>
    <w:rsid w:val="00B8159A"/>
    <w:rsid w:val="00B817BA"/>
    <w:rsid w:val="00B82351"/>
    <w:rsid w:val="00B82366"/>
    <w:rsid w:val="00B82AA4"/>
    <w:rsid w:val="00B83059"/>
    <w:rsid w:val="00B83B2A"/>
    <w:rsid w:val="00B83BCD"/>
    <w:rsid w:val="00B84890"/>
    <w:rsid w:val="00B84F7F"/>
    <w:rsid w:val="00B85DC6"/>
    <w:rsid w:val="00B85F5D"/>
    <w:rsid w:val="00B861BB"/>
    <w:rsid w:val="00B863C0"/>
    <w:rsid w:val="00B867EE"/>
    <w:rsid w:val="00B869D0"/>
    <w:rsid w:val="00B86BE8"/>
    <w:rsid w:val="00B87102"/>
    <w:rsid w:val="00B875DF"/>
    <w:rsid w:val="00B87850"/>
    <w:rsid w:val="00B917B6"/>
    <w:rsid w:val="00B92453"/>
    <w:rsid w:val="00B94256"/>
    <w:rsid w:val="00B944CF"/>
    <w:rsid w:val="00B9749F"/>
    <w:rsid w:val="00BA0171"/>
    <w:rsid w:val="00BA102C"/>
    <w:rsid w:val="00BA1454"/>
    <w:rsid w:val="00BA393F"/>
    <w:rsid w:val="00BA3954"/>
    <w:rsid w:val="00BA5777"/>
    <w:rsid w:val="00BA5CDC"/>
    <w:rsid w:val="00BA636C"/>
    <w:rsid w:val="00BA70C4"/>
    <w:rsid w:val="00BA71A9"/>
    <w:rsid w:val="00BA7398"/>
    <w:rsid w:val="00BB0293"/>
    <w:rsid w:val="00BB15BE"/>
    <w:rsid w:val="00BB270E"/>
    <w:rsid w:val="00BB3A20"/>
    <w:rsid w:val="00BB458F"/>
    <w:rsid w:val="00BB59B5"/>
    <w:rsid w:val="00BB5BC6"/>
    <w:rsid w:val="00BB628E"/>
    <w:rsid w:val="00BB6482"/>
    <w:rsid w:val="00BB74D8"/>
    <w:rsid w:val="00BB7A0B"/>
    <w:rsid w:val="00BC0359"/>
    <w:rsid w:val="00BC1054"/>
    <w:rsid w:val="00BC1242"/>
    <w:rsid w:val="00BC162A"/>
    <w:rsid w:val="00BC193E"/>
    <w:rsid w:val="00BC1ED2"/>
    <w:rsid w:val="00BC30D9"/>
    <w:rsid w:val="00BC3D0E"/>
    <w:rsid w:val="00BC5879"/>
    <w:rsid w:val="00BC60AF"/>
    <w:rsid w:val="00BC6285"/>
    <w:rsid w:val="00BD1C1B"/>
    <w:rsid w:val="00BD2AE8"/>
    <w:rsid w:val="00BD2C17"/>
    <w:rsid w:val="00BD2DF4"/>
    <w:rsid w:val="00BD3E7A"/>
    <w:rsid w:val="00BD4215"/>
    <w:rsid w:val="00BD4299"/>
    <w:rsid w:val="00BD5B6C"/>
    <w:rsid w:val="00BD73F2"/>
    <w:rsid w:val="00BD7800"/>
    <w:rsid w:val="00BE015E"/>
    <w:rsid w:val="00BE1DAF"/>
    <w:rsid w:val="00BE219E"/>
    <w:rsid w:val="00BE28F1"/>
    <w:rsid w:val="00BE32F7"/>
    <w:rsid w:val="00BE6570"/>
    <w:rsid w:val="00BE6702"/>
    <w:rsid w:val="00BE6BE5"/>
    <w:rsid w:val="00BE79F2"/>
    <w:rsid w:val="00BE7B81"/>
    <w:rsid w:val="00BF023C"/>
    <w:rsid w:val="00BF04C4"/>
    <w:rsid w:val="00BF0516"/>
    <w:rsid w:val="00BF0A93"/>
    <w:rsid w:val="00BF0C7A"/>
    <w:rsid w:val="00BF16B5"/>
    <w:rsid w:val="00BF2B1B"/>
    <w:rsid w:val="00BF308C"/>
    <w:rsid w:val="00BF357C"/>
    <w:rsid w:val="00BF3B5D"/>
    <w:rsid w:val="00BF54EF"/>
    <w:rsid w:val="00BF5734"/>
    <w:rsid w:val="00BF5E3D"/>
    <w:rsid w:val="00BF7049"/>
    <w:rsid w:val="00BF7168"/>
    <w:rsid w:val="00BF7794"/>
    <w:rsid w:val="00BF7AF3"/>
    <w:rsid w:val="00C01153"/>
    <w:rsid w:val="00C0137C"/>
    <w:rsid w:val="00C038AF"/>
    <w:rsid w:val="00C04E05"/>
    <w:rsid w:val="00C04F40"/>
    <w:rsid w:val="00C059DD"/>
    <w:rsid w:val="00C06050"/>
    <w:rsid w:val="00C0665B"/>
    <w:rsid w:val="00C06BD8"/>
    <w:rsid w:val="00C076C7"/>
    <w:rsid w:val="00C118D5"/>
    <w:rsid w:val="00C1272B"/>
    <w:rsid w:val="00C1355B"/>
    <w:rsid w:val="00C14300"/>
    <w:rsid w:val="00C15CA0"/>
    <w:rsid w:val="00C16152"/>
    <w:rsid w:val="00C17431"/>
    <w:rsid w:val="00C20D1D"/>
    <w:rsid w:val="00C213BF"/>
    <w:rsid w:val="00C21661"/>
    <w:rsid w:val="00C21DF2"/>
    <w:rsid w:val="00C22FDC"/>
    <w:rsid w:val="00C23CCB"/>
    <w:rsid w:val="00C254AB"/>
    <w:rsid w:val="00C257C2"/>
    <w:rsid w:val="00C30939"/>
    <w:rsid w:val="00C30EC4"/>
    <w:rsid w:val="00C319BE"/>
    <w:rsid w:val="00C3200C"/>
    <w:rsid w:val="00C33718"/>
    <w:rsid w:val="00C339F2"/>
    <w:rsid w:val="00C34113"/>
    <w:rsid w:val="00C34F52"/>
    <w:rsid w:val="00C357C5"/>
    <w:rsid w:val="00C35D03"/>
    <w:rsid w:val="00C368BB"/>
    <w:rsid w:val="00C37455"/>
    <w:rsid w:val="00C37463"/>
    <w:rsid w:val="00C37B6C"/>
    <w:rsid w:val="00C40DD8"/>
    <w:rsid w:val="00C41033"/>
    <w:rsid w:val="00C41DEF"/>
    <w:rsid w:val="00C43CD8"/>
    <w:rsid w:val="00C459ED"/>
    <w:rsid w:val="00C46811"/>
    <w:rsid w:val="00C47451"/>
    <w:rsid w:val="00C47C8C"/>
    <w:rsid w:val="00C50512"/>
    <w:rsid w:val="00C50569"/>
    <w:rsid w:val="00C513BA"/>
    <w:rsid w:val="00C51B89"/>
    <w:rsid w:val="00C52111"/>
    <w:rsid w:val="00C52CFB"/>
    <w:rsid w:val="00C533ED"/>
    <w:rsid w:val="00C53A10"/>
    <w:rsid w:val="00C545B0"/>
    <w:rsid w:val="00C548CD"/>
    <w:rsid w:val="00C550C5"/>
    <w:rsid w:val="00C5627E"/>
    <w:rsid w:val="00C569F8"/>
    <w:rsid w:val="00C56B6B"/>
    <w:rsid w:val="00C57971"/>
    <w:rsid w:val="00C602B5"/>
    <w:rsid w:val="00C62447"/>
    <w:rsid w:val="00C626B5"/>
    <w:rsid w:val="00C62B54"/>
    <w:rsid w:val="00C62C15"/>
    <w:rsid w:val="00C63B63"/>
    <w:rsid w:val="00C64038"/>
    <w:rsid w:val="00C644E9"/>
    <w:rsid w:val="00C6475E"/>
    <w:rsid w:val="00C64D79"/>
    <w:rsid w:val="00C64FDA"/>
    <w:rsid w:val="00C657BE"/>
    <w:rsid w:val="00C65C46"/>
    <w:rsid w:val="00C6687D"/>
    <w:rsid w:val="00C66F64"/>
    <w:rsid w:val="00C6748E"/>
    <w:rsid w:val="00C678B4"/>
    <w:rsid w:val="00C70451"/>
    <w:rsid w:val="00C711BC"/>
    <w:rsid w:val="00C71D4C"/>
    <w:rsid w:val="00C73108"/>
    <w:rsid w:val="00C74944"/>
    <w:rsid w:val="00C74EFD"/>
    <w:rsid w:val="00C753E7"/>
    <w:rsid w:val="00C77766"/>
    <w:rsid w:val="00C77E46"/>
    <w:rsid w:val="00C817DA"/>
    <w:rsid w:val="00C819DE"/>
    <w:rsid w:val="00C81DE3"/>
    <w:rsid w:val="00C824AA"/>
    <w:rsid w:val="00C838A2"/>
    <w:rsid w:val="00C83D09"/>
    <w:rsid w:val="00C83FF3"/>
    <w:rsid w:val="00C84336"/>
    <w:rsid w:val="00C84801"/>
    <w:rsid w:val="00C864D7"/>
    <w:rsid w:val="00C87544"/>
    <w:rsid w:val="00C9085E"/>
    <w:rsid w:val="00C90F08"/>
    <w:rsid w:val="00C91FA1"/>
    <w:rsid w:val="00C920D7"/>
    <w:rsid w:val="00C9345C"/>
    <w:rsid w:val="00C9596F"/>
    <w:rsid w:val="00C9649A"/>
    <w:rsid w:val="00C9741E"/>
    <w:rsid w:val="00C97F82"/>
    <w:rsid w:val="00CA14D5"/>
    <w:rsid w:val="00CA248D"/>
    <w:rsid w:val="00CA2539"/>
    <w:rsid w:val="00CA2682"/>
    <w:rsid w:val="00CA30AC"/>
    <w:rsid w:val="00CA3441"/>
    <w:rsid w:val="00CA38BA"/>
    <w:rsid w:val="00CA4204"/>
    <w:rsid w:val="00CA6726"/>
    <w:rsid w:val="00CA7ED4"/>
    <w:rsid w:val="00CB25B0"/>
    <w:rsid w:val="00CB3551"/>
    <w:rsid w:val="00CB3C45"/>
    <w:rsid w:val="00CB453E"/>
    <w:rsid w:val="00CB4AAB"/>
    <w:rsid w:val="00CB4F1E"/>
    <w:rsid w:val="00CB5F11"/>
    <w:rsid w:val="00CB66DA"/>
    <w:rsid w:val="00CB75C6"/>
    <w:rsid w:val="00CC08DA"/>
    <w:rsid w:val="00CC0AE0"/>
    <w:rsid w:val="00CC0C84"/>
    <w:rsid w:val="00CC1453"/>
    <w:rsid w:val="00CC17F9"/>
    <w:rsid w:val="00CC6359"/>
    <w:rsid w:val="00CD055C"/>
    <w:rsid w:val="00CD1440"/>
    <w:rsid w:val="00CD270F"/>
    <w:rsid w:val="00CD2E39"/>
    <w:rsid w:val="00CD48A9"/>
    <w:rsid w:val="00CD4901"/>
    <w:rsid w:val="00CD56B8"/>
    <w:rsid w:val="00CD6497"/>
    <w:rsid w:val="00CD6A42"/>
    <w:rsid w:val="00CE0484"/>
    <w:rsid w:val="00CE0B84"/>
    <w:rsid w:val="00CE164A"/>
    <w:rsid w:val="00CE16D0"/>
    <w:rsid w:val="00CE2ACE"/>
    <w:rsid w:val="00CE3D34"/>
    <w:rsid w:val="00CE434F"/>
    <w:rsid w:val="00CE5561"/>
    <w:rsid w:val="00CE56A8"/>
    <w:rsid w:val="00CE68AD"/>
    <w:rsid w:val="00CE747A"/>
    <w:rsid w:val="00CE76A7"/>
    <w:rsid w:val="00CF1160"/>
    <w:rsid w:val="00CF16C9"/>
    <w:rsid w:val="00CF185E"/>
    <w:rsid w:val="00CF2FE5"/>
    <w:rsid w:val="00CF3108"/>
    <w:rsid w:val="00CF3F77"/>
    <w:rsid w:val="00CF41D1"/>
    <w:rsid w:val="00CF4A2D"/>
    <w:rsid w:val="00CF5963"/>
    <w:rsid w:val="00CF5F41"/>
    <w:rsid w:val="00CF6463"/>
    <w:rsid w:val="00CF740A"/>
    <w:rsid w:val="00CF7431"/>
    <w:rsid w:val="00CF7E20"/>
    <w:rsid w:val="00D00118"/>
    <w:rsid w:val="00D00456"/>
    <w:rsid w:val="00D01CB8"/>
    <w:rsid w:val="00D02D12"/>
    <w:rsid w:val="00D03F85"/>
    <w:rsid w:val="00D045EF"/>
    <w:rsid w:val="00D054BE"/>
    <w:rsid w:val="00D05F1E"/>
    <w:rsid w:val="00D0683C"/>
    <w:rsid w:val="00D10754"/>
    <w:rsid w:val="00D11DCF"/>
    <w:rsid w:val="00D12029"/>
    <w:rsid w:val="00D13124"/>
    <w:rsid w:val="00D13314"/>
    <w:rsid w:val="00D138C0"/>
    <w:rsid w:val="00D1476F"/>
    <w:rsid w:val="00D14E31"/>
    <w:rsid w:val="00D15353"/>
    <w:rsid w:val="00D1535E"/>
    <w:rsid w:val="00D16524"/>
    <w:rsid w:val="00D16969"/>
    <w:rsid w:val="00D16D74"/>
    <w:rsid w:val="00D21777"/>
    <w:rsid w:val="00D2187D"/>
    <w:rsid w:val="00D219EE"/>
    <w:rsid w:val="00D22D98"/>
    <w:rsid w:val="00D2426E"/>
    <w:rsid w:val="00D245D6"/>
    <w:rsid w:val="00D25979"/>
    <w:rsid w:val="00D25995"/>
    <w:rsid w:val="00D25D34"/>
    <w:rsid w:val="00D25F95"/>
    <w:rsid w:val="00D267F7"/>
    <w:rsid w:val="00D303EE"/>
    <w:rsid w:val="00D32061"/>
    <w:rsid w:val="00D3277A"/>
    <w:rsid w:val="00D327B5"/>
    <w:rsid w:val="00D3289E"/>
    <w:rsid w:val="00D344AB"/>
    <w:rsid w:val="00D3548A"/>
    <w:rsid w:val="00D355CC"/>
    <w:rsid w:val="00D373D6"/>
    <w:rsid w:val="00D40719"/>
    <w:rsid w:val="00D41AD6"/>
    <w:rsid w:val="00D41FED"/>
    <w:rsid w:val="00D420A7"/>
    <w:rsid w:val="00D4337F"/>
    <w:rsid w:val="00D45F66"/>
    <w:rsid w:val="00D475CE"/>
    <w:rsid w:val="00D475E0"/>
    <w:rsid w:val="00D477F7"/>
    <w:rsid w:val="00D47BF1"/>
    <w:rsid w:val="00D50BF2"/>
    <w:rsid w:val="00D5228A"/>
    <w:rsid w:val="00D526C2"/>
    <w:rsid w:val="00D546C4"/>
    <w:rsid w:val="00D54FB2"/>
    <w:rsid w:val="00D557E4"/>
    <w:rsid w:val="00D5583B"/>
    <w:rsid w:val="00D55B4B"/>
    <w:rsid w:val="00D55D02"/>
    <w:rsid w:val="00D55F2F"/>
    <w:rsid w:val="00D57BDB"/>
    <w:rsid w:val="00D60D78"/>
    <w:rsid w:val="00D60DA3"/>
    <w:rsid w:val="00D6139B"/>
    <w:rsid w:val="00D61BE8"/>
    <w:rsid w:val="00D61F4C"/>
    <w:rsid w:val="00D627BD"/>
    <w:rsid w:val="00D62874"/>
    <w:rsid w:val="00D629F7"/>
    <w:rsid w:val="00D63549"/>
    <w:rsid w:val="00D6417E"/>
    <w:rsid w:val="00D64521"/>
    <w:rsid w:val="00D6495B"/>
    <w:rsid w:val="00D64B77"/>
    <w:rsid w:val="00D650D6"/>
    <w:rsid w:val="00D652BD"/>
    <w:rsid w:val="00D66CC3"/>
    <w:rsid w:val="00D6723A"/>
    <w:rsid w:val="00D675E7"/>
    <w:rsid w:val="00D67E92"/>
    <w:rsid w:val="00D7006D"/>
    <w:rsid w:val="00D7321F"/>
    <w:rsid w:val="00D7525E"/>
    <w:rsid w:val="00D7557A"/>
    <w:rsid w:val="00D76CB7"/>
    <w:rsid w:val="00D76D1F"/>
    <w:rsid w:val="00D76D42"/>
    <w:rsid w:val="00D77753"/>
    <w:rsid w:val="00D81A04"/>
    <w:rsid w:val="00D81C26"/>
    <w:rsid w:val="00D8284D"/>
    <w:rsid w:val="00D84225"/>
    <w:rsid w:val="00D86B8F"/>
    <w:rsid w:val="00D87130"/>
    <w:rsid w:val="00D87AF9"/>
    <w:rsid w:val="00D913BB"/>
    <w:rsid w:val="00D93C30"/>
    <w:rsid w:val="00D95BD8"/>
    <w:rsid w:val="00D9694C"/>
    <w:rsid w:val="00D96BE2"/>
    <w:rsid w:val="00DA29BD"/>
    <w:rsid w:val="00DA2C13"/>
    <w:rsid w:val="00DA35DC"/>
    <w:rsid w:val="00DB0291"/>
    <w:rsid w:val="00DB06A9"/>
    <w:rsid w:val="00DB24B3"/>
    <w:rsid w:val="00DB29C7"/>
    <w:rsid w:val="00DB2BC1"/>
    <w:rsid w:val="00DB3631"/>
    <w:rsid w:val="00DB4D3D"/>
    <w:rsid w:val="00DB4F2A"/>
    <w:rsid w:val="00DB5AE1"/>
    <w:rsid w:val="00DC1368"/>
    <w:rsid w:val="00DC22AB"/>
    <w:rsid w:val="00DC24EA"/>
    <w:rsid w:val="00DC2DF8"/>
    <w:rsid w:val="00DC30F2"/>
    <w:rsid w:val="00DC43B1"/>
    <w:rsid w:val="00DC43EA"/>
    <w:rsid w:val="00DC534A"/>
    <w:rsid w:val="00DC6262"/>
    <w:rsid w:val="00DC687A"/>
    <w:rsid w:val="00DC7E55"/>
    <w:rsid w:val="00DD0558"/>
    <w:rsid w:val="00DD06E8"/>
    <w:rsid w:val="00DD082E"/>
    <w:rsid w:val="00DD2744"/>
    <w:rsid w:val="00DD3CCF"/>
    <w:rsid w:val="00DD4BA0"/>
    <w:rsid w:val="00DD55E6"/>
    <w:rsid w:val="00DD5793"/>
    <w:rsid w:val="00DD59CA"/>
    <w:rsid w:val="00DD5A3E"/>
    <w:rsid w:val="00DD5E26"/>
    <w:rsid w:val="00DD6C57"/>
    <w:rsid w:val="00DE09D7"/>
    <w:rsid w:val="00DE0BC9"/>
    <w:rsid w:val="00DE14D0"/>
    <w:rsid w:val="00DE206A"/>
    <w:rsid w:val="00DE2195"/>
    <w:rsid w:val="00DE3758"/>
    <w:rsid w:val="00DE41B9"/>
    <w:rsid w:val="00DE4606"/>
    <w:rsid w:val="00DE4C59"/>
    <w:rsid w:val="00DE71F1"/>
    <w:rsid w:val="00DF0893"/>
    <w:rsid w:val="00DF0B09"/>
    <w:rsid w:val="00DF17A0"/>
    <w:rsid w:val="00DF28BC"/>
    <w:rsid w:val="00DF352C"/>
    <w:rsid w:val="00DF3905"/>
    <w:rsid w:val="00DF3A98"/>
    <w:rsid w:val="00DF4677"/>
    <w:rsid w:val="00DF4CEC"/>
    <w:rsid w:val="00DF61E3"/>
    <w:rsid w:val="00DF6735"/>
    <w:rsid w:val="00DF7228"/>
    <w:rsid w:val="00E00663"/>
    <w:rsid w:val="00E01F1E"/>
    <w:rsid w:val="00E02668"/>
    <w:rsid w:val="00E0278E"/>
    <w:rsid w:val="00E0297D"/>
    <w:rsid w:val="00E03748"/>
    <w:rsid w:val="00E04345"/>
    <w:rsid w:val="00E04885"/>
    <w:rsid w:val="00E07C2D"/>
    <w:rsid w:val="00E1015C"/>
    <w:rsid w:val="00E10BEC"/>
    <w:rsid w:val="00E120D2"/>
    <w:rsid w:val="00E12273"/>
    <w:rsid w:val="00E12E19"/>
    <w:rsid w:val="00E1475D"/>
    <w:rsid w:val="00E15921"/>
    <w:rsid w:val="00E16BE8"/>
    <w:rsid w:val="00E20711"/>
    <w:rsid w:val="00E2075D"/>
    <w:rsid w:val="00E20991"/>
    <w:rsid w:val="00E211C2"/>
    <w:rsid w:val="00E22124"/>
    <w:rsid w:val="00E24306"/>
    <w:rsid w:val="00E24B15"/>
    <w:rsid w:val="00E267D9"/>
    <w:rsid w:val="00E27096"/>
    <w:rsid w:val="00E307A1"/>
    <w:rsid w:val="00E30D85"/>
    <w:rsid w:val="00E30EF0"/>
    <w:rsid w:val="00E333EF"/>
    <w:rsid w:val="00E36355"/>
    <w:rsid w:val="00E40443"/>
    <w:rsid w:val="00E40931"/>
    <w:rsid w:val="00E4206E"/>
    <w:rsid w:val="00E43390"/>
    <w:rsid w:val="00E43B67"/>
    <w:rsid w:val="00E4465E"/>
    <w:rsid w:val="00E45334"/>
    <w:rsid w:val="00E45694"/>
    <w:rsid w:val="00E46012"/>
    <w:rsid w:val="00E46B35"/>
    <w:rsid w:val="00E46D63"/>
    <w:rsid w:val="00E5013A"/>
    <w:rsid w:val="00E51162"/>
    <w:rsid w:val="00E52696"/>
    <w:rsid w:val="00E52A4E"/>
    <w:rsid w:val="00E53297"/>
    <w:rsid w:val="00E537C5"/>
    <w:rsid w:val="00E54E16"/>
    <w:rsid w:val="00E56BC2"/>
    <w:rsid w:val="00E56D6D"/>
    <w:rsid w:val="00E57299"/>
    <w:rsid w:val="00E5769D"/>
    <w:rsid w:val="00E60119"/>
    <w:rsid w:val="00E61D67"/>
    <w:rsid w:val="00E6449D"/>
    <w:rsid w:val="00E65404"/>
    <w:rsid w:val="00E664F4"/>
    <w:rsid w:val="00E6757A"/>
    <w:rsid w:val="00E70A0F"/>
    <w:rsid w:val="00E70E63"/>
    <w:rsid w:val="00E7321B"/>
    <w:rsid w:val="00E74E85"/>
    <w:rsid w:val="00E74EC5"/>
    <w:rsid w:val="00E754EA"/>
    <w:rsid w:val="00E75623"/>
    <w:rsid w:val="00E76746"/>
    <w:rsid w:val="00E815CE"/>
    <w:rsid w:val="00E81804"/>
    <w:rsid w:val="00E821CE"/>
    <w:rsid w:val="00E82B6D"/>
    <w:rsid w:val="00E83086"/>
    <w:rsid w:val="00E83C82"/>
    <w:rsid w:val="00E8538A"/>
    <w:rsid w:val="00E85D03"/>
    <w:rsid w:val="00E8612E"/>
    <w:rsid w:val="00E873A4"/>
    <w:rsid w:val="00E902B7"/>
    <w:rsid w:val="00E9049F"/>
    <w:rsid w:val="00E91661"/>
    <w:rsid w:val="00E921A8"/>
    <w:rsid w:val="00E9269D"/>
    <w:rsid w:val="00E9423E"/>
    <w:rsid w:val="00E94F87"/>
    <w:rsid w:val="00E9536E"/>
    <w:rsid w:val="00E95582"/>
    <w:rsid w:val="00E97577"/>
    <w:rsid w:val="00E979AA"/>
    <w:rsid w:val="00E97BDC"/>
    <w:rsid w:val="00EA07F8"/>
    <w:rsid w:val="00EA2DFB"/>
    <w:rsid w:val="00EA42FF"/>
    <w:rsid w:val="00EA5209"/>
    <w:rsid w:val="00EA54CB"/>
    <w:rsid w:val="00EA7208"/>
    <w:rsid w:val="00EA7775"/>
    <w:rsid w:val="00EA7788"/>
    <w:rsid w:val="00EB0238"/>
    <w:rsid w:val="00EB0ACD"/>
    <w:rsid w:val="00EB14A1"/>
    <w:rsid w:val="00EB29A5"/>
    <w:rsid w:val="00EB2AF7"/>
    <w:rsid w:val="00EB42B1"/>
    <w:rsid w:val="00EB479F"/>
    <w:rsid w:val="00EB5136"/>
    <w:rsid w:val="00EB5370"/>
    <w:rsid w:val="00EB5877"/>
    <w:rsid w:val="00EB6DDD"/>
    <w:rsid w:val="00EC0CB4"/>
    <w:rsid w:val="00EC1246"/>
    <w:rsid w:val="00EC2C61"/>
    <w:rsid w:val="00EC3D30"/>
    <w:rsid w:val="00EC5DBA"/>
    <w:rsid w:val="00EC6E9E"/>
    <w:rsid w:val="00EC7C4F"/>
    <w:rsid w:val="00EC7CA7"/>
    <w:rsid w:val="00ED0A51"/>
    <w:rsid w:val="00ED0AEC"/>
    <w:rsid w:val="00ED34F0"/>
    <w:rsid w:val="00ED41F4"/>
    <w:rsid w:val="00ED449F"/>
    <w:rsid w:val="00ED4899"/>
    <w:rsid w:val="00ED5737"/>
    <w:rsid w:val="00ED5B67"/>
    <w:rsid w:val="00ED64A4"/>
    <w:rsid w:val="00ED78FB"/>
    <w:rsid w:val="00EE0027"/>
    <w:rsid w:val="00EE11FD"/>
    <w:rsid w:val="00EE1EBF"/>
    <w:rsid w:val="00EE223C"/>
    <w:rsid w:val="00EE4384"/>
    <w:rsid w:val="00EE4DFA"/>
    <w:rsid w:val="00EE504F"/>
    <w:rsid w:val="00EE51F6"/>
    <w:rsid w:val="00EE689B"/>
    <w:rsid w:val="00EE7986"/>
    <w:rsid w:val="00EE7B71"/>
    <w:rsid w:val="00EF134D"/>
    <w:rsid w:val="00EF1593"/>
    <w:rsid w:val="00EF16B6"/>
    <w:rsid w:val="00EF1E4C"/>
    <w:rsid w:val="00EF2369"/>
    <w:rsid w:val="00EF26DB"/>
    <w:rsid w:val="00EF5222"/>
    <w:rsid w:val="00EF56DF"/>
    <w:rsid w:val="00EF5BB1"/>
    <w:rsid w:val="00EF676A"/>
    <w:rsid w:val="00EF6B85"/>
    <w:rsid w:val="00F00035"/>
    <w:rsid w:val="00F0062A"/>
    <w:rsid w:val="00F0091F"/>
    <w:rsid w:val="00F02990"/>
    <w:rsid w:val="00F03035"/>
    <w:rsid w:val="00F03051"/>
    <w:rsid w:val="00F0440A"/>
    <w:rsid w:val="00F0609F"/>
    <w:rsid w:val="00F0687D"/>
    <w:rsid w:val="00F06FC8"/>
    <w:rsid w:val="00F07E8F"/>
    <w:rsid w:val="00F07FA5"/>
    <w:rsid w:val="00F100D9"/>
    <w:rsid w:val="00F1214F"/>
    <w:rsid w:val="00F12A73"/>
    <w:rsid w:val="00F1369B"/>
    <w:rsid w:val="00F1534F"/>
    <w:rsid w:val="00F162E0"/>
    <w:rsid w:val="00F16EA7"/>
    <w:rsid w:val="00F16F25"/>
    <w:rsid w:val="00F20574"/>
    <w:rsid w:val="00F2109E"/>
    <w:rsid w:val="00F210A1"/>
    <w:rsid w:val="00F2121E"/>
    <w:rsid w:val="00F221B4"/>
    <w:rsid w:val="00F22A73"/>
    <w:rsid w:val="00F22F49"/>
    <w:rsid w:val="00F23A60"/>
    <w:rsid w:val="00F23B2A"/>
    <w:rsid w:val="00F23F43"/>
    <w:rsid w:val="00F24E88"/>
    <w:rsid w:val="00F25681"/>
    <w:rsid w:val="00F25CB3"/>
    <w:rsid w:val="00F2625B"/>
    <w:rsid w:val="00F311D4"/>
    <w:rsid w:val="00F31AC4"/>
    <w:rsid w:val="00F34C22"/>
    <w:rsid w:val="00F34DFF"/>
    <w:rsid w:val="00F35F82"/>
    <w:rsid w:val="00F36448"/>
    <w:rsid w:val="00F3654D"/>
    <w:rsid w:val="00F36B5F"/>
    <w:rsid w:val="00F36FB8"/>
    <w:rsid w:val="00F37F99"/>
    <w:rsid w:val="00F40E93"/>
    <w:rsid w:val="00F410E2"/>
    <w:rsid w:val="00F41868"/>
    <w:rsid w:val="00F42CB4"/>
    <w:rsid w:val="00F43C7D"/>
    <w:rsid w:val="00F44AF9"/>
    <w:rsid w:val="00F46553"/>
    <w:rsid w:val="00F46C6D"/>
    <w:rsid w:val="00F47162"/>
    <w:rsid w:val="00F47254"/>
    <w:rsid w:val="00F5013C"/>
    <w:rsid w:val="00F511DB"/>
    <w:rsid w:val="00F524A1"/>
    <w:rsid w:val="00F52CCA"/>
    <w:rsid w:val="00F537AA"/>
    <w:rsid w:val="00F55860"/>
    <w:rsid w:val="00F56455"/>
    <w:rsid w:val="00F57FFC"/>
    <w:rsid w:val="00F6145C"/>
    <w:rsid w:val="00F61D4C"/>
    <w:rsid w:val="00F62093"/>
    <w:rsid w:val="00F6278F"/>
    <w:rsid w:val="00F64389"/>
    <w:rsid w:val="00F65908"/>
    <w:rsid w:val="00F659F5"/>
    <w:rsid w:val="00F6619E"/>
    <w:rsid w:val="00F66BC1"/>
    <w:rsid w:val="00F67649"/>
    <w:rsid w:val="00F67695"/>
    <w:rsid w:val="00F704B7"/>
    <w:rsid w:val="00F70B32"/>
    <w:rsid w:val="00F7517E"/>
    <w:rsid w:val="00F760E8"/>
    <w:rsid w:val="00F76402"/>
    <w:rsid w:val="00F80724"/>
    <w:rsid w:val="00F80C8B"/>
    <w:rsid w:val="00F8132F"/>
    <w:rsid w:val="00F82480"/>
    <w:rsid w:val="00F8278F"/>
    <w:rsid w:val="00F827D4"/>
    <w:rsid w:val="00F82895"/>
    <w:rsid w:val="00F82D47"/>
    <w:rsid w:val="00F844E0"/>
    <w:rsid w:val="00F845BC"/>
    <w:rsid w:val="00F85370"/>
    <w:rsid w:val="00F854ED"/>
    <w:rsid w:val="00F87973"/>
    <w:rsid w:val="00F903FC"/>
    <w:rsid w:val="00F91A79"/>
    <w:rsid w:val="00F92757"/>
    <w:rsid w:val="00F9300A"/>
    <w:rsid w:val="00F93079"/>
    <w:rsid w:val="00F931AE"/>
    <w:rsid w:val="00F931E3"/>
    <w:rsid w:val="00F93A83"/>
    <w:rsid w:val="00F943AE"/>
    <w:rsid w:val="00F94D18"/>
    <w:rsid w:val="00F94E5D"/>
    <w:rsid w:val="00F95A42"/>
    <w:rsid w:val="00F96C7D"/>
    <w:rsid w:val="00FA0468"/>
    <w:rsid w:val="00FA1306"/>
    <w:rsid w:val="00FA21F7"/>
    <w:rsid w:val="00FA2804"/>
    <w:rsid w:val="00FA283B"/>
    <w:rsid w:val="00FA3C7A"/>
    <w:rsid w:val="00FA4056"/>
    <w:rsid w:val="00FA4ADB"/>
    <w:rsid w:val="00FA4EC2"/>
    <w:rsid w:val="00FA5053"/>
    <w:rsid w:val="00FA59EA"/>
    <w:rsid w:val="00FA6D13"/>
    <w:rsid w:val="00FA7A46"/>
    <w:rsid w:val="00FB053C"/>
    <w:rsid w:val="00FB06ED"/>
    <w:rsid w:val="00FB2EDF"/>
    <w:rsid w:val="00FB3975"/>
    <w:rsid w:val="00FB457A"/>
    <w:rsid w:val="00FB50C8"/>
    <w:rsid w:val="00FB63BC"/>
    <w:rsid w:val="00FB7636"/>
    <w:rsid w:val="00FB7EDC"/>
    <w:rsid w:val="00FB7F3A"/>
    <w:rsid w:val="00FC16A4"/>
    <w:rsid w:val="00FC19F4"/>
    <w:rsid w:val="00FC293B"/>
    <w:rsid w:val="00FC4212"/>
    <w:rsid w:val="00FC47D4"/>
    <w:rsid w:val="00FC4A27"/>
    <w:rsid w:val="00FC4D61"/>
    <w:rsid w:val="00FC518A"/>
    <w:rsid w:val="00FC5476"/>
    <w:rsid w:val="00FC5AD8"/>
    <w:rsid w:val="00FC64CF"/>
    <w:rsid w:val="00FC7EBF"/>
    <w:rsid w:val="00FD0267"/>
    <w:rsid w:val="00FD0564"/>
    <w:rsid w:val="00FD1C38"/>
    <w:rsid w:val="00FD22D7"/>
    <w:rsid w:val="00FD285D"/>
    <w:rsid w:val="00FD2ECB"/>
    <w:rsid w:val="00FD3255"/>
    <w:rsid w:val="00FD3C87"/>
    <w:rsid w:val="00FD3D2F"/>
    <w:rsid w:val="00FD4EC5"/>
    <w:rsid w:val="00FD5C80"/>
    <w:rsid w:val="00FD65DC"/>
    <w:rsid w:val="00FD6856"/>
    <w:rsid w:val="00FD6F6E"/>
    <w:rsid w:val="00FD7192"/>
    <w:rsid w:val="00FD7673"/>
    <w:rsid w:val="00FD7A23"/>
    <w:rsid w:val="00FE1D11"/>
    <w:rsid w:val="00FE2152"/>
    <w:rsid w:val="00FE357C"/>
    <w:rsid w:val="00FE3A48"/>
    <w:rsid w:val="00FE467F"/>
    <w:rsid w:val="00FE7BE1"/>
    <w:rsid w:val="00FE7E90"/>
    <w:rsid w:val="00FF0C44"/>
    <w:rsid w:val="00FF0C7B"/>
    <w:rsid w:val="00FF13E4"/>
    <w:rsid w:val="00FF1DFC"/>
    <w:rsid w:val="00FF2F51"/>
    <w:rsid w:val="00FF35C1"/>
    <w:rsid w:val="00FF35CB"/>
    <w:rsid w:val="00FF45AE"/>
    <w:rsid w:val="00FF499F"/>
    <w:rsid w:val="00FF5269"/>
    <w:rsid w:val="00FF5EAF"/>
    <w:rsid w:val="00FF6E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F9225"/>
  <w15:chartTrackingRefBased/>
  <w15:docId w15:val="{4B56E1B0-EF67-402F-BB74-E7BA48F16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79AA"/>
    <w:pPr>
      <w:spacing w:after="200" w:line="360" w:lineRule="auto"/>
      <w:jc w:val="both"/>
    </w:pPr>
    <w:rPr>
      <w:rFonts w:ascii="Arial" w:hAnsi="Arial"/>
      <w:kern w:val="0"/>
      <w:sz w:val="24"/>
      <w:lang w:val="en-ZA"/>
      <w14:ligatures w14:val="none"/>
    </w:rPr>
  </w:style>
  <w:style w:type="paragraph" w:styleId="Heading1">
    <w:name w:val="heading 1"/>
    <w:basedOn w:val="Normal"/>
    <w:next w:val="Normal"/>
    <w:link w:val="Heading1Char"/>
    <w:uiPriority w:val="9"/>
    <w:qFormat/>
    <w:rsid w:val="006D7CAB"/>
    <w:pPr>
      <w:keepNext/>
      <w:keepLines/>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3C3EBE"/>
    <w:pPr>
      <w:keepNext/>
      <w:keepLines/>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012FA1"/>
    <w:pPr>
      <w:keepNext/>
      <w:keepLines/>
      <w:outlineLvl w:val="2"/>
    </w:pPr>
    <w:rPr>
      <w:rFonts w:eastAsiaTheme="majorEastAsia" w:cstheme="majorBid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A2A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2A01"/>
    <w:rPr>
      <w:kern w:val="0"/>
      <w:sz w:val="20"/>
      <w:szCs w:val="20"/>
      <w:lang w:val="en-ZA"/>
      <w14:ligatures w14:val="none"/>
    </w:rPr>
  </w:style>
  <w:style w:type="character" w:styleId="FootnoteReference">
    <w:name w:val="footnote reference"/>
    <w:basedOn w:val="DefaultParagraphFont"/>
    <w:uiPriority w:val="99"/>
    <w:semiHidden/>
    <w:unhideWhenUsed/>
    <w:rsid w:val="004A2A01"/>
    <w:rPr>
      <w:vertAlign w:val="superscript"/>
    </w:rPr>
  </w:style>
  <w:style w:type="paragraph" w:styleId="ListParagraph">
    <w:name w:val="List Paragraph"/>
    <w:basedOn w:val="Normal"/>
    <w:uiPriority w:val="34"/>
    <w:qFormat/>
    <w:rsid w:val="004A2A01"/>
    <w:pPr>
      <w:ind w:left="720"/>
      <w:contextualSpacing/>
    </w:pPr>
  </w:style>
  <w:style w:type="table" w:styleId="TableGrid">
    <w:name w:val="Table Grid"/>
    <w:basedOn w:val="TableNormal"/>
    <w:uiPriority w:val="59"/>
    <w:rsid w:val="004A2A01"/>
    <w:pPr>
      <w:spacing w:after="0" w:line="240" w:lineRule="auto"/>
    </w:pPr>
    <w:rPr>
      <w:kern w:val="0"/>
      <w:lang w:val="en-Z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A2A01"/>
    <w:rPr>
      <w:color w:val="0000FF"/>
      <w:u w:val="single"/>
    </w:rPr>
  </w:style>
  <w:style w:type="character" w:styleId="CommentReference">
    <w:name w:val="annotation reference"/>
    <w:basedOn w:val="DefaultParagraphFont"/>
    <w:uiPriority w:val="99"/>
    <w:semiHidden/>
    <w:unhideWhenUsed/>
    <w:rsid w:val="00D7321F"/>
    <w:rPr>
      <w:sz w:val="16"/>
      <w:szCs w:val="16"/>
    </w:rPr>
  </w:style>
  <w:style w:type="paragraph" w:styleId="CommentText">
    <w:name w:val="annotation text"/>
    <w:basedOn w:val="Normal"/>
    <w:link w:val="CommentTextChar"/>
    <w:uiPriority w:val="99"/>
    <w:unhideWhenUsed/>
    <w:rsid w:val="00D7321F"/>
    <w:pPr>
      <w:spacing w:line="240" w:lineRule="auto"/>
    </w:pPr>
    <w:rPr>
      <w:sz w:val="20"/>
      <w:szCs w:val="20"/>
    </w:rPr>
  </w:style>
  <w:style w:type="character" w:customStyle="1" w:styleId="CommentTextChar">
    <w:name w:val="Comment Text Char"/>
    <w:basedOn w:val="DefaultParagraphFont"/>
    <w:link w:val="CommentText"/>
    <w:uiPriority w:val="99"/>
    <w:rsid w:val="00D7321F"/>
    <w:rPr>
      <w:kern w:val="0"/>
      <w:sz w:val="20"/>
      <w:szCs w:val="20"/>
      <w:lang w:val="en-ZA"/>
      <w14:ligatures w14:val="none"/>
    </w:rPr>
  </w:style>
  <w:style w:type="paragraph" w:styleId="CommentSubject">
    <w:name w:val="annotation subject"/>
    <w:basedOn w:val="CommentText"/>
    <w:next w:val="CommentText"/>
    <w:link w:val="CommentSubjectChar"/>
    <w:uiPriority w:val="99"/>
    <w:semiHidden/>
    <w:unhideWhenUsed/>
    <w:rsid w:val="00D7321F"/>
    <w:rPr>
      <w:b/>
      <w:bCs/>
    </w:rPr>
  </w:style>
  <w:style w:type="character" w:customStyle="1" w:styleId="CommentSubjectChar">
    <w:name w:val="Comment Subject Char"/>
    <w:basedOn w:val="CommentTextChar"/>
    <w:link w:val="CommentSubject"/>
    <w:uiPriority w:val="99"/>
    <w:semiHidden/>
    <w:rsid w:val="00D7321F"/>
    <w:rPr>
      <w:b/>
      <w:bCs/>
      <w:kern w:val="0"/>
      <w:sz w:val="20"/>
      <w:szCs w:val="20"/>
      <w:lang w:val="en-ZA"/>
      <w14:ligatures w14:val="none"/>
    </w:rPr>
  </w:style>
  <w:style w:type="character" w:customStyle="1" w:styleId="Heading1Char">
    <w:name w:val="Heading 1 Char"/>
    <w:basedOn w:val="DefaultParagraphFont"/>
    <w:link w:val="Heading1"/>
    <w:uiPriority w:val="9"/>
    <w:rsid w:val="006D7CAB"/>
    <w:rPr>
      <w:rFonts w:ascii="Arial" w:eastAsiaTheme="majorEastAsia" w:hAnsi="Arial" w:cstheme="majorBidi"/>
      <w:b/>
      <w:kern w:val="0"/>
      <w:sz w:val="24"/>
      <w:szCs w:val="32"/>
      <w:lang w:val="en-ZA"/>
      <w14:ligatures w14:val="none"/>
    </w:rPr>
  </w:style>
  <w:style w:type="character" w:customStyle="1" w:styleId="Heading2Char">
    <w:name w:val="Heading 2 Char"/>
    <w:basedOn w:val="DefaultParagraphFont"/>
    <w:link w:val="Heading2"/>
    <w:uiPriority w:val="9"/>
    <w:rsid w:val="003C3EBE"/>
    <w:rPr>
      <w:rFonts w:ascii="Arial" w:eastAsiaTheme="majorEastAsia" w:hAnsi="Arial" w:cstheme="majorBidi"/>
      <w:b/>
      <w:kern w:val="0"/>
      <w:sz w:val="24"/>
      <w:szCs w:val="26"/>
      <w:lang w:val="en-ZA"/>
      <w14:ligatures w14:val="none"/>
    </w:rPr>
  </w:style>
  <w:style w:type="paragraph" w:styleId="TOCHeading">
    <w:name w:val="TOC Heading"/>
    <w:basedOn w:val="Heading1"/>
    <w:next w:val="Normal"/>
    <w:uiPriority w:val="39"/>
    <w:unhideWhenUsed/>
    <w:qFormat/>
    <w:rsid w:val="00560576"/>
    <w:pPr>
      <w:spacing w:before="240" w:after="0"/>
      <w:jc w:val="left"/>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EC7C4F"/>
    <w:pPr>
      <w:tabs>
        <w:tab w:val="right" w:leader="dot" w:pos="9628"/>
      </w:tabs>
      <w:spacing w:after="100"/>
    </w:pPr>
    <w:rPr>
      <w:b/>
      <w:bCs/>
      <w:noProof/>
    </w:rPr>
  </w:style>
  <w:style w:type="paragraph" w:styleId="TOC2">
    <w:name w:val="toc 2"/>
    <w:basedOn w:val="Normal"/>
    <w:next w:val="Normal"/>
    <w:autoRedefine/>
    <w:uiPriority w:val="39"/>
    <w:unhideWhenUsed/>
    <w:rsid w:val="003F6438"/>
    <w:pPr>
      <w:tabs>
        <w:tab w:val="left" w:pos="880"/>
        <w:tab w:val="right" w:leader="dot" w:pos="9628"/>
      </w:tabs>
      <w:spacing w:after="100"/>
      <w:ind w:left="851" w:hanging="567"/>
    </w:pPr>
  </w:style>
  <w:style w:type="character" w:styleId="UnresolvedMention">
    <w:name w:val="Unresolved Mention"/>
    <w:basedOn w:val="DefaultParagraphFont"/>
    <w:uiPriority w:val="99"/>
    <w:semiHidden/>
    <w:unhideWhenUsed/>
    <w:rsid w:val="00692B79"/>
    <w:rPr>
      <w:color w:val="605E5C"/>
      <w:shd w:val="clear" w:color="auto" w:fill="E1DFDD"/>
    </w:rPr>
  </w:style>
  <w:style w:type="paragraph" w:customStyle="1" w:styleId="yiv1532278411msonormal">
    <w:name w:val="yiv1532278411msonormal"/>
    <w:basedOn w:val="Normal"/>
    <w:rsid w:val="0096121E"/>
    <w:pPr>
      <w:spacing w:before="100" w:beforeAutospacing="1" w:after="100" w:afterAutospacing="1" w:line="240" w:lineRule="auto"/>
      <w:jc w:val="left"/>
    </w:pPr>
    <w:rPr>
      <w:rFonts w:ascii="Times New Roman" w:eastAsia="Times New Roman" w:hAnsi="Times New Roman" w:cs="Times New Roman"/>
      <w:szCs w:val="24"/>
      <w:lang w:eastAsia="en-ZA"/>
    </w:rPr>
  </w:style>
  <w:style w:type="paragraph" w:styleId="Header">
    <w:name w:val="header"/>
    <w:basedOn w:val="Normal"/>
    <w:link w:val="HeaderChar"/>
    <w:uiPriority w:val="99"/>
    <w:unhideWhenUsed/>
    <w:rsid w:val="005436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694"/>
    <w:rPr>
      <w:rFonts w:ascii="Arial" w:hAnsi="Arial"/>
      <w:kern w:val="0"/>
      <w:sz w:val="24"/>
      <w:lang w:val="en-ZA"/>
      <w14:ligatures w14:val="none"/>
    </w:rPr>
  </w:style>
  <w:style w:type="paragraph" w:styleId="Footer">
    <w:name w:val="footer"/>
    <w:basedOn w:val="Normal"/>
    <w:link w:val="FooterChar"/>
    <w:uiPriority w:val="99"/>
    <w:unhideWhenUsed/>
    <w:rsid w:val="005436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694"/>
    <w:rPr>
      <w:rFonts w:ascii="Arial" w:hAnsi="Arial"/>
      <w:kern w:val="0"/>
      <w:sz w:val="24"/>
      <w:lang w:val="en-ZA"/>
      <w14:ligatures w14:val="none"/>
    </w:rPr>
  </w:style>
  <w:style w:type="paragraph" w:styleId="NoSpacing">
    <w:name w:val="No Spacing"/>
    <w:uiPriority w:val="1"/>
    <w:qFormat/>
    <w:rsid w:val="005E7107"/>
    <w:pPr>
      <w:spacing w:after="0" w:line="240" w:lineRule="auto"/>
      <w:jc w:val="both"/>
    </w:pPr>
    <w:rPr>
      <w:rFonts w:ascii="Arial" w:hAnsi="Arial"/>
      <w:kern w:val="0"/>
      <w:sz w:val="24"/>
      <w:lang w:val="en-ZA"/>
      <w14:ligatures w14:val="none"/>
    </w:rPr>
  </w:style>
  <w:style w:type="paragraph" w:customStyle="1" w:styleId="Default">
    <w:name w:val="Default"/>
    <w:rsid w:val="00E307A1"/>
    <w:pPr>
      <w:autoSpaceDE w:val="0"/>
      <w:autoSpaceDN w:val="0"/>
      <w:adjustRightInd w:val="0"/>
      <w:spacing w:after="0" w:line="240" w:lineRule="auto"/>
    </w:pPr>
    <w:rPr>
      <w:rFonts w:ascii="Cambria" w:hAnsi="Cambria" w:cs="Cambria"/>
      <w:color w:val="000000"/>
      <w:kern w:val="0"/>
      <w:sz w:val="24"/>
      <w:szCs w:val="24"/>
      <w14:ligatures w14:val="none"/>
    </w:rPr>
  </w:style>
  <w:style w:type="character" w:customStyle="1" w:styleId="Heading3Char">
    <w:name w:val="Heading 3 Char"/>
    <w:basedOn w:val="DefaultParagraphFont"/>
    <w:link w:val="Heading3"/>
    <w:uiPriority w:val="9"/>
    <w:rsid w:val="00012FA1"/>
    <w:rPr>
      <w:rFonts w:ascii="Arial" w:eastAsiaTheme="majorEastAsia" w:hAnsi="Arial" w:cstheme="majorBidi"/>
      <w:kern w:val="0"/>
      <w:sz w:val="24"/>
      <w:szCs w:val="24"/>
      <w:lang w:val="en-ZA"/>
      <w14:ligatures w14:val="none"/>
    </w:rPr>
  </w:style>
  <w:style w:type="paragraph" w:styleId="TOC3">
    <w:name w:val="toc 3"/>
    <w:basedOn w:val="Normal"/>
    <w:next w:val="Normal"/>
    <w:autoRedefine/>
    <w:uiPriority w:val="39"/>
    <w:unhideWhenUsed/>
    <w:rsid w:val="00D6723A"/>
    <w:pPr>
      <w:spacing w:after="100"/>
      <w:ind w:left="480"/>
    </w:pPr>
  </w:style>
  <w:style w:type="paragraph" w:styleId="Revision">
    <w:name w:val="Revision"/>
    <w:hidden/>
    <w:uiPriority w:val="99"/>
    <w:semiHidden/>
    <w:rsid w:val="00542B0B"/>
    <w:pPr>
      <w:spacing w:after="0" w:line="240" w:lineRule="auto"/>
    </w:pPr>
    <w:rPr>
      <w:rFonts w:ascii="Arial" w:hAnsi="Arial"/>
      <w:kern w:val="0"/>
      <w:sz w:val="24"/>
      <w:lang w:val="en-Z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267940">
      <w:bodyDiv w:val="1"/>
      <w:marLeft w:val="0"/>
      <w:marRight w:val="0"/>
      <w:marTop w:val="0"/>
      <w:marBottom w:val="0"/>
      <w:divBdr>
        <w:top w:val="none" w:sz="0" w:space="0" w:color="auto"/>
        <w:left w:val="none" w:sz="0" w:space="0" w:color="auto"/>
        <w:bottom w:val="none" w:sz="0" w:space="0" w:color="auto"/>
        <w:right w:val="none" w:sz="0" w:space="0" w:color="auto"/>
      </w:divBdr>
    </w:div>
    <w:div w:id="869219070">
      <w:bodyDiv w:val="1"/>
      <w:marLeft w:val="0"/>
      <w:marRight w:val="0"/>
      <w:marTop w:val="0"/>
      <w:marBottom w:val="0"/>
      <w:divBdr>
        <w:top w:val="none" w:sz="0" w:space="0" w:color="auto"/>
        <w:left w:val="none" w:sz="0" w:space="0" w:color="auto"/>
        <w:bottom w:val="none" w:sz="0" w:space="0" w:color="auto"/>
        <w:right w:val="none" w:sz="0" w:space="0" w:color="auto"/>
      </w:divBdr>
    </w:div>
    <w:div w:id="1079135417">
      <w:bodyDiv w:val="1"/>
      <w:marLeft w:val="0"/>
      <w:marRight w:val="0"/>
      <w:marTop w:val="0"/>
      <w:marBottom w:val="0"/>
      <w:divBdr>
        <w:top w:val="none" w:sz="0" w:space="0" w:color="auto"/>
        <w:left w:val="none" w:sz="0" w:space="0" w:color="auto"/>
        <w:bottom w:val="none" w:sz="0" w:space="0" w:color="auto"/>
        <w:right w:val="none" w:sz="0" w:space="0" w:color="auto"/>
      </w:divBdr>
    </w:div>
    <w:div w:id="1204094735">
      <w:bodyDiv w:val="1"/>
      <w:marLeft w:val="0"/>
      <w:marRight w:val="0"/>
      <w:marTop w:val="0"/>
      <w:marBottom w:val="0"/>
      <w:divBdr>
        <w:top w:val="none" w:sz="0" w:space="0" w:color="auto"/>
        <w:left w:val="none" w:sz="0" w:space="0" w:color="auto"/>
        <w:bottom w:val="none" w:sz="0" w:space="0" w:color="auto"/>
        <w:right w:val="none" w:sz="0" w:space="0" w:color="auto"/>
      </w:divBdr>
    </w:div>
    <w:div w:id="1612980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fanews.co.za/article/magazine-archives-fanews-fanuus/60/life/1313/the-executor-dealing-with-disqualified-heirs/1595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acebook.com/thenpaofsa/"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bc.com/news/world-africa-44359696"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news24.com/news24/southafrica/news/werner-de-jager-the-man-accused-of-killing-pastor-wife-liezel-has-died-allegedly-from-an-overdose-20240415"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justice.gov.za/master/deceased.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E0088-C0C3-4A7C-A69A-6FBDACB48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73</Pages>
  <Words>18320</Words>
  <Characters>104426</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A0402</cp:lastModifiedBy>
  <cp:revision>4</cp:revision>
  <cp:lastPrinted>2025-02-16T07:53:00Z</cp:lastPrinted>
  <dcterms:created xsi:type="dcterms:W3CDTF">2025-02-16T10:05:00Z</dcterms:created>
  <dcterms:modified xsi:type="dcterms:W3CDTF">2025-02-23T13:23:00Z</dcterms:modified>
</cp:coreProperties>
</file>